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21.jpg" ContentType="image/jpeg"/>
  <Override PartName="/word/media/rId24.jpg" ContentType="image/jpeg"/>
  <Override PartName="/word/media/rId28.jpg" ContentType="image/jpeg"/>
  <Override PartName="/word/media/rId31.jpg" ContentType="image/jpeg"/>
  <Override PartName="/word/media/rId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Mechanical Responses of an AI-Hypothesized Super-elastic Fe-Mn-Al-Ni-Si-C Alloy</w:t>
      </w:r>
    </w:p>
    <w:p>
      <w:pPr>
        <w:pStyle w:val="FirstParagraph"/>
      </w:pPr>
      <w:r>
        <w:t xml:space="preserve">Frank Y. Cai</w:t>
      </w:r>
      <w:r>
        <w:rPr>
          <w:vertAlign w:val="superscript"/>
        </w:rPr>
        <w:t xml:space="preserve">1</w:t>
      </w:r>
      <w:r>
        <w:t xml:space="preserve"> </w:t>
      </w:r>
      <w:r>
        <w:t xml:space="preserve">· S. Cai</w:t>
      </w:r>
      <w:r>
        <w:rPr>
          <w:vertAlign w:val="superscript"/>
        </w:rPr>
        <w:t xml:space="preserve">2</w:t>
      </w:r>
      <w:r>
        <w:t xml:space="preserve"> </w:t>
      </w:r>
      <w:r>
        <w:t xml:space="preserve">· J. Yan</w:t>
      </w:r>
      <w:r>
        <w:rPr>
          <w:vertAlign w:val="superscript"/>
        </w:rPr>
        <w:t xml:space="preserve">3</w:t>
      </w:r>
    </w:p>
    <w:p>
      <w:pPr>
        <w:pStyle w:val="BodyText"/>
      </w:pPr>
      <w:r>
        <w:rPr>
          <w:vertAlign w:val="superscript"/>
        </w:rPr>
        <w:t xml:space="preserve">1</w:t>
      </w:r>
      <w:r>
        <w:t xml:space="preserve">School of Engineering Technologies, Purdue University, West Lafayette, Indiana, USA</w:t>
      </w:r>
    </w:p>
    <w:p>
      <w:pPr>
        <w:pStyle w:val="BodyText"/>
      </w:pPr>
      <w:r>
        <w:rPr>
          <w:vertAlign w:val="superscript"/>
        </w:rPr>
        <w:t xml:space="preserve">2</w:t>
      </w:r>
      <w:r>
        <w:t xml:space="preserve">Fort Wayne Metals, Fort Wayne, Indiana, USA</w:t>
      </w:r>
    </w:p>
    <w:p>
      <w:pPr>
        <w:pStyle w:val="BodyText"/>
      </w:pPr>
      <w:r>
        <w:rPr>
          <w:vertAlign w:val="superscript"/>
        </w:rPr>
        <w:t xml:space="preserve">3</w:t>
      </w:r>
      <w:r>
        <w:t xml:space="preserve">Shanghai Synchrotron Radiation Facility, Shanghai, China</w:t>
      </w:r>
    </w:p>
    <w:p>
      <w:pPr>
        <w:pStyle w:val="BodyText"/>
      </w:pPr>
      <w:r>
        <w:rPr>
          <w:b/>
          <w:bCs/>
        </w:rPr>
        <w:t xml:space="preserve">Corresponding author:</w:t>
      </w:r>
      <w:r>
        <w:t xml:space="preserve"> </w:t>
      </w:r>
      <w:r>
        <w:t xml:space="preserve">Frank Y. Cai, cai485@purdue.edu</w:t>
      </w:r>
    </w:p>
    <w:p>
      <w:r>
        <w:pict>
          <v:rect style="width:0;height:1.5pt" o:hralign="center" o:hrstd="t" o:hr="t"/>
        </w:pict>
      </w:r>
    </w:p>
    <w:bookmarkStart w:id="9" w:name="abstract"/>
    <w:p>
      <w:pPr>
        <w:pStyle w:val="Heading1"/>
      </w:pPr>
      <w:r>
        <w:t xml:space="preserve">Abstract</w:t>
      </w:r>
    </w:p>
    <w:p>
      <w:pPr>
        <w:pStyle w:val="FirstParagraph"/>
      </w:pPr>
      <w:r>
        <w:t xml:space="preserve">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actually work once synthesized. Here we report the synthesis and mechanical characterization of an LLM-hypothesized Fe-Mn-Al-Si-Ni-C composition, benchmarked against an established super-elastic Fe-Mn-Al-Ni alloy processed under identical conditions. The AI-hypothesized alloy was readily castable but failed to exhibit super-elasticity under any condition tested, deforming instead like a conventional elastic metal. Synchrotron X-ray diffraction showed that this failure stems from a phase-stability mismatch: the AI alloy forms a stable dual-phase microstructure with a minor ordered Fe-Al phase that does not support the transformation pathway the benchmark alloy relies on, likely promoted by its elevated carbon content. We conclude that LLM-proposed alloy compositions cannot be assumed to work as intended and should be screened for competing phase stability and interstitial content before physical synthesis is attempted.</w:t>
      </w:r>
    </w:p>
    <w:p>
      <w:pPr>
        <w:pStyle w:val="BodyText"/>
      </w:pPr>
      <w:r>
        <w:rPr>
          <w:b/>
          <w:bCs/>
        </w:rPr>
        <w:t xml:space="preserve">Keywords:</w:t>
      </w:r>
      <w:r>
        <w:t xml:space="preserve"> </w:t>
      </w:r>
      <w:r>
        <w:t xml:space="preserve">Fe-based shape memory alloy; super-elasticity; AI-guided alloy design; synchrotron XRD; abnormal grain growth</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Materials discovery has been advanced by deep-learning models trained on first-principles thermodynamics. For example, DeepMind’s GNoME predicted more than 2.2 million previously unreported crystal structures with high precision against DFT validation</w:t>
      </w:r>
      <w:r>
        <w:t xml:space="preserve"> </w:t>
      </w:r>
      <w:r>
        <w:t xml:space="preserve">(Merchant et al. 2023)</w:t>
      </w:r>
      <w:r>
        <w:t xml:space="preserve">, and agentic large language models with deep-research capabilities can ingest decades of metallurgical literature and propose compositions in seconds</w:t>
      </w:r>
      <w:r>
        <w:t xml:space="preserve"> </w:t>
      </w:r>
      <w:r>
        <w:t xml:space="preserve">(Google DeepMind 2025; Xu and Peng 2025)</w:t>
      </w:r>
      <w:r>
        <w:t xml:space="preserve">. Together these tools raise the possibility of alloy design that supplements intuition-guided iteration with AI-proposed, thermodynamically screened candidates. Recent studies have begun applying such AI methods specifically to shape memory alloys, including data-driven composition screening</w:t>
      </w:r>
      <w:r>
        <w:t xml:space="preserve"> </w:t>
      </w:r>
      <w:r>
        <w:t xml:space="preserve">(Trehern et al. 2022)</w:t>
      </w:r>
      <w:r>
        <w:t xml:space="preserve">, generative inverse design</w:t>
      </w:r>
      <w:r>
        <w:t xml:space="preserve"> </w:t>
      </w:r>
      <w:r>
        <w:t xml:space="preserve">(Li et al. 2026)</w:t>
      </w:r>
      <w:r>
        <w:t xml:space="preserve">, and LLM-based hypothesis generation</w:t>
      </w:r>
      <w:r>
        <w:t xml:space="preserve"> </w:t>
      </w:r>
      <w:r>
        <w:t xml:space="preserve">(Hu et al. 2024)</w:t>
      </w:r>
      <w:r>
        <w:t xml:space="preserve">. However, whether these AI models practically work or not is yet to be tested. Current generative materials models typically optimize for thermodynamic stability (formation energy, convex-hull distance) but may not, in general, explicitly consider the kinetic barriers governing microstructure evolution during processing</w:t>
      </w:r>
      <w:r>
        <w:t xml:space="preserve"> </w:t>
      </w:r>
      <w:r>
        <w:t xml:space="preserve">(Merchant et al. 2023)</w:t>
      </w:r>
      <w:r>
        <w:t xml:space="preserve">. A composition whose target phase lies on the DFT convex hull might still be difficult to realize in practice. It is our interest to examine a large language model (LLM)-hypothesized shape memory alloy (SMA). To the best of our knowledge, experimentally validated studies on this topic remain very rare.</w:t>
      </w:r>
    </w:p>
    <w:p>
      <w:pPr>
        <w:pStyle w:val="BodyText"/>
      </w:pPr>
      <w:r>
        <w:t xml:space="preserve">SMAs exhibit reversible martensitic transformations that enable two technologically important behaviors: the shape memory effect, in which thermally induced phase changes recover macroscopic deformation, and super-elasticity, in which stress-induced martensite reverts upon unloading</w:t>
      </w:r>
      <w:r>
        <w:t xml:space="preserve"> </w:t>
      </w:r>
      <w:r>
        <w:t xml:space="preserve">(Otsuka and Wayman 1998; Lagoudas 2008)</w:t>
      </w:r>
      <w:r>
        <w:t xml:space="preserve">. As the dominant commercial SMA, Nitinol, a near 50Ni-50Ti alloy, offers large recoverable strains of 6–8%, excellent cyclic stability, and biocompatibility, which make it widely used in medical devices, aerospace actuators, and damping applications</w:t>
      </w:r>
      <w:r>
        <w:t xml:space="preserve"> </w:t>
      </w:r>
      <w:r>
        <w:t xml:space="preserve">(Duerig et al. 1999; Mohd Jani et al. 2014)</w:t>
      </w:r>
      <w:r>
        <w:t xml:space="preserve">. However, due to its relatively high manufacturing cost, the application of Nitinol in structural engineering such as prestressing tendons for concrete and seismic dampers remains very limited.</w:t>
      </w:r>
    </w:p>
    <w:p>
      <w:pPr>
        <w:pStyle w:val="BodyText"/>
      </w:pPr>
      <w:r>
        <w:t xml:space="preserve">Fe-based shape memory alloys offer a path to lower cost</w:t>
      </w:r>
      <w:r>
        <w:t xml:space="preserve"> </w:t>
      </w:r>
      <w:r>
        <w:t xml:space="preserve">(Cladera et al. 2014)</w:t>
      </w:r>
      <w:r>
        <w:t xml:space="preserve">. The work of Omori</w:t>
      </w:r>
      <w:r>
        <w:t xml:space="preserve"> </w:t>
      </w:r>
      <w:r>
        <w:rPr>
          <w:i/>
          <w:iCs/>
        </w:rPr>
        <w:t xml:space="preserve">et al.</w:t>
      </w:r>
      <w:r>
        <w:t xml:space="preserve"> </w:t>
      </w:r>
      <w:r>
        <w:t xml:space="preserve">found that certain Fe-Mn-Al-Ni alloys were capable of large strain recovery at room temperature after abnormal grain growth (AGG)</w:t>
      </w:r>
      <w:r>
        <w:t xml:space="preserve"> </w:t>
      </w:r>
      <w:r>
        <w:t xml:space="preserve">(Omori et al. 2011)</w:t>
      </w:r>
      <w:r>
        <w:t xml:space="preserve">,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w:t>
      </w:r>
      <w:r>
        <w:t xml:space="preserve"> </w:t>
      </w:r>
      <w:r>
        <w:t xml:space="preserve">(Vollmer et al. 2016; Abuzaid et al. 2019)</w:t>
      </w:r>
      <w:r>
        <w:t xml:space="preserve">. However, achieving a bamboo-like grain structure poses significant challenges, especially at industrial scale. In this study, we adopted this alloy system, trained an AI with over 200 published papers on Fe-based SMAs along with other publicly available information, and asked the AI for lower-cost alternatives with the potential to exhibit super-elasticity with small grain sizes. We processed one of the AI-hypothesized compositions alongside the alloy reported by Omori</w:t>
      </w:r>
      <w:r>
        <w:t xml:space="preserve"> </w:t>
      </w:r>
      <w:r>
        <w:rPr>
          <w:i/>
          <w:iCs/>
        </w:rPr>
        <w:t xml:space="preserve">et al.</w:t>
      </w:r>
      <w:r>
        <w:t xml:space="preserve"> </w:t>
      </w:r>
      <w:r>
        <w:t xml:space="preserve">(Omori et al. 2011)</w:t>
      </w:r>
      <w:r>
        <w:t xml:space="preserve">. Because the processing history was kept identical for both alloys, compositional differences are the sole variable determining the final mechanical properties.</w:t>
      </w:r>
    </w:p>
    <w:p>
      <w:r>
        <w:pict>
          <v:rect style="width:0;height:1.5pt" o:hralign="center" o:hrstd="t" o:hr="t"/>
        </w:pict>
      </w:r>
    </w:p>
    <w:bookmarkEnd w:id="10"/>
    <w:bookmarkStart w:id="16" w:name="materials-and-experiments"/>
    <w:p>
      <w:pPr>
        <w:pStyle w:val="Heading1"/>
      </w:pPr>
      <w:r>
        <w:t xml:space="preserve">2. Materials and Experiments</w:t>
      </w:r>
    </w:p>
    <w:bookmarkStart w:id="11" w:name="alloy-design-and-synthesis"/>
    <w:p>
      <w:pPr>
        <w:pStyle w:val="Heading2"/>
      </w:pPr>
      <w:r>
        <w:t xml:space="preserve">2.1 Alloy design and synthesis</w:t>
      </w:r>
    </w:p>
    <w:p>
      <w:pPr>
        <w:pStyle w:val="FirstParagraph"/>
      </w:pPr>
      <w:r>
        <w:t xml:space="preserve">The AI-hypothesized composition was generated by an LLM deep-research agent (Gemini 2.5 with the Deep Research tool</w:t>
      </w:r>
      <w:r>
        <w:t xml:space="preserve"> </w:t>
      </w:r>
      <w:r>
        <w:t xml:space="preserve">(Google DeepMind 2025)</w:t>
      </w:r>
      <w:r>
        <w:t xml:space="preserve">) prompted to propose an Fe-Mn-Al-based composition optimized for room-temperature super-elasticity. The agent was instructed to (i) reason from the Fe-Mn-Al-Ni family established by Omori and co-workers</w:t>
      </w:r>
      <w:r>
        <w:t xml:space="preserve"> </w:t>
      </w:r>
      <w:r>
        <w:t xml:space="preserve">(Omori et al. 2011; Omori and Kainuma 2017)</w:t>
      </w:r>
      <w:r>
        <w:t xml:space="preserve"> </w:t>
      </w:r>
      <w:r>
        <w:t xml:space="preserve">as a starting point and search for even cheaper alternatives, (ii) consult thermodynamic-stability data, (iii) target β-NiAl/carbide precipitation as a strengthening pathway, and (iv) minimize cost by excluding cobalt and tantalum. Within one of the AI-suggested composition ranges, we selected a composition of 50Fe-30Mn-12Al-4Ni-4Si (at%) with an additional 1000 ppm C, where the Fe, Mn, Al, and Ni are intended to form a BCC parent phase and β (NiAl-type) precipitates. Ni content is kept moderate to lower cost.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For direct comparison, a second alloy of composition 43.5Fe-34Mn-15Al-7.5Ni (at%), based on the work of Omori</w:t>
      </w:r>
      <w:r>
        <w:t xml:space="preserve"> </w:t>
      </w:r>
      <w:r>
        <w:rPr>
          <w:i/>
          <w:iCs/>
        </w:rPr>
        <w:t xml:space="preserve">et al.</w:t>
      </w:r>
      <w:r>
        <w:t xml:space="preserve"> </w:t>
      </w:r>
      <w:r>
        <w:t xml:space="preserve">(Omori et al. 2011)</w:t>
      </w:r>
      <w:r>
        <w:t xml:space="preserve">, was synthesized under identical conditions. These alloys are hereafter named the AI-alloy and Omori-alloy, respectively.</w:t>
      </w:r>
    </w:p>
    <w:p>
      <w:pPr>
        <w:pStyle w:val="BodyText"/>
      </w:pPr>
      <w:r>
        <w:t xml:space="preserve">Using high-purity raw elements, about 2 kg of each alloy was melted in a vacuum induction furnace and cast into ø50 mm ingots. Alloy chemistries are listed in</w:t>
      </w:r>
      <w:r>
        <w:t xml:space="preserve"> </w:t>
      </w:r>
      <w:r>
        <w:rPr>
          <w:b/>
          <w:bCs/>
        </w:rPr>
        <w:t xml:space="preserve">Table 1</w:t>
      </w:r>
      <w:r>
        <w:t xml:space="preserve">. For both alloys, the actual chemistries measured by inductively coupled plasma atomic emission spectroscopy (ICP-AES) are very close to the nominal values, except that Si is lower in the AI-alloy and unexpected P is present in the Omori-alloy; the source of the P is unknown.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necessitated intermediate annealing at 1000 °C under argon to restore ductility between draw passes. The amount of cold drawing was ≈85% area reduction after the last process anneal.</w:t>
      </w:r>
    </w:p>
    <w:p>
      <w:pPr>
        <w:pStyle w:val="BodyText"/>
      </w:pPr>
      <w:r>
        <w:rPr>
          <w:b/>
          <w:bCs/>
        </w:rPr>
        <w:t xml:space="preserve">Table 1.</w:t>
      </w:r>
      <w:r>
        <w:t xml:space="preserve"> </w:t>
      </w:r>
      <w:r>
        <w:t xml:space="preserve">Chemistries (in wt%) of the two alloys as measured by inductively coupled plasma atomic emission spectroscopy (ICP-AES). Carbon was measured by ASTM E1019. Elements present at less than 0.01 wt% are not listed.</w:t>
      </w:r>
    </w:p>
    <w:tbl>
      <w:tblPr>
        <w:tblStyle w:val="Table"/>
        <w:tblW w:type="pct" w:w="5000"/>
        <w:tblLayout w:type="fixed"/>
        <w:tblLook w:firstRow="1" w:lastRow="0" w:firstColumn="0" w:lastColumn="0" w:noHBand="0" w:noVBand="0" w:val="0020"/>
      </w:tblPr>
      <w:tblGrid>
        <w:gridCol w:w="705"/>
        <w:gridCol w:w="1646"/>
        <w:gridCol w:w="1646"/>
        <w:gridCol w:w="1960"/>
        <w:gridCol w:w="1960"/>
      </w:tblGrid>
      <w:tr>
        <w:trPr>
          <w:tblHeader w:val="on"/>
        </w:trPr>
        <w:tc>
          <w:tcPr/>
          <w:p>
            <w:pPr>
              <w:pStyle w:val="Compact"/>
            </w:pPr>
            <w:r>
              <w:t xml:space="preserve">Element</w:t>
            </w:r>
          </w:p>
        </w:tc>
        <w:tc>
          <w:tcPr/>
          <w:p>
            <w:pPr>
              <w:pStyle w:val="Compact"/>
            </w:pPr>
            <w:r>
              <w:t xml:space="preserve">AI-alloy (nominal)</w:t>
            </w:r>
          </w:p>
        </w:tc>
        <w:tc>
          <w:tcPr/>
          <w:p>
            <w:pPr>
              <w:pStyle w:val="Compact"/>
            </w:pPr>
            <w:r>
              <w:t xml:space="preserve">AI-alloy (actual)</w:t>
            </w:r>
          </w:p>
        </w:tc>
        <w:tc>
          <w:tcPr/>
          <w:p>
            <w:pPr>
              <w:pStyle w:val="Compact"/>
            </w:pPr>
            <w:r>
              <w:t xml:space="preserve">Omori-alloy (nominal)</w:t>
            </w:r>
          </w:p>
        </w:tc>
        <w:tc>
          <w:tcPr/>
          <w:p>
            <w:pPr>
              <w:pStyle w:val="Compact"/>
            </w:pPr>
            <w:r>
              <w:t xml:space="preserve">Omori-alloy (actual)</w:t>
            </w:r>
          </w:p>
        </w:tc>
      </w:tr>
      <w:tr>
        <w:tc>
          <w:tcPr/>
          <w:p>
            <w:pPr>
              <w:pStyle w:val="Compact"/>
            </w:pPr>
            <w:r>
              <w:t xml:space="preserve">Fe</w:t>
            </w:r>
          </w:p>
        </w:tc>
        <w:tc>
          <w:tcPr/>
          <w:p>
            <w:pPr>
              <w:pStyle w:val="Compact"/>
            </w:pPr>
            <w:r>
              <w:t xml:space="preserve">54.5</w:t>
            </w:r>
          </w:p>
        </w:tc>
        <w:tc>
          <w:tcPr/>
          <w:p>
            <w:pPr>
              <w:pStyle w:val="Compact"/>
            </w:pPr>
            <w:r>
              <w:t xml:space="preserve">55.83</w:t>
            </w:r>
          </w:p>
        </w:tc>
        <w:tc>
          <w:tcPr/>
          <w:p>
            <w:pPr>
              <w:pStyle w:val="Compact"/>
            </w:pPr>
            <w:r>
              <w:t xml:space="preserve">47.08</w:t>
            </w:r>
          </w:p>
        </w:tc>
        <w:tc>
          <w:tcPr/>
          <w:p>
            <w:pPr>
              <w:pStyle w:val="Compact"/>
            </w:pPr>
            <w:r>
              <w:t xml:space="preserve">46.51</w:t>
            </w:r>
          </w:p>
        </w:tc>
      </w:tr>
      <w:tr>
        <w:tc>
          <w:tcPr/>
          <w:p>
            <w:pPr>
              <w:pStyle w:val="Compact"/>
            </w:pPr>
            <w:r>
              <w:t xml:space="preserve">Mn</w:t>
            </w:r>
          </w:p>
        </w:tc>
        <w:tc>
          <w:tcPr/>
          <w:p>
            <w:pPr>
              <w:pStyle w:val="Compact"/>
            </w:pPr>
            <w:r>
              <w:t xml:space="preserve">32.3</w:t>
            </w:r>
          </w:p>
        </w:tc>
        <w:tc>
          <w:tcPr/>
          <w:p>
            <w:pPr>
              <w:pStyle w:val="Compact"/>
            </w:pPr>
            <w:r>
              <w:t xml:space="preserve">31.78</w:t>
            </w:r>
          </w:p>
        </w:tc>
        <w:tc>
          <w:tcPr/>
          <w:p>
            <w:pPr>
              <w:pStyle w:val="Compact"/>
            </w:pPr>
            <w:r>
              <w:t xml:space="preserve">36.43</w:t>
            </w:r>
          </w:p>
        </w:tc>
        <w:tc>
          <w:tcPr/>
          <w:p>
            <w:pPr>
              <w:pStyle w:val="Compact"/>
            </w:pPr>
            <w:r>
              <w:t xml:space="preserve">36.49</w:t>
            </w:r>
          </w:p>
        </w:tc>
      </w:tr>
      <w:tr>
        <w:tc>
          <w:tcPr/>
          <w:p>
            <w:pPr>
              <w:pStyle w:val="Compact"/>
            </w:pPr>
            <w:r>
              <w:t xml:space="preserve">Al</w:t>
            </w:r>
          </w:p>
        </w:tc>
        <w:tc>
          <w:tcPr/>
          <w:p>
            <w:pPr>
              <w:pStyle w:val="Compact"/>
            </w:pPr>
            <w:r>
              <w:t xml:space="preserve">6.4</w:t>
            </w:r>
          </w:p>
        </w:tc>
        <w:tc>
          <w:tcPr/>
          <w:p>
            <w:pPr>
              <w:pStyle w:val="Compact"/>
            </w:pPr>
            <w:r>
              <w:t xml:space="preserve">6.24</w:t>
            </w:r>
          </w:p>
        </w:tc>
        <w:tc>
          <w:tcPr/>
          <w:p>
            <w:pPr>
              <w:pStyle w:val="Compact"/>
            </w:pPr>
            <w:r>
              <w:t xml:space="preserve">7.9</w:t>
            </w:r>
          </w:p>
        </w:tc>
        <w:tc>
          <w:tcPr/>
          <w:p>
            <w:pPr>
              <w:pStyle w:val="Compact"/>
            </w:pPr>
            <w:r>
              <w:t xml:space="preserve">8.00</w:t>
            </w:r>
          </w:p>
        </w:tc>
      </w:tr>
      <w:tr>
        <w:tc>
          <w:tcPr/>
          <w:p>
            <w:pPr>
              <w:pStyle w:val="Compact"/>
            </w:pPr>
            <w:r>
              <w:t xml:space="preserve">Ni</w:t>
            </w:r>
          </w:p>
        </w:tc>
        <w:tc>
          <w:tcPr/>
          <w:p>
            <w:pPr>
              <w:pStyle w:val="Compact"/>
            </w:pPr>
            <w:r>
              <w:t xml:space="preserve">4.6</w:t>
            </w:r>
          </w:p>
        </w:tc>
        <w:tc>
          <w:tcPr/>
          <w:p>
            <w:pPr>
              <w:pStyle w:val="Compact"/>
            </w:pPr>
            <w:r>
              <w:t xml:space="preserve">4.81</w:t>
            </w:r>
          </w:p>
        </w:tc>
        <w:tc>
          <w:tcPr/>
          <w:p>
            <w:pPr>
              <w:pStyle w:val="Compact"/>
            </w:pPr>
            <w:r>
              <w:t xml:space="preserve">8.59</w:t>
            </w:r>
          </w:p>
        </w:tc>
        <w:tc>
          <w:tcPr/>
          <w:p>
            <w:pPr>
              <w:pStyle w:val="Compact"/>
            </w:pPr>
            <w:r>
              <w:t xml:space="preserve">8.94</w:t>
            </w:r>
          </w:p>
        </w:tc>
      </w:tr>
      <w:tr>
        <w:tc>
          <w:tcPr/>
          <w:p>
            <w:pPr>
              <w:pStyle w:val="Compact"/>
            </w:pPr>
            <w:r>
              <w:t xml:space="preserve">Si</w:t>
            </w:r>
          </w:p>
        </w:tc>
        <w:tc>
          <w:tcPr/>
          <w:p>
            <w:pPr>
              <w:pStyle w:val="Compact"/>
            </w:pPr>
            <w:r>
              <w:t xml:space="preserve">2.2</w:t>
            </w:r>
          </w:p>
        </w:tc>
        <w:tc>
          <w:tcPr/>
          <w:p>
            <w:pPr>
              <w:pStyle w:val="Compact"/>
            </w:pPr>
            <w:r>
              <w:t xml:space="preserve">1.11</w:t>
            </w:r>
          </w:p>
        </w:tc>
        <w:tc>
          <w:tcPr/>
          <w:p>
            <w:pPr>
              <w:pStyle w:val="Compact"/>
            </w:pPr>
            <w:r>
              <w:t xml:space="preserve">–</w:t>
            </w:r>
          </w:p>
        </w:tc>
        <w:tc>
          <w:tcPr/>
          <w:p>
            <w:pPr>
              <w:pStyle w:val="Compact"/>
            </w:pPr>
            <w:r>
              <w:t xml:space="preserve">&lt;0.01</w:t>
            </w:r>
          </w:p>
        </w:tc>
      </w:tr>
      <w:tr>
        <w:tc>
          <w:tcPr/>
          <w:p>
            <w:pPr>
              <w:pStyle w:val="Compact"/>
            </w:pPr>
            <w:r>
              <w:t xml:space="preserve">C</w:t>
            </w:r>
          </w:p>
        </w:tc>
        <w:tc>
          <w:tcPr/>
          <w:p>
            <w:pPr>
              <w:pStyle w:val="Compact"/>
            </w:pPr>
            <w:r>
              <w:t xml:space="preserve">0.1</w:t>
            </w:r>
          </w:p>
        </w:tc>
        <w:tc>
          <w:tcPr/>
          <w:p>
            <w:pPr>
              <w:pStyle w:val="Compact"/>
            </w:pPr>
            <w:r>
              <w:t xml:space="preserve">0.105</w:t>
            </w:r>
          </w:p>
        </w:tc>
        <w:tc>
          <w:tcPr/>
          <w:p>
            <w:pPr>
              <w:pStyle w:val="Compact"/>
            </w:pPr>
            <w:r>
              <w:t xml:space="preserve">–</w:t>
            </w:r>
          </w:p>
        </w:tc>
        <w:tc>
          <w:tcPr/>
          <w:p>
            <w:pPr>
              <w:pStyle w:val="Compact"/>
            </w:pPr>
            <w:r>
              <w:t xml:space="preserve">0.01</w:t>
            </w:r>
          </w:p>
        </w:tc>
      </w:tr>
      <w:tr>
        <w:tc>
          <w:tcPr/>
          <w:p>
            <w:pPr>
              <w:pStyle w:val="Compact"/>
            </w:pPr>
            <w:r>
              <w:t xml:space="preserve">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0.06</w:t>
            </w:r>
          </w:p>
        </w:tc>
      </w:tr>
    </w:tbl>
    <w:bookmarkEnd w:id="11"/>
    <w:bookmarkStart w:id="12" w:name="heat-treatments"/>
    <w:p>
      <w:pPr>
        <w:pStyle w:val="Heading2"/>
      </w:pPr>
      <w:r>
        <w:t xml:space="preserve">2.2 Heat treatments</w:t>
      </w:r>
    </w:p>
    <w:p>
      <w:pPr>
        <w:pStyle w:val="FirstParagraph"/>
      </w:pPr>
      <w:r>
        <w:t xml:space="preserve">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treatment at 1200 °C for 60 minutes followed by water quench. The same heat treatment has been used by others to promote abnormal grain growth</w:t>
      </w:r>
      <w:r>
        <w:t xml:space="preserve"> </w:t>
      </w:r>
      <w:r>
        <w:t xml:space="preserve">(Omori et al. 2016)</w:t>
      </w:r>
      <w:r>
        <w:t xml:space="preserve">. Heat treatment above 1200 °C caused severe oxidation or furnace contamination.</w:t>
      </w:r>
    </w:p>
    <w:bookmarkEnd w:id="12"/>
    <w:bookmarkStart w:id="13" w:name="metallography"/>
    <w:p>
      <w:pPr>
        <w:pStyle w:val="Heading2"/>
      </w:pPr>
      <w:r>
        <w:t xml:space="preserve">2.3 Metallography</w:t>
      </w:r>
    </w:p>
    <w:p>
      <w:pPr>
        <w:pStyle w:val="FirstParagraph"/>
      </w:pPr>
      <w:r>
        <w:t xml:space="preserve">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spectroscopy (EDS) were used to study microstructure and local chemistry.</w:t>
      </w:r>
    </w:p>
    <w:bookmarkEnd w:id="13"/>
    <w:bookmarkStart w:id="14" w:name="mechanical-testing"/>
    <w:p>
      <w:pPr>
        <w:pStyle w:val="Heading2"/>
      </w:pPr>
      <w:r>
        <w:t xml:space="preserve">2.4 Mechanical testing</w:t>
      </w:r>
    </w:p>
    <w:p>
      <w:pPr>
        <w:pStyle w:val="FirstParagraph"/>
      </w:pPr>
      <w:r>
        <w:t xml:space="preserve">Room-temperature cyclic tensile testing was performed on an Instron in displacement control. During the test, each specimen was cyclically loaded to fracture with a 1% strain increment for each cycle. The sample gauge length was 13 mm and the strain rate was 1 × 10⁻³ s⁻¹. This test reveals the material’s super-elasticity. A special loading–unloading–heating cyclic tensile test was also conducted to evaluate any potential shape-memory response. In this case, selected samples were loaded to 3% strain, unloaded to zero stress, and continued to zero strain. At the same time, the sample was heated to ≈200 °C to trigger any potential reversal of martensite to austenite. In this test, any shape-memory effect would be revealed during the heating stage, which causes the reloading stress to rise at a lower deformation strain.</w:t>
      </w:r>
    </w:p>
    <w:bookmarkEnd w:id="14"/>
    <w:bookmarkStart w:id="15" w:name="synchrotron-x-ray-diffraction"/>
    <w:p>
      <w:pPr>
        <w:pStyle w:val="Heading2"/>
      </w:pPr>
      <w:r>
        <w:t xml:space="preserve">2.5 Synchrotron X-ray diffraction</w:t>
      </w:r>
    </w:p>
    <w:p>
      <w:pPr>
        <w:pStyle w:val="FirstParagraph"/>
      </w:pPr>
      <w:r>
        <w:t xml:space="preserve">To identify phase constitution and potential phase change, synchrotron XRD measurements were performed at the ultra-hard X-ray multifunctional application beamline BL12SW of the Shanghai Synchrotron Radiation Facility (SSRF)</w:t>
      </w:r>
      <w:r>
        <w:t xml:space="preserve"> </w:t>
      </w:r>
      <w:r>
        <w:t xml:space="preserve">(Tai and Zhao 2024;</w:t>
      </w:r>
      <w:r>
        <w:t xml:space="preserve"> </w:t>
      </w:r>
      <w:r>
        <w:t xml:space="preserve">Yang et al.</w:t>
      </w:r>
      <w:r>
        <w:t xml:space="preserve"> </w:t>
      </w:r>
      <w:r>
        <w:t xml:space="preserve">2024)</w:t>
      </w:r>
      <w:r>
        <w:t xml:space="preserve">. The incident wavelength was λ = 0.12587 Å with a beam size of 0.5 × 0.5 mm². Two-dimensional Debye–Scherrer patterns were collected from each specimen before and after tensile deformation to test for any potential phase transformation. These 2D images were processed using FIT2D</w:t>
      </w:r>
      <w:r>
        <w:t xml:space="preserve"> </w:t>
      </w:r>
      <w:r>
        <w:t xml:space="preserve">(Hammersley 1998)</w:t>
      </w:r>
      <w:r>
        <w:t xml:space="preserve">, where diffraction data were sliced at 5-degree intervals along the 360-degree azimuth and integrated to generate 72 diffraction spectra, which were then fitted by Rietveld refinement</w:t>
      </w:r>
      <w:r>
        <w:t xml:space="preserve"> </w:t>
      </w:r>
      <w:r>
        <w:t xml:space="preserve">(Rietveld 1969)</w:t>
      </w:r>
      <w:r>
        <w:t xml:space="preserve"> </w:t>
      </w:r>
      <w:r>
        <w:t xml:space="preserve">in MAUD software</w:t>
      </w:r>
      <w:r>
        <w:t xml:space="preserve"> </w:t>
      </w:r>
      <w:r>
        <w:t xml:space="preserve">(Lutterotti et al. 1997)</w:t>
      </w:r>
      <w:r>
        <w:t xml:space="preserve"> </w:t>
      </w:r>
      <w:r>
        <w:t xml:space="preserve">to identify phase constitutions, volume fractions, and crystal orientations of the different phases.</w:t>
      </w:r>
    </w:p>
    <w:p>
      <w:r>
        <w:pict>
          <v:rect style="width:0;height:1.5pt" o:hralign="center" o:hrstd="t" o:hr="t"/>
        </w:pict>
      </w:r>
    </w:p>
    <w:bookmarkEnd w:id="15"/>
    <w:bookmarkEnd w:id="16"/>
    <w:bookmarkStart w:id="38" w:name="experiment-results"/>
    <w:p>
      <w:pPr>
        <w:pStyle w:val="Heading1"/>
      </w:pPr>
      <w:r>
        <w:t xml:space="preserve">3. Experiment Results</w:t>
      </w:r>
    </w:p>
    <w:bookmarkStart w:id="20" w:name="microstructure"/>
    <w:p>
      <w:pPr>
        <w:pStyle w:val="Heading2"/>
      </w:pPr>
      <w:r>
        <w:t xml:space="preserve">3.1 Microstructure</w:t>
      </w:r>
    </w:p>
    <w:p>
      <w:pPr>
        <w:pStyle w:val="FirstParagraph"/>
      </w:pPr>
      <w:r>
        <w:rPr>
          <w:b/>
          <w:bCs/>
        </w:rPr>
        <w:t xml:space="preserve">Fig. 1a</w:t>
      </w:r>
      <w:r>
        <w:t xml:space="preserve"> </w:t>
      </w:r>
      <w:r>
        <w:t xml:space="preserve">shows the microstructure of the AI alloy after heat treatment at 1200 °C for 1 minute. The material exhibits a highly refined, fine-grained equiaxed microstructure with average grain diameters well under 20 µm. Scanning electron microscopy (</w:t>
      </w:r>
      <w:r>
        <w:rPr>
          <w:b/>
          <w:bCs/>
        </w:rPr>
        <w:t xml:space="preserve">Fig. 1b</w:t>
      </w:r>
      <w:r>
        <w:t xml:space="preserve">) identifies this morphology as an intimate mixture of a matrix (darker grey area) interlocked with blocky islands (brighter areas). EDS analysis detected higher Al content in the matrix but more Mn in the blocky islands, suggesting that the AI alloy has a dual-phase structure, where the Al-rich areas are likely BCC α-phase and the Mn-rich areas are FCC γ-phase. Prolonging the annealing duration to 40 minutes at the same temperature (</w:t>
      </w:r>
      <w:r>
        <w:rPr>
          <w:b/>
          <w:bCs/>
        </w:rPr>
        <w:t xml:space="preserve">Fig. 1c</w:t>
      </w:r>
      <w:r>
        <w:t xml:space="preserve">)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p>
    <w:p>
      <w:pPr>
        <w:pStyle w:val="CaptionedFigure"/>
      </w:pPr>
      <w:r>
        <w:drawing>
          <wp:inline>
            <wp:extent cx="5334000" cy="1357799"/>
            <wp:effectExtent b="0" l="0" r="0" t="0"/>
            <wp:docPr descr="Fig. 1. Microstructure of the AI alloy after heat treatment: (a) 1200 °C, 1 min, optical; (b) 1200 °C, 1 min, SEM; (c) 1200 °C, 40 min, optical." title="" id="18" name="Picture"/>
            <a:graphic>
              <a:graphicData uri="http://schemas.openxmlformats.org/drawingml/2006/picture">
                <pic:pic>
                  <pic:nvPicPr>
                    <pic:cNvPr descr="figures/Figure_1.jpg" id="19" name="Picture"/>
                    <pic:cNvPicPr>
                      <a:picLocks noChangeArrowheads="1" noChangeAspect="1"/>
                    </pic:cNvPicPr>
                  </pic:nvPicPr>
                  <pic:blipFill>
                    <a:blip r:embed="rId17"/>
                    <a:stretch>
                      <a:fillRect/>
                    </a:stretch>
                  </pic:blipFill>
                  <pic:spPr bwMode="auto">
                    <a:xfrm>
                      <a:off x="0" y="0"/>
                      <a:ext cx="5334000" cy="1357799"/>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Microstructure of the AI alloy after heat treatment: (a) 1200 °C, 1 min, optical; (b) 1200 °C, 1 min, SEM; (c) 1200 °C, 40 min, optical.</w:t>
      </w:r>
    </w:p>
    <w:bookmarkEnd w:id="20"/>
    <w:bookmarkStart w:id="27" w:name="cyclic-stressstrain-response"/>
    <w:p>
      <w:pPr>
        <w:pStyle w:val="Heading2"/>
      </w:pPr>
      <w:r>
        <w:t xml:space="preserve">3.2 Cyclic stress–strain response</w:t>
      </w:r>
    </w:p>
    <w:p>
      <w:pPr>
        <w:pStyle w:val="FirstParagraph"/>
      </w:pPr>
      <w:r>
        <w:t xml:space="preserve">Cyclic tensile stress–strain curves for the AI alloy after heat treatment at different temperatures are shown in</w:t>
      </w:r>
      <w:r>
        <w:t xml:space="preserve"> </w:t>
      </w:r>
      <w:r>
        <w:rPr>
          <w:b/>
          <w:bCs/>
        </w:rPr>
        <w:t xml:space="preserve">Fig. 2</w:t>
      </w:r>
      <w:r>
        <w:t xml:space="preserve">, and the corresponding data are listed in</w:t>
      </w:r>
      <w:r>
        <w:t xml:space="preserve"> </w:t>
      </w:r>
      <w:r>
        <w:rPr>
          <w:b/>
          <w:bCs/>
        </w:rPr>
        <w:t xml:space="preserve">Table 2</w:t>
      </w:r>
      <w:r>
        <w:t xml:space="preserve">.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peaking near 33% at 1000 °C. The elastic modulus, E, stays in the ≈150–165 GPa range across the well-annealed conditions. Across all AI-alloy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w:t>
      </w:r>
      <w:r>
        <w:t xml:space="preserve"> </w:t>
      </w:r>
      <w:r>
        <w:t xml:space="preserve">(Tanaka et al. 2010; Vollmer et al. 2019)</w:t>
      </w:r>
      <w:r>
        <w:t xml:space="preserve">; this was not the case for the AI alloy (</w:t>
      </w:r>
      <w:r>
        <w:rPr>
          <w:b/>
          <w:bCs/>
        </w:rPr>
        <w:t xml:space="preserve">Fig. 2f</w:t>
      </w:r>
      <w:r>
        <w:t xml:space="preserve">).</w:t>
      </w:r>
    </w:p>
    <w:p>
      <w:pPr>
        <w:pStyle w:val="BodyText"/>
      </w:pPr>
      <w:r>
        <w:rPr>
          <w:b/>
          <w:bCs/>
        </w:rPr>
        <w:t xml:space="preserve">Table 2.</w:t>
      </w:r>
      <w:r>
        <w:t xml:space="preserve"> </w:t>
      </w:r>
      <w:r>
        <w:t xml:space="preserve">Mechanical properties of the AI alloy after heat treatment for 1 minute at different temperatures.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 (°C)</w:t>
            </w:r>
          </w:p>
        </w:tc>
        <w:tc>
          <w:tcPr/>
          <w:p>
            <w:pPr>
              <w:pStyle w:val="Compact"/>
            </w:pPr>
            <w:r>
              <w:t xml:space="preserve">σ₀.₂ (MPa)</w:t>
            </w:r>
          </w:p>
        </w:tc>
        <w:tc>
          <w:tcPr/>
          <w:p>
            <w:pPr>
              <w:pStyle w:val="Compact"/>
            </w:pPr>
            <w:r>
              <w:t xml:space="preserve">UTS (MPa)</w:t>
            </w:r>
          </w:p>
        </w:tc>
        <w:tc>
          <w:tcPr/>
          <w:p>
            <w:pPr>
              <w:pStyle w:val="Compact"/>
            </w:pPr>
            <w:r>
              <w:t xml:space="preserve">Elong. (%)</w:t>
            </w:r>
          </w:p>
        </w:tc>
        <w:tc>
          <w:tcPr/>
          <w:p>
            <w:pPr>
              <w:pStyle w:val="Compact"/>
            </w:pPr>
            <w:r>
              <w:t xml:space="preserve">E (GPa)</w:t>
            </w:r>
          </w:p>
        </w:tc>
      </w:tr>
      <w:tr>
        <w:tc>
          <w:tcPr/>
          <w:p>
            <w:pPr>
              <w:pStyle w:val="Compact"/>
            </w:pPr>
            <w:r>
              <w:t xml:space="preserve">As drawn</w:t>
            </w:r>
          </w:p>
        </w:tc>
        <w:tc>
          <w:tcPr/>
          <w:p>
            <w:pPr>
              <w:pStyle w:val="Compact"/>
            </w:pPr>
            <w:r>
              <w:t xml:space="preserve">1528</w:t>
            </w:r>
          </w:p>
        </w:tc>
        <w:tc>
          <w:tcPr/>
          <w:p>
            <w:pPr>
              <w:pStyle w:val="Compact"/>
            </w:pPr>
            <w:r>
              <w:t xml:space="preserve">1925</w:t>
            </w:r>
          </w:p>
        </w:tc>
        <w:tc>
          <w:tcPr/>
          <w:p>
            <w:pPr>
              <w:pStyle w:val="Compact"/>
            </w:pPr>
            <w:r>
              <w:t xml:space="preserve">2.0</w:t>
            </w:r>
          </w:p>
        </w:tc>
        <w:tc>
          <w:tcPr/>
          <w:p>
            <w:pPr>
              <w:pStyle w:val="Compact"/>
            </w:pPr>
            <w:r>
              <w:t xml:space="preserve">143.7</w:t>
            </w:r>
          </w:p>
        </w:tc>
      </w:tr>
      <w:tr>
        <w:tc>
          <w:tcPr/>
          <w:p>
            <w:pPr>
              <w:pStyle w:val="Compact"/>
            </w:pPr>
            <w:r>
              <w:t xml:space="preserve">600</w:t>
            </w:r>
          </w:p>
        </w:tc>
        <w:tc>
          <w:tcPr/>
          <w:p>
            <w:pPr>
              <w:pStyle w:val="Compact"/>
            </w:pPr>
            <w:r>
              <w:t xml:space="preserve">1948</w:t>
            </w:r>
          </w:p>
        </w:tc>
        <w:tc>
          <w:tcPr/>
          <w:p>
            <w:pPr>
              <w:pStyle w:val="Compact"/>
            </w:pPr>
            <w:r>
              <w:t xml:space="preserve">2293</w:t>
            </w:r>
          </w:p>
        </w:tc>
        <w:tc>
          <w:tcPr/>
          <w:p>
            <w:pPr>
              <w:pStyle w:val="Compact"/>
            </w:pPr>
            <w:r>
              <w:t xml:space="preserve">2.3</w:t>
            </w:r>
          </w:p>
        </w:tc>
        <w:tc>
          <w:tcPr/>
          <w:p>
            <w:pPr>
              <w:pStyle w:val="Compact"/>
            </w:pPr>
            <w:r>
              <w:t xml:space="preserve">157.4</w:t>
            </w:r>
          </w:p>
        </w:tc>
      </w:tr>
      <w:tr>
        <w:tc>
          <w:tcPr/>
          <w:p>
            <w:pPr>
              <w:pStyle w:val="Compact"/>
            </w:pPr>
            <w:r>
              <w:t xml:space="preserve">700</w:t>
            </w:r>
          </w:p>
        </w:tc>
        <w:tc>
          <w:tcPr/>
          <w:p>
            <w:pPr>
              <w:pStyle w:val="Compact"/>
            </w:pPr>
            <w:r>
              <w:t xml:space="preserve">1683</w:t>
            </w:r>
          </w:p>
        </w:tc>
        <w:tc>
          <w:tcPr/>
          <w:p>
            <w:pPr>
              <w:pStyle w:val="Compact"/>
            </w:pPr>
            <w:r>
              <w:t xml:space="preserve">2009</w:t>
            </w:r>
          </w:p>
        </w:tc>
        <w:tc>
          <w:tcPr/>
          <w:p>
            <w:pPr>
              <w:pStyle w:val="Compact"/>
            </w:pPr>
            <w:r>
              <w:t xml:space="preserve">2.2</w:t>
            </w:r>
          </w:p>
        </w:tc>
        <w:tc>
          <w:tcPr/>
          <w:p>
            <w:pPr>
              <w:pStyle w:val="Compact"/>
            </w:pPr>
            <w:r>
              <w:t xml:space="preserve">164.8</w:t>
            </w:r>
          </w:p>
        </w:tc>
      </w:tr>
      <w:tr>
        <w:tc>
          <w:tcPr/>
          <w:p>
            <w:pPr>
              <w:pStyle w:val="Compact"/>
            </w:pPr>
            <w:r>
              <w:t xml:space="preserve">800</w:t>
            </w:r>
          </w:p>
        </w:tc>
        <w:tc>
          <w:tcPr/>
          <w:p>
            <w:pPr>
              <w:pStyle w:val="Compact"/>
            </w:pPr>
            <w:r>
              <w:t xml:space="preserve">1167</w:t>
            </w:r>
          </w:p>
        </w:tc>
        <w:tc>
          <w:tcPr/>
          <w:p>
            <w:pPr>
              <w:pStyle w:val="Compact"/>
            </w:pPr>
            <w:r>
              <w:t xml:space="preserve">1216</w:t>
            </w:r>
          </w:p>
        </w:tc>
        <w:tc>
          <w:tcPr/>
          <w:p>
            <w:pPr>
              <w:pStyle w:val="Compact"/>
            </w:pPr>
            <w:r>
              <w:t xml:space="preserve">24.0</w:t>
            </w:r>
          </w:p>
        </w:tc>
        <w:tc>
          <w:tcPr/>
          <w:p>
            <w:pPr>
              <w:pStyle w:val="Compact"/>
            </w:pPr>
            <w:r>
              <w:t xml:space="preserve">155.5</w:t>
            </w:r>
          </w:p>
        </w:tc>
      </w:tr>
      <w:tr>
        <w:tc>
          <w:tcPr/>
          <w:p>
            <w:pPr>
              <w:pStyle w:val="Compact"/>
            </w:pPr>
            <w:r>
              <w:t xml:space="preserve">900</w:t>
            </w:r>
          </w:p>
        </w:tc>
        <w:tc>
          <w:tcPr/>
          <w:p>
            <w:pPr>
              <w:pStyle w:val="Compact"/>
            </w:pPr>
            <w:r>
              <w:t xml:space="preserve">944</w:t>
            </w:r>
          </w:p>
        </w:tc>
        <w:tc>
          <w:tcPr/>
          <w:p>
            <w:pPr>
              <w:pStyle w:val="Compact"/>
            </w:pPr>
            <w:r>
              <w:t xml:space="preserve">1078</w:t>
            </w:r>
          </w:p>
        </w:tc>
        <w:tc>
          <w:tcPr/>
          <w:p>
            <w:pPr>
              <w:pStyle w:val="Compact"/>
            </w:pPr>
            <w:r>
              <w:t xml:space="preserve">29.7</w:t>
            </w:r>
          </w:p>
        </w:tc>
        <w:tc>
          <w:tcPr/>
          <w:p>
            <w:pPr>
              <w:pStyle w:val="Compact"/>
            </w:pPr>
            <w:r>
              <w:t xml:space="preserve">152.2</w:t>
            </w:r>
          </w:p>
        </w:tc>
      </w:tr>
      <w:tr>
        <w:tc>
          <w:tcPr/>
          <w:p>
            <w:pPr>
              <w:pStyle w:val="Compact"/>
            </w:pPr>
            <w:r>
              <w:t xml:space="preserve">1000</w:t>
            </w:r>
          </w:p>
        </w:tc>
        <w:tc>
          <w:tcPr/>
          <w:p>
            <w:pPr>
              <w:pStyle w:val="Compact"/>
            </w:pPr>
            <w:r>
              <w:t xml:space="preserve">673</w:t>
            </w:r>
          </w:p>
        </w:tc>
        <w:tc>
          <w:tcPr/>
          <w:p>
            <w:pPr>
              <w:pStyle w:val="Compact"/>
            </w:pPr>
            <w:r>
              <w:t xml:space="preserve">967</w:t>
            </w:r>
          </w:p>
        </w:tc>
        <w:tc>
          <w:tcPr/>
          <w:p>
            <w:pPr>
              <w:pStyle w:val="Compact"/>
            </w:pPr>
            <w:r>
              <w:t xml:space="preserve">33.4</w:t>
            </w:r>
          </w:p>
        </w:tc>
        <w:tc>
          <w:tcPr/>
          <w:p>
            <w:pPr>
              <w:pStyle w:val="Compact"/>
            </w:pPr>
            <w:r>
              <w:t xml:space="preserve">155.6</w:t>
            </w:r>
          </w:p>
        </w:tc>
      </w:tr>
      <w:tr>
        <w:tc>
          <w:tcPr/>
          <w:p>
            <w:pPr>
              <w:pStyle w:val="Compact"/>
            </w:pPr>
            <w:r>
              <w:t xml:space="preserve">1100</w:t>
            </w:r>
          </w:p>
        </w:tc>
        <w:tc>
          <w:tcPr/>
          <w:p>
            <w:pPr>
              <w:pStyle w:val="Compact"/>
            </w:pPr>
            <w:r>
              <w:t xml:space="preserve">556</w:t>
            </w:r>
          </w:p>
        </w:tc>
        <w:tc>
          <w:tcPr/>
          <w:p>
            <w:pPr>
              <w:pStyle w:val="Compact"/>
            </w:pPr>
            <w:r>
              <w:t xml:space="preserve">947</w:t>
            </w:r>
          </w:p>
        </w:tc>
        <w:tc>
          <w:tcPr/>
          <w:p>
            <w:pPr>
              <w:pStyle w:val="Compact"/>
            </w:pPr>
            <w:r>
              <w:t xml:space="preserve">29.7</w:t>
            </w:r>
          </w:p>
        </w:tc>
        <w:tc>
          <w:tcPr/>
          <w:p>
            <w:pPr>
              <w:pStyle w:val="Compact"/>
            </w:pPr>
            <w:r>
              <w:t xml:space="preserve">156.8</w:t>
            </w:r>
          </w:p>
        </w:tc>
      </w:tr>
      <w:tr>
        <w:tc>
          <w:tcPr/>
          <w:p>
            <w:pPr>
              <w:pStyle w:val="Compact"/>
            </w:pPr>
            <w:r>
              <w:t xml:space="preserve">1200</w:t>
            </w:r>
          </w:p>
        </w:tc>
        <w:tc>
          <w:tcPr/>
          <w:p>
            <w:pPr>
              <w:pStyle w:val="Compact"/>
            </w:pPr>
            <w:r>
              <w:t xml:space="preserve">502</w:t>
            </w:r>
          </w:p>
        </w:tc>
        <w:tc>
          <w:tcPr/>
          <w:p>
            <w:pPr>
              <w:pStyle w:val="Compact"/>
            </w:pPr>
            <w:r>
              <w:t xml:space="preserve">938</w:t>
            </w:r>
          </w:p>
        </w:tc>
        <w:tc>
          <w:tcPr/>
          <w:p>
            <w:pPr>
              <w:pStyle w:val="Compact"/>
            </w:pPr>
            <w:r>
              <w:t xml:space="preserve">23.9</w:t>
            </w:r>
          </w:p>
        </w:tc>
        <w:tc>
          <w:tcPr/>
          <w:p>
            <w:pPr>
              <w:pStyle w:val="Compact"/>
            </w:pPr>
            <w:r>
              <w:t xml:space="preserve">163.0</w:t>
            </w:r>
          </w:p>
        </w:tc>
      </w:tr>
    </w:tbl>
    <w:p>
      <w:pPr>
        <w:pStyle w:val="CaptionedFigure"/>
      </w:pPr>
      <w:r>
        <w:drawing>
          <wp:inline>
            <wp:extent cx="4937760" cy="2849880"/>
            <wp:effectExtent b="0" l="0" r="0" t="0"/>
            <wp:docPr descr="Fig. 2. Cyclic stress–strain curves of the AI alloy after annealing for 1 minute at various temperatures. Wire diameter is 0.36 mm. Panel (f) shows the stress–strain response of the annealed-plus-aged sample." title="" id="22" name="Picture"/>
            <a:graphic>
              <a:graphicData uri="http://schemas.openxmlformats.org/drawingml/2006/picture">
                <pic:pic>
                  <pic:nvPicPr>
                    <pic:cNvPr descr="figures/Figure_2.jpg" id="23" name="Picture"/>
                    <pic:cNvPicPr>
                      <a:picLocks noChangeArrowheads="1" noChangeAspect="1"/>
                    </pic:cNvPicPr>
                  </pic:nvPicPr>
                  <pic:blipFill>
                    <a:blip r:embed="rId21"/>
                    <a:stretch>
                      <a:fillRect/>
                    </a:stretch>
                  </pic:blipFill>
                  <pic:spPr bwMode="auto">
                    <a:xfrm>
                      <a:off x="0" y="0"/>
                      <a:ext cx="4937760" cy="2849880"/>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Cyclic stress–strain curves of the AI alloy after annealing for 1 minute at various temperatures. Wire diameter is 0.36 mm. Panel (f) shows the stress–strain response of the annealed-plus-aged sample.</w:t>
      </w:r>
    </w:p>
    <w:p>
      <w:pPr>
        <w:pStyle w:val="BodyText"/>
      </w:pPr>
      <w:r>
        <w:rPr>
          <w:b/>
          <w:bCs/>
        </w:rPr>
        <w:t xml:space="preserve">Fig. 3</w:t>
      </w:r>
      <w:r>
        <w:t xml:space="preserve"> </w:t>
      </w:r>
      <w:r>
        <w:t xml:space="preserve">compares the stress–strain behavior of the AI and Omori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Omori alloy:</w:t>
      </w:r>
      <w:r>
        <w:t xml:space="preserve"> </w:t>
      </w:r>
      <w:r>
        <w:rPr>
          <w:b/>
          <w:bCs/>
        </w:rPr>
        <w:t xml:space="preserve">Fig. 3b</w:t>
      </w:r>
      <w:r>
        <w:t xml:space="preserve"> </w:t>
      </w:r>
      <w:r>
        <w:t xml:space="preserve">shows that its residual strain after unloading from 3% deformation is ≈2.2%, and upon reloading, stress rises at a strain of ≈1.7%. This 0.5% strain recovery caused by heating is evidence of stress-induced martensite transformation in the Omori alloy — the stress-induced martensite was stable enough to survive unloading but transformed back to austenite upon heating. By contrast,</w:t>
      </w:r>
      <w:r>
        <w:t xml:space="preserve"> </w:t>
      </w:r>
      <w:r>
        <w:rPr>
          <w:b/>
          <w:bCs/>
        </w:rPr>
        <w:t xml:space="preserve">Fig. 3a</w:t>
      </w:r>
      <w:r>
        <w:t xml:space="preserve"> </w:t>
      </w:r>
      <w:r>
        <w:t xml:space="preserve">shows no strain recovery of the AI alloy during this test, indicating that it deforms plastically with no pseudo-elasticity regardless of heat-treating condition. We conclude that the microstructure of the AI alloy is very stable and that stress-induced phase transformation is not one of its active deformation mechanisms.</w:t>
      </w:r>
    </w:p>
    <w:p>
      <w:pPr>
        <w:pStyle w:val="CaptionedFigure"/>
      </w:pPr>
      <w:r>
        <w:drawing>
          <wp:inline>
            <wp:extent cx="3630167" cy="1371600"/>
            <wp:effectExtent b="0" l="0" r="0" t="0"/>
            <wp:docPr descr="Fig. 3. Loading–unloading–heating tests of (a) the AI alloy and (b) the Omori alloy. Samples were heat treated at 1200 °C for 1 minute. Black arrows show the deformation path; the red arrow highlights the strain recovery caused by heating." title="" id="25" name="Picture"/>
            <a:graphic>
              <a:graphicData uri="http://schemas.openxmlformats.org/drawingml/2006/picture">
                <pic:pic>
                  <pic:nvPicPr>
                    <pic:cNvPr descr="figures/Figure_3.jpg" id="26" name="Picture"/>
                    <pic:cNvPicPr>
                      <a:picLocks noChangeArrowheads="1" noChangeAspect="1"/>
                    </pic:cNvPicPr>
                  </pic:nvPicPr>
                  <pic:blipFill>
                    <a:blip r:embed="rId24"/>
                    <a:stretch>
                      <a:fillRect/>
                    </a:stretch>
                  </pic:blipFill>
                  <pic:spPr bwMode="auto">
                    <a:xfrm>
                      <a:off x="0" y="0"/>
                      <a:ext cx="3630167" cy="1371600"/>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Loading–unloading–heating tests of (a) the AI alloy and (b) the Omori alloy. Samples were heat treated at 1200 °C for 1 minute. Black arrows show the deformation path; the red arrow highlights the strain recovery caused by heating.</w:t>
      </w:r>
    </w:p>
    <w:bookmarkEnd w:id="27"/>
    <w:bookmarkStart w:id="37" w:name="X7b0047580ff68e3c8823c4535b0eba55ad6dd86"/>
    <w:p>
      <w:pPr>
        <w:pStyle w:val="Heading2"/>
      </w:pPr>
      <w:r>
        <w:t xml:space="preserve">3.3 Synchrotron diffraction and phase identification</w:t>
      </w:r>
    </w:p>
    <w:p>
      <w:pPr>
        <w:pStyle w:val="FirstParagraph"/>
      </w:pPr>
      <w:r>
        <w:t xml:space="preserve">Synchrotron XRD of samples before and after deformation is shown in</w:t>
      </w:r>
      <w:r>
        <w:t xml:space="preserve"> </w:t>
      </w:r>
      <w:r>
        <w:rPr>
          <w:b/>
          <w:bCs/>
        </w:rPr>
        <w:t xml:space="preserve">Fig. 4</w:t>
      </w:r>
      <w:r>
        <w:t xml:space="preserve">.</w:t>
      </w:r>
      <w:r>
        <w:t xml:space="preserve"> </w:t>
      </w:r>
      <w:r>
        <w:rPr>
          <w:b/>
          <w:bCs/>
        </w:rPr>
        <w:t xml:space="preserve">Fig. 5</w:t>
      </w:r>
      <w:r>
        <w:t xml:space="preserve"> </w:t>
      </w:r>
      <w:r>
        <w:t xml:space="preserve">shows good overall agreement between the experimental data (lower half) and the results of Rietveld refinement (upper half) for the AI alloy. Based on this result, the AI alloy is estimated to consist of ≈62% FCC γ-phase, ≈34% BCC α-phase, and ≈4% DO₃ Fe₃Al phase. Its diffraction patterns before and after deformation are essentially the same (</w:t>
      </w:r>
      <w:r>
        <w:rPr>
          <w:b/>
          <w:bCs/>
        </w:rPr>
        <w:t xml:space="preserve">Fig. 4a, b</w:t>
      </w:r>
      <w:r>
        <w:t xml:space="preserve">), and relative peak intensities (</w:t>
      </w:r>
      <w:r>
        <w:rPr>
          <w:b/>
          <w:bCs/>
        </w:rPr>
        <w:t xml:space="preserve">Fig. 6a</w:t>
      </w:r>
      <w:r>
        <w:t xml:space="preserve">) are essentially unchanged: no new diffraction peaks appear and none disappear. Although an ex-situ measurement made after unloading cannot, on its own, exclude a fully reversible transformation that reverts on unloading, the absence of any mechanical recovery (</w:t>
      </w:r>
      <w:r>
        <w:rPr>
          <w:b/>
          <w:bCs/>
        </w:rPr>
        <w:t xml:space="preserve">Figs. 2 and 3</w:t>
      </w:r>
      <w:r>
        <w:t xml:space="preserve">) together with the unchanged multi-phase pattern points consistently to deformation by dislocation slip rather than stress-induced phase transformation. The shift from sharp, discrete spotty patterns in the undeformed state (</w:t>
      </w:r>
      <w:r>
        <w:rPr>
          <w:b/>
          <w:bCs/>
        </w:rPr>
        <w:t xml:space="preserve">Fig. 4a</w:t>
      </w:r>
      <w:r>
        <w:t xml:space="preserve">) to broader, partially arced rings after deformation (</w:t>
      </w:r>
      <w:r>
        <w:rPr>
          <w:b/>
          <w:bCs/>
        </w:rPr>
        <w:t xml:space="preserve">Fig. 4b</w:t>
      </w:r>
      <w:r>
        <w:t xml:space="preserve">) can be attributed to dislocation activity, which results in peak broadening and/or the formation of tiny sub-grains. In comparison, the Omori alloy presents a BCC α-dominated pattern with FCC γ-phase and ordered β-NiAl (B2) precipitate diffractions in the undeformed state (</w:t>
      </w:r>
      <w:r>
        <w:rPr>
          <w:b/>
          <w:bCs/>
        </w:rPr>
        <w:t xml:space="preserve">Fig. 4c</w:t>
      </w:r>
      <w:r>
        <w:t xml:space="preserve">); after 8% applied strain, the {111}γ reflection intensifies and the overlapping {200}α redistributes in intensity (</w:t>
      </w:r>
      <w:r>
        <w:rPr>
          <w:b/>
          <w:bCs/>
        </w:rPr>
        <w:t xml:space="preserve">Fig. 4d</w:t>
      </w:r>
      <w:r>
        <w:t xml:space="preserve">), consistent with stress-induced γ formation and partial variant activation. The change in peak intensity after deformation of the Omori alloy is also clearly shown in</w:t>
      </w:r>
      <w:r>
        <w:t xml:space="preserve"> </w:t>
      </w:r>
      <w:r>
        <w:rPr>
          <w:b/>
          <w:bCs/>
        </w:rPr>
        <w:t xml:space="preserve">Fig. 6b</w:t>
      </w:r>
      <w:r>
        <w:t xml:space="preserve">.</w:t>
      </w:r>
    </w:p>
    <w:p>
      <w:pPr>
        <w:pStyle w:val="BodyText"/>
      </w:pPr>
      <w:r>
        <w:t xml:space="preserve">It is worth noting that the AI alloy after AGG heat treatment showed an X-ray diffraction pattern similar to</w:t>
      </w:r>
      <w:r>
        <w:t xml:space="preserve"> </w:t>
      </w:r>
      <w:r>
        <w:rPr>
          <w:b/>
          <w:bCs/>
        </w:rPr>
        <w:t xml:space="preserve">Fig. 4a</w:t>
      </w:r>
      <w:r>
        <w:t xml:space="preserve">, indicating that the multi-phase microstructure is a stable state of this alloy at 1200 °C.</w:t>
      </w:r>
    </w:p>
    <w:p>
      <w:pPr>
        <w:pStyle w:val="CaptionedFigure"/>
      </w:pPr>
      <w:r>
        <w:drawing>
          <wp:inline>
            <wp:extent cx="2426208" cy="2292096"/>
            <wp:effectExtent b="0" l="0" r="0" t="0"/>
            <wp:docPr descr="Fig. 4. 2D synchrotron X-ray diffraction images of (a) AI alloy annealed at 1200 °C for 1 min, (b) annealed AI alloy after 10% tensile strain, (c) Omori alloy annealed at 1200 °C for 1 min, and (d) annealed Omori alloy after 8% tensile strain." title="" id="29" name="Picture"/>
            <a:graphic>
              <a:graphicData uri="http://schemas.openxmlformats.org/drawingml/2006/picture">
                <pic:pic>
                  <pic:nvPicPr>
                    <pic:cNvPr descr="figures/Figure_4.jpg" id="30" name="Picture"/>
                    <pic:cNvPicPr>
                      <a:picLocks noChangeArrowheads="1" noChangeAspect="1"/>
                    </pic:cNvPicPr>
                  </pic:nvPicPr>
                  <pic:blipFill>
                    <a:blip r:embed="rId28"/>
                    <a:stretch>
                      <a:fillRect/>
                    </a:stretch>
                  </pic:blipFill>
                  <pic:spPr bwMode="auto">
                    <a:xfrm>
                      <a:off x="0" y="0"/>
                      <a:ext cx="2426208" cy="2292096"/>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2D synchrotron X-ray diffraction images of (a) AI alloy annealed at 1200 °C for 1 min, (b) annealed AI alloy after 10% tensile strain, (c) Omori alloy annealed at 1200 °C for 1 min, and (d) annealed Omori alloy after 8% tensile strain.</w:t>
      </w:r>
    </w:p>
    <w:p>
      <w:pPr>
        <w:pStyle w:val="CaptionedFigure"/>
      </w:pPr>
      <w:r>
        <w:drawing>
          <wp:inline>
            <wp:extent cx="2895600" cy="2313432"/>
            <wp:effectExtent b="0" l="0" r="0" t="0"/>
            <wp:docPr descr="Fig. 5. Comparison between synchrotron X-ray diffraction data (lower half) and results of Rietveld refinement (upper half) for the AI alloy heat treated at 1200 °C for 1 minute." title="" id="32" name="Picture"/>
            <a:graphic>
              <a:graphicData uri="http://schemas.openxmlformats.org/drawingml/2006/picture">
                <pic:pic>
                  <pic:nvPicPr>
                    <pic:cNvPr descr="figures/Figure_5.jpg" id="33" name="Picture"/>
                    <pic:cNvPicPr>
                      <a:picLocks noChangeArrowheads="1" noChangeAspect="1"/>
                    </pic:cNvPicPr>
                  </pic:nvPicPr>
                  <pic:blipFill>
                    <a:blip r:embed="rId31"/>
                    <a:stretch>
                      <a:fillRect/>
                    </a:stretch>
                  </pic:blipFill>
                  <pic:spPr bwMode="auto">
                    <a:xfrm>
                      <a:off x="0" y="0"/>
                      <a:ext cx="2895600" cy="2313432"/>
                    </a:xfrm>
                    <a:prstGeom prst="rect">
                      <a:avLst/>
                    </a:prstGeom>
                    <a:noFill/>
                    <a:ln w="9525">
                      <a:noFill/>
                      <a:headEnd/>
                      <a:tailEnd/>
                    </a:ln>
                  </pic:spPr>
                </pic:pic>
              </a:graphicData>
            </a:graphic>
          </wp:inline>
        </w:drawing>
      </w:r>
    </w:p>
    <w:p>
      <w:pPr>
        <w:pStyle w:val="ImageCaption"/>
      </w:pPr>
      <w:r>
        <w:rPr>
          <w:b/>
          <w:bCs/>
        </w:rPr>
        <w:t xml:space="preserve">Fig. 5.</w:t>
      </w:r>
      <w:r>
        <w:t xml:space="preserve"> </w:t>
      </w:r>
      <w:r>
        <w:t xml:space="preserve">Comparison between synchrotron X-ray diffraction data (lower half) and results of Rietveld refinement (upper half) for the AI alloy heat treated at 1200 °C for 1 minute.</w:t>
      </w:r>
    </w:p>
    <w:p>
      <w:pPr>
        <w:pStyle w:val="CaptionedFigure"/>
      </w:pPr>
      <w:r>
        <w:drawing>
          <wp:inline>
            <wp:extent cx="2337816" cy="2709672"/>
            <wp:effectExtent b="0" l="0" r="0" t="0"/>
            <wp:docPr descr="Fig. 6. Azimuthally integrated X-ray diffraction spectra of (a) the AI alloy and (b) the Omori alloy before and after deformation. Samples were heat treated at 1200 °C for 1 minute before deformation." title="" id="35" name="Picture"/>
            <a:graphic>
              <a:graphicData uri="http://schemas.openxmlformats.org/drawingml/2006/picture">
                <pic:pic>
                  <pic:nvPicPr>
                    <pic:cNvPr descr="figures/Figure_6.jpg" id="36" name="Picture"/>
                    <pic:cNvPicPr>
                      <a:picLocks noChangeArrowheads="1" noChangeAspect="1"/>
                    </pic:cNvPicPr>
                  </pic:nvPicPr>
                  <pic:blipFill>
                    <a:blip r:embed="rId34"/>
                    <a:stretch>
                      <a:fillRect/>
                    </a:stretch>
                  </pic:blipFill>
                  <pic:spPr bwMode="auto">
                    <a:xfrm>
                      <a:off x="0" y="0"/>
                      <a:ext cx="2337816" cy="2709672"/>
                    </a:xfrm>
                    <a:prstGeom prst="rect">
                      <a:avLst/>
                    </a:prstGeom>
                    <a:noFill/>
                    <a:ln w="9525">
                      <a:noFill/>
                      <a:headEnd/>
                      <a:tailEnd/>
                    </a:ln>
                  </pic:spPr>
                </pic:pic>
              </a:graphicData>
            </a:graphic>
          </wp:inline>
        </w:drawing>
      </w:r>
    </w:p>
    <w:p>
      <w:pPr>
        <w:pStyle w:val="ImageCaption"/>
      </w:pPr>
      <w:r>
        <w:rPr>
          <w:b/>
          <w:bCs/>
        </w:rPr>
        <w:t xml:space="preserve">Fig. 6.</w:t>
      </w:r>
      <w:r>
        <w:t xml:space="preserve"> </w:t>
      </w:r>
      <w:r>
        <w:t xml:space="preserve">Azimuthally integrated X-ray diffraction spectra of (a) the AI alloy and (b) the Omori alloy before and after deformation. Samples were heat treated at 1200 °C for 1 minute before deformation.</w:t>
      </w:r>
    </w:p>
    <w:p>
      <w:r>
        <w:pict>
          <v:rect style="width:0;height:1.5pt" o:hralign="center" o:hrstd="t" o:hr="t"/>
        </w:pict>
      </w:r>
    </w:p>
    <w:bookmarkEnd w:id="37"/>
    <w:bookmarkEnd w:id="38"/>
    <w:bookmarkStart w:id="42" w:name="discussion"/>
    <w:p>
      <w:pPr>
        <w:pStyle w:val="Heading1"/>
      </w:pPr>
      <w:r>
        <w:t xml:space="preserve">4. Discussion</w:t>
      </w:r>
    </w:p>
    <w:bookmarkStart w:id="39" w:name="X58357b202da789a88ec9478e0111cd3c94b5213"/>
    <w:p>
      <w:pPr>
        <w:pStyle w:val="Heading2"/>
      </w:pPr>
      <w:r>
        <w:t xml:space="preserve">4.1 Origin of the absence of stress-induced phase transformation</w:t>
      </w:r>
    </w:p>
    <w:p>
      <w:pPr>
        <w:pStyle w:val="FirstParagraph"/>
      </w:pPr>
      <w:r>
        <w:t xml:space="preserve">The failure of the AI-hypothesized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AI-alloy is structurally dominated by the γ-phase (≈62%), whereas the α-phase accounts for only ≈37% of the volume fraction (Sec. 3.3). Compared to the Omori alloy (43.5Fe-34Mn-15Al-7.5Ni at%), the AI alloy has less Mn, Al, and Ni, but higher Fe, Si, and C. It is known that Fe, Si, and Al stabilize the BCC α-phase, while Mn, Ni, and C stabilize the FCC γ-phase</w:t>
      </w:r>
      <w:r>
        <w:t xml:space="preserve"> </w:t>
      </w:r>
      <w:r>
        <w:t xml:space="preserve">(Bhadeshia and Honeycombe 2017)</w:t>
      </w:r>
      <w:r>
        <w:t xml:space="preserve">.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 adding C appears to be more consequential than the changes in other elements. It is also worth noting that formation of the minor Fe₃Al phase extracts Fe and Al from the matrix, which could further decrease α-phase stability. Consequently, the AI alloy lacks the chemical driving force necessary to trigger a stress-induced phase transformation.</w:t>
      </w:r>
    </w:p>
    <w:p>
      <w:pPr>
        <w:pStyle w:val="BodyText"/>
      </w:pPr>
      <w:r>
        <w:t xml:space="preserve">Furthermore, mechanical and structural analyses indicate that the AI-alloy accommodates macroscopic deformation via irreversible dislocation slip rather than phase transitions. Whereas the Omori-alloy relies on coherent, ordered β-NiAl (B2) precipitates within its BCC matrix to suppress permanent slip and promote transformation reversibility, the AI-alloy instead forms a DO₃ Fe₃Al phase. Without the precipitation-hardening effect provided by fine B2 precipitates, the matrix lacks sufficient resistance to plastic flow. This is confirmed by the post-deformation synchrotron XRD patterns, where the transition from sharp, discrete spots to broad, partially arced rings reflects dislocation multiplication and sub-grain formation. Thus, the microstructural state of the AI-alloy remains highly stable at 1200 °C, favoring dislocation- or twinning-mediated plasticity over stress-induced martensitic transformation.</w:t>
      </w:r>
    </w:p>
    <w:bookmarkEnd w:id="39"/>
    <w:bookmarkStart w:id="40" w:name="X14190cefc5af7e6c61eb8a7f0ac8ec72264613c"/>
    <w:p>
      <w:pPr>
        <w:pStyle w:val="Heading2"/>
      </w:pPr>
      <w:r>
        <w:t xml:space="preserve">4.2 Anneal-temperature dependence of mechanical properties</w:t>
      </w:r>
    </w:p>
    <w:p>
      <w:pPr>
        <w:pStyle w:val="FirstParagraph"/>
      </w:pPr>
      <w:r>
        <w:t xml:space="preserve">Although the AI 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pPr>
        <w:pStyle w:val="BodyText"/>
      </w:pPr>
      <w:r>
        <w:t xml:space="preserve">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pPr>
        <w:pStyle w:val="BodyText"/>
      </w:pPr>
      <w:r>
        <w:t xml:space="preserve">The abrupt change near 800 °C marks the onset of recrystallization. Elongation jumps from 2.2% at 700 °C to 24.0% at 800 °C, while tensile strength falls from 2009 to 1216 MPa and yield strength from 1683 to 1167 MPa. This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pPr>
        <w:pStyle w:val="BodyText"/>
      </w:pPr>
      <w:r>
        <w:t xml:space="preserve">From 800 to 1200 °C the wire is fully recrystallized and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bookmarkEnd w:id="40"/>
    <w:bookmarkStart w:id="41" w:name="implications-for-ai-guided-alloy-design"/>
    <w:p>
      <w:pPr>
        <w:pStyle w:val="Heading2"/>
      </w:pPr>
      <w:r>
        <w:t xml:space="preserve">4.3 Implications for AI-guided alloy design</w:t>
      </w:r>
    </w:p>
    <w:p>
      <w:pPr>
        <w:pStyle w:val="FirstParagraph"/>
      </w:pPr>
      <w:r>
        <w:t xml:space="preserve">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pPr>
        <w:pStyle w:val="BodyText"/>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study should therefore be viewed not as a failure of AI itself, but as evidence that current AI models have not yet fully captured the complexity of structure–processing–property relationships in shape memory alloys.</w:t>
      </w:r>
    </w:p>
    <w:p>
      <w:r>
        <w:pict>
          <v:rect style="width:0;height:1.5pt" o:hralign="center" o:hrstd="t" o:hr="t"/>
        </w:pict>
      </w:r>
    </w:p>
    <w:bookmarkEnd w:id="41"/>
    <w:bookmarkEnd w:id="42"/>
    <w:bookmarkStart w:id="43" w:name="conclusions"/>
    <w:p>
      <w:pPr>
        <w:pStyle w:val="Heading1"/>
      </w:pPr>
      <w:r>
        <w:t xml:space="preserve">5. Conclusions</w:t>
      </w:r>
    </w:p>
    <w:p>
      <w:pPr>
        <w:pStyle w:val="FirstParagraph"/>
      </w:pPr>
      <w:r>
        <w:t xml:space="preserve">An AI-guided deep-research workflow was used to design a low-cost Fe-Mn-Al-based alloy targeting room-temperature super-elasticity. The proposed alloy was successfully synthesized and compared with the benchmark Fe-Mn-Al-Ni alloy reported by Omori</w:t>
      </w:r>
      <w:r>
        <w:t xml:space="preserve"> </w:t>
      </w:r>
      <w:r>
        <w:rPr>
          <w:i/>
          <w:iCs/>
        </w:rPr>
        <w:t xml:space="preserve">et al.</w:t>
      </w:r>
      <w:r>
        <w:t xml:space="preserve"> </w:t>
      </w:r>
      <w:r>
        <w:t xml:space="preserve">under identical processing conditions. The AI-designed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t>
      </w:r>
    </w:p>
    <w:p>
      <w:pPr>
        <w:pStyle w:val="BodyText"/>
      </w:pPr>
      <w:r>
        <w:t xml:space="preserve">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Nevertheless, this work demonstrates the value of experimentally validating AI-generated hypotheses and suggests that future models incorporating kinetic effects, phase transformations, and processing history may become powerful tools for accelerated alloy discovery.</w:t>
      </w:r>
    </w:p>
    <w:p>
      <w:r>
        <w:pict>
          <v:rect style="width:0;height:1.5pt" o:hralign="center" o:hrstd="t" o:hr="t"/>
        </w:pict>
      </w:r>
    </w:p>
    <w:bookmarkEnd w:id="43"/>
    <w:bookmarkStart w:id="44" w:name="acknowledgments"/>
    <w:p>
      <w:pPr>
        <w:pStyle w:val="Heading1"/>
      </w:pPr>
      <w:r>
        <w:t xml:space="preserve">Acknowledgments</w:t>
      </w:r>
    </w:p>
    <w:p>
      <w:pPr>
        <w:pStyle w:val="FirstParagraph"/>
      </w:pPr>
      <w:r>
        <w:t xml:space="preserve">The authors thank Fort Wayne Metals for providing access to melting, hot-rolling, cold-drawing, and metallography facilities, and for technical guidance throughout alloy synthesis.</w:t>
      </w:r>
    </w:p>
    <w:p>
      <w:pPr>
        <w:pStyle w:val="BodyText"/>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the SSRF for experimental support. Data analysis was performed using the FIT2D and MAUD software.</w:t>
      </w:r>
    </w:p>
    <w:p>
      <w:r>
        <w:pict>
          <v:rect style="width:0;height:1.5pt" o:hralign="center" o:hrstd="t" o:hr="t"/>
        </w:pict>
      </w:r>
    </w:p>
    <w:bookmarkEnd w:id="44"/>
    <w:bookmarkStart w:id="91" w:name="declarations"/>
    <w:p>
      <w:pPr>
        <w:pStyle w:val="Heading1"/>
      </w:pPr>
      <w:r>
        <w:t xml:space="preserve">Declarations</w:t>
      </w:r>
    </w:p>
    <w:p>
      <w:pPr>
        <w:pStyle w:val="FirstParagraph"/>
      </w:pPr>
      <w:r>
        <w:rPr>
          <w:b/>
          <w:bCs/>
        </w:rPr>
        <w:t xml:space="preserve">Funding.</w:t>
      </w:r>
      <w:r>
        <w:t xml:space="preserve"> </w:t>
      </w:r>
      <w:r>
        <w:t xml:space="preserve">No external funding was received for this work.</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Generative AI use.</w:t>
      </w:r>
      <w:r>
        <w:t xml:space="preserve"> </w:t>
      </w:r>
      <w:r>
        <w:t xml:space="preserve">An LLM deep-research agent (Google Gemini 2.5, Deep Research) was used to hypothesize the AI-alloy composition under study, as described in Sec. 2.1; this use is a study method, not a manuscript-preparation aid. No generative AI tools were used to draft, edit, or otherwise prepare the text of this manuscript.</w:t>
      </w:r>
    </w:p>
    <w:p>
      <w:pPr>
        <w:pStyle w:val="BodyText"/>
      </w:pPr>
      <w:r>
        <w:rPr>
          <w:b/>
          <w:bCs/>
        </w:rPr>
        <w:t xml:space="preserve">Data availability.</w:t>
      </w:r>
      <w:r>
        <w:t xml:space="preserve"> </w:t>
      </w:r>
      <w:r>
        <w:t xml:space="preserve">ICP-AES and interstitial-gas (ASTM E1019) chemistry certificates for both heats, raw synchrotron diffraction data, Instron cyclic-tensile export data, and metallographic images are available from the corresponding author on reasonable request.</w:t>
      </w:r>
    </w:p>
    <w:p>
      <w:r>
        <w:pict>
          <v:rect style="width:0;height:1.5pt" o:hralign="center" o:hrstd="t" o:hr="t"/>
        </w:pict>
      </w:r>
    </w:p>
    <w:bookmarkStart w:id="90" w:name="refs"/>
    <w:bookmarkStart w:id="46" w:name="ref-abuzaid2019femnnial"/>
    <w:p>
      <w:pPr>
        <w:pStyle w:val="Bibliography"/>
      </w:pPr>
      <w:r>
        <w:t xml:space="preserve">Abuzaid W, Wu Y, Sidharth R, et al (2019)</w:t>
      </w:r>
      <w:r>
        <w:t xml:space="preserve"> </w:t>
      </w:r>
      <w:r>
        <w:t xml:space="preserve">FeMnNiAl</w:t>
      </w:r>
      <w:r>
        <w:t xml:space="preserve"> </w:t>
      </w:r>
      <w:r>
        <w:t xml:space="preserve">iron-based shape memory alloy: Promises and challenges. Shape Memory and Superelasticity 5:384–396.</w:t>
      </w:r>
      <w:r>
        <w:t xml:space="preserve"> </w:t>
      </w:r>
      <w:hyperlink r:id="rId45">
        <w:r>
          <w:rPr>
            <w:rStyle w:val="Hyperlink"/>
          </w:rPr>
          <w:t xml:space="preserve">https://doi.org/10.1007/s40830-019-00230-9</w:t>
        </w:r>
      </w:hyperlink>
    </w:p>
    <w:bookmarkEnd w:id="46"/>
    <w:bookmarkStart w:id="47" w:name="ref-bhadeshia2010steels"/>
    <w:p>
      <w:pPr>
        <w:pStyle w:val="Bibliography"/>
      </w:pPr>
      <w:r>
        <w:t xml:space="preserve">Bhadeshia HKDH, Honeycombe RWK (2017) Steels: Microstructure and properties, Fourth. Elsevier Butterworth-Heinemann, Oxford</w:t>
      </w:r>
    </w:p>
    <w:bookmarkEnd w:id="47"/>
    <w:bookmarkStart w:id="49" w:name="ref-cladera2014ironbased"/>
    <w:p>
      <w:pPr>
        <w:pStyle w:val="Bibliography"/>
      </w:pPr>
      <w:r>
        <w:t xml:space="preserve">Cladera A, Weber B, Leinenbach C, et al (2014) Iron-based shape memory alloys for civil engineering structures: An overview. Construction and Building Materials 63:281–293.</w:t>
      </w:r>
      <w:r>
        <w:t xml:space="preserve"> </w:t>
      </w:r>
      <w:hyperlink r:id="rId48">
        <w:r>
          <w:rPr>
            <w:rStyle w:val="Hyperlink"/>
          </w:rPr>
          <w:t xml:space="preserve">https://doi.org/10.1016/j.conbuildmat.2014.04.032</w:t>
        </w:r>
      </w:hyperlink>
    </w:p>
    <w:bookmarkEnd w:id="49"/>
    <w:bookmarkStart w:id="51" w:name="ref-duerig1999overview"/>
    <w:p>
      <w:pPr>
        <w:pStyle w:val="Bibliography"/>
      </w:pPr>
      <w:r>
        <w:t xml:space="preserve">Duerig T, Pelton A, Stöckel D (1999) An overview of nitinol medical applications. Materials Science and Engineering: A 273–275:149–160.</w:t>
      </w:r>
      <w:r>
        <w:t xml:space="preserve"> </w:t>
      </w:r>
      <w:hyperlink r:id="rId50">
        <w:r>
          <w:rPr>
            <w:rStyle w:val="Hyperlink"/>
          </w:rPr>
          <w:t xml:space="preserve">https://doi.org/10.1016/S0921-5093(99)00294-4</w:t>
        </w:r>
      </w:hyperlink>
    </w:p>
    <w:bookmarkEnd w:id="51"/>
    <w:bookmarkStart w:id="53" w:name="ref-comanici2025gemini"/>
    <w:p>
      <w:pPr>
        <w:pStyle w:val="Bibliography"/>
      </w:pPr>
      <w:r>
        <w:t xml:space="preserve">Google DeepMind (2025)</w:t>
      </w:r>
      <w:r>
        <w:t xml:space="preserve"> </w:t>
      </w:r>
      <w:hyperlink r:id="rId52">
        <w:r>
          <w:rPr>
            <w:rStyle w:val="Hyperlink"/>
          </w:rPr>
          <w:t xml:space="preserve">Gemini 2.5</w:t>
        </w:r>
        <w:r>
          <w:rPr>
            <w:rStyle w:val="Hyperlink"/>
          </w:rPr>
          <w:t xml:space="preserve">: Pushing the frontier with advanced reasoning, multimodality, long context, and next-generation agentic capabilities</w:t>
        </w:r>
      </w:hyperlink>
    </w:p>
    <w:bookmarkEnd w:id="53"/>
    <w:bookmarkStart w:id="54" w:name="ref-hammersley1998fit2d"/>
    <w:p>
      <w:pPr>
        <w:pStyle w:val="Bibliography"/>
      </w:pPr>
      <w:r>
        <w:t xml:space="preserve">Hammersley AP (1998)</w:t>
      </w:r>
      <w:r>
        <w:t xml:space="preserve"> </w:t>
      </w:r>
      <w:r>
        <w:t xml:space="preserve">FIT2D</w:t>
      </w:r>
      <w:r>
        <w:t xml:space="preserve"> </w:t>
      </w:r>
      <w:r>
        <w:t xml:space="preserve">V9.129 reference manual V3.1</w:t>
      </w:r>
    </w:p>
    <w:bookmarkEnd w:id="54"/>
    <w:bookmarkStart w:id="56" w:name="ref-hu2024beyond"/>
    <w:p>
      <w:pPr>
        <w:pStyle w:val="Bibliography"/>
      </w:pPr>
      <w:r>
        <w:t xml:space="preserve">Hu Q, Han R, Buehler MJ (2024)</w:t>
      </w:r>
      <w:r>
        <w:t xml:space="preserve"> </w:t>
      </w:r>
      <w:hyperlink r:id="rId55">
        <w:r>
          <w:rPr>
            <w:rStyle w:val="Hyperlink"/>
          </w:rPr>
          <w:t xml:space="preserve">Beyond designer’s knowledge: Generating materials design hypotheses via large language models</w:t>
        </w:r>
      </w:hyperlink>
    </w:p>
    <w:bookmarkEnd w:id="56"/>
    <w:bookmarkStart w:id="58" w:name="ref-lagoudas2008shape"/>
    <w:p>
      <w:pPr>
        <w:pStyle w:val="Bibliography"/>
      </w:pPr>
      <w:r>
        <w:t xml:space="preserve">Lagoudas DC (ed) (2008)</w:t>
      </w:r>
      <w:r>
        <w:t xml:space="preserve"> </w:t>
      </w:r>
      <w:hyperlink r:id="rId57">
        <w:r>
          <w:rPr>
            <w:rStyle w:val="Hyperlink"/>
          </w:rPr>
          <w:t xml:space="preserve">Shape memory alloys: Modeling and engineering applications</w:t>
        </w:r>
      </w:hyperlink>
      <w:r>
        <w:t xml:space="preserve">. Springer, New York</w:t>
      </w:r>
    </w:p>
    <w:bookmarkEnd w:id="58"/>
    <w:bookmarkStart w:id="60" w:name="ref-generativeinversion2025"/>
    <w:p>
      <w:pPr>
        <w:pStyle w:val="Bibliography"/>
      </w:pPr>
      <w:r>
        <w:t xml:space="preserve">Li C, Dang P, Xian Y, et al (2026) Generative inverse design for property-targeted materials design: Application to shape memory alloys. Advanced Functional Materials 36:2527774.</w:t>
      </w:r>
      <w:r>
        <w:t xml:space="preserve"> </w:t>
      </w:r>
      <w:hyperlink r:id="rId59">
        <w:r>
          <w:rPr>
            <w:rStyle w:val="Hyperlink"/>
          </w:rPr>
          <w:t xml:space="preserve">https://doi.org/10.1002/adfm.202527774</w:t>
        </w:r>
      </w:hyperlink>
    </w:p>
    <w:bookmarkEnd w:id="60"/>
    <w:bookmarkStart w:id="62" w:name="ref-lutterotti1997maud"/>
    <w:p>
      <w:pPr>
        <w:pStyle w:val="Bibliography"/>
      </w:pPr>
      <w:r>
        <w:t xml:space="preserve">Lutterotti L, Matthies S, Wenk HR, et al (1997) Combined texture and structure analysis of deformed limestone from time-of-flight neutron diffraction spectra. Journal of Applied Physics 81:594–600.</w:t>
      </w:r>
      <w:r>
        <w:t xml:space="preserve"> </w:t>
      </w:r>
      <w:hyperlink r:id="rId61">
        <w:r>
          <w:rPr>
            <w:rStyle w:val="Hyperlink"/>
          </w:rPr>
          <w:t xml:space="preserve">https://doi.org/10.1063/1.364220</w:t>
        </w:r>
      </w:hyperlink>
    </w:p>
    <w:bookmarkEnd w:id="62"/>
    <w:bookmarkStart w:id="64" w:name="ref-merchant2023gnome"/>
    <w:p>
      <w:pPr>
        <w:pStyle w:val="Bibliography"/>
      </w:pPr>
      <w:r>
        <w:t xml:space="preserve">Merchant A, Batzner S, Schoenholz SS, et al (2023) Scaling deep learning for materials discovery. Nature 624:80–85.</w:t>
      </w:r>
      <w:r>
        <w:t xml:space="preserve"> </w:t>
      </w:r>
      <w:hyperlink r:id="rId63">
        <w:r>
          <w:rPr>
            <w:rStyle w:val="Hyperlink"/>
          </w:rPr>
          <w:t xml:space="preserve">https://doi.org/10.1038/s41586-023-06735-9</w:t>
        </w:r>
      </w:hyperlink>
    </w:p>
    <w:bookmarkEnd w:id="64"/>
    <w:bookmarkStart w:id="66" w:name="ref-mohd2014nitinol"/>
    <w:p>
      <w:pPr>
        <w:pStyle w:val="Bibliography"/>
      </w:pPr>
      <w:r>
        <w:t xml:space="preserve">Mohd Jani J, Leary M, Subic A, Gibson MA (2014) A review of shape memory alloy research, applications and opportunities. Materials &amp; Design 56:1078–1113.</w:t>
      </w:r>
      <w:r>
        <w:t xml:space="preserve"> </w:t>
      </w:r>
      <w:hyperlink r:id="rId65">
        <w:r>
          <w:rPr>
            <w:rStyle w:val="Hyperlink"/>
          </w:rPr>
          <w:t xml:space="preserve">https://doi.org/10.1016/j.matdes.2013.11.084</w:t>
        </w:r>
      </w:hyperlink>
    </w:p>
    <w:bookmarkEnd w:id="66"/>
    <w:bookmarkStart w:id="68" w:name="ref-omori2011superelastic"/>
    <w:p>
      <w:pPr>
        <w:pStyle w:val="Bibliography"/>
      </w:pPr>
      <w:r>
        <w:t xml:space="preserve">Omori T, Ando K, Okano M, et al (2011) Superelastic effect in polycrystalline ferrous alloys. Science 333:68–71.</w:t>
      </w:r>
      <w:r>
        <w:t xml:space="preserve"> </w:t>
      </w:r>
      <w:hyperlink r:id="rId67">
        <w:r>
          <w:rPr>
            <w:rStyle w:val="Hyperlink"/>
          </w:rPr>
          <w:t xml:space="preserve">https://doi.org/10.1126/science.1202232</w:t>
        </w:r>
      </w:hyperlink>
    </w:p>
    <w:bookmarkEnd w:id="68"/>
    <w:bookmarkStart w:id="70" w:name="ref-omori2016agg"/>
    <w:p>
      <w:pPr>
        <w:pStyle w:val="Bibliography"/>
      </w:pPr>
      <w:r>
        <w:t xml:space="preserve">Omori T, Iwaizako H, Kainuma R (2016) Abnormal grain growth induced by cyclic heat treatment in</w:t>
      </w:r>
      <w:r>
        <w:t xml:space="preserve"> </w:t>
      </w:r>
      <w:r>
        <w:t xml:space="preserve">Fe-Mn-Al-Ni</w:t>
      </w:r>
      <w:r>
        <w:t xml:space="preserve"> </w:t>
      </w:r>
      <w:r>
        <w:t xml:space="preserve">superelastic alloy. Materials &amp; Design 101:263–269.</w:t>
      </w:r>
      <w:r>
        <w:t xml:space="preserve"> </w:t>
      </w:r>
      <w:hyperlink r:id="rId69">
        <w:r>
          <w:rPr>
            <w:rStyle w:val="Hyperlink"/>
          </w:rPr>
          <w:t xml:space="preserve">https://doi.org/10.1016/j.matdes.2016.04.011</w:t>
        </w:r>
      </w:hyperlink>
    </w:p>
    <w:bookmarkEnd w:id="70"/>
    <w:bookmarkStart w:id="72" w:name="ref-omori2017martensitic"/>
    <w:p>
      <w:pPr>
        <w:pStyle w:val="Bibliography"/>
      </w:pPr>
      <w:r>
        <w:t xml:space="preserve">Omori T, Kainuma R (2017) Martensitic transformation and superelasticity in fe-mn-al-based shape memory alloys. Shape Memory and Superelasticity 3:322–334.</w:t>
      </w:r>
      <w:r>
        <w:t xml:space="preserve"> </w:t>
      </w:r>
      <w:hyperlink r:id="rId71">
        <w:r>
          <w:rPr>
            <w:rStyle w:val="Hyperlink"/>
          </w:rPr>
          <w:t xml:space="preserve">https://doi.org/10.1007/s40830-017-0129-9</w:t>
        </w:r>
      </w:hyperlink>
    </w:p>
    <w:bookmarkEnd w:id="72"/>
    <w:bookmarkStart w:id="73" w:name="ref-otsuka2005physical"/>
    <w:p>
      <w:pPr>
        <w:pStyle w:val="Bibliography"/>
      </w:pPr>
      <w:r>
        <w:t xml:space="preserve">Otsuka K, Wayman CM (1998) Physical metallurgy of titanium-nickel-based shape memory alloys. Cambridge University Press, Cambridge, UK</w:t>
      </w:r>
    </w:p>
    <w:bookmarkEnd w:id="73"/>
    <w:bookmarkStart w:id="75" w:name="ref-rietveld1969"/>
    <w:p>
      <w:pPr>
        <w:pStyle w:val="Bibliography"/>
      </w:pPr>
      <w:r>
        <w:t xml:space="preserve">Rietveld HM (1969) A profile refinement method for nuclear and magnetic structures. Journal of Applied Crystallography 2:65–71.</w:t>
      </w:r>
      <w:r>
        <w:t xml:space="preserve"> </w:t>
      </w:r>
      <w:hyperlink r:id="rId74">
        <w:r>
          <w:rPr>
            <w:rStyle w:val="Hyperlink"/>
          </w:rPr>
          <w:t xml:space="preserve">https://doi.org/10.1107/S0021889869006558</w:t>
        </w:r>
      </w:hyperlink>
    </w:p>
    <w:bookmarkEnd w:id="75"/>
    <w:bookmarkStart w:id="77" w:name="ref-tai2024ssrf"/>
    <w:p>
      <w:pPr>
        <w:pStyle w:val="Bibliography"/>
      </w:pPr>
      <w:r>
        <w:t xml:space="preserve">Tai RZ, Zhao ZT (2024) Overview of</w:t>
      </w:r>
      <w:r>
        <w:t xml:space="preserve"> </w:t>
      </w:r>
      <w:r>
        <w:t xml:space="preserve">SSRF</w:t>
      </w:r>
      <w:r>
        <w:t xml:space="preserve"> </w:t>
      </w:r>
      <w:r>
        <w:t xml:space="preserve">phase-</w:t>
      </w:r>
      <w:r>
        <w:t xml:space="preserve">II</w:t>
      </w:r>
      <w:r>
        <w:t xml:space="preserve"> </w:t>
      </w:r>
      <w:r>
        <w:t xml:space="preserve">beamlines. Nuclear Science and Techniques 35:137.</w:t>
      </w:r>
      <w:r>
        <w:t xml:space="preserve"> </w:t>
      </w:r>
      <w:hyperlink r:id="rId76">
        <w:r>
          <w:rPr>
            <w:rStyle w:val="Hyperlink"/>
          </w:rPr>
          <w:t xml:space="preserve">https://doi.org/10.1007/s41365-024-01487-1</w:t>
        </w:r>
      </w:hyperlink>
    </w:p>
    <w:bookmarkEnd w:id="77"/>
    <w:bookmarkStart w:id="79" w:name="ref-tanaka2010science"/>
    <w:p>
      <w:pPr>
        <w:pStyle w:val="Bibliography"/>
      </w:pPr>
      <w:r>
        <w:t xml:space="preserve">Tanaka Y, Himuro Y, Kainuma R, et al (2010) Ferrous polycrystalline shape-memory alloy showing huge superelasticity. Science 327:1488–1490.</w:t>
      </w:r>
      <w:r>
        <w:t xml:space="preserve"> </w:t>
      </w:r>
      <w:hyperlink r:id="rId78">
        <w:r>
          <w:rPr>
            <w:rStyle w:val="Hyperlink"/>
          </w:rPr>
          <w:t xml:space="preserve">https://doi.org/10.1126/science.1183169</w:t>
        </w:r>
      </w:hyperlink>
    </w:p>
    <w:bookmarkEnd w:id="79"/>
    <w:bookmarkStart w:id="81" w:name="ref-aims2022"/>
    <w:p>
      <w:pPr>
        <w:pStyle w:val="Bibliography"/>
      </w:pPr>
      <w:r>
        <w:t xml:space="preserve">Trehern W, Ortiz-Ayala R, Atli KC, et al (2022) Data-driven shape memory alloy discovery using artificial intelligence materials selection (</w:t>
      </w:r>
      <w:r>
        <w:t xml:space="preserve">AIMS</w:t>
      </w:r>
      <w:r>
        <w:t xml:space="preserve">) framework. Acta Materialia 228:117751.</w:t>
      </w:r>
      <w:r>
        <w:t xml:space="preserve"> </w:t>
      </w:r>
      <w:hyperlink r:id="rId80">
        <w:r>
          <w:rPr>
            <w:rStyle w:val="Hyperlink"/>
          </w:rPr>
          <w:t xml:space="preserve">https://doi.org/10.1016/j.actamat.2022.117751</w:t>
        </w:r>
      </w:hyperlink>
    </w:p>
    <w:bookmarkEnd w:id="81"/>
    <w:bookmarkStart w:id="83" w:name="ref-vollmer2019natcomm"/>
    <w:p>
      <w:pPr>
        <w:pStyle w:val="Bibliography"/>
      </w:pPr>
      <w:r>
        <w:t xml:space="preserve">Vollmer M, Arold T, Kriegel MJ, et al (2019) Promoting abnormal grain growth in</w:t>
      </w:r>
      <w:r>
        <w:t xml:space="preserve"> </w:t>
      </w:r>
      <w:r>
        <w:t xml:space="preserve">Fe</w:t>
      </w:r>
      <w:r>
        <w:t xml:space="preserve">-based shape memory alloys through compositional adjustments. Nature Communications 10:2337.</w:t>
      </w:r>
      <w:r>
        <w:t xml:space="preserve"> </w:t>
      </w:r>
      <w:hyperlink r:id="rId82">
        <w:r>
          <w:rPr>
            <w:rStyle w:val="Hyperlink"/>
          </w:rPr>
          <w:t xml:space="preserve">https://doi.org/10.1038/s41467-019-10308-8</w:t>
        </w:r>
      </w:hyperlink>
    </w:p>
    <w:bookmarkEnd w:id="83"/>
    <w:bookmarkStart w:id="85" w:name="ref-vollmer2016cyclic"/>
    <w:p>
      <w:pPr>
        <w:pStyle w:val="Bibliography"/>
      </w:pPr>
      <w:r>
        <w:t xml:space="preserve">Vollmer M, Krooß P, Kriegel MJ, et al (2016) Cyclic degradation in bamboo-like</w:t>
      </w:r>
      <w:r>
        <w:t xml:space="preserve"> </w:t>
      </w:r>
      <w:r>
        <w:t xml:space="preserve">Fe-Mn-Al-Ni</w:t>
      </w:r>
      <w:r>
        <w:t xml:space="preserve"> </w:t>
      </w:r>
      <w:r>
        <w:t xml:space="preserve">shape memory alloys: The role of grain orientation. Scripta Materialia 114:156–160.</w:t>
      </w:r>
      <w:r>
        <w:t xml:space="preserve"> </w:t>
      </w:r>
      <w:hyperlink r:id="rId84">
        <w:r>
          <w:rPr>
            <w:rStyle w:val="Hyperlink"/>
          </w:rPr>
          <w:t xml:space="preserve">https://doi.org/10.1016/j.scriptamat.2015.12.007</w:t>
        </w:r>
      </w:hyperlink>
    </w:p>
    <w:bookmarkEnd w:id="85"/>
    <w:bookmarkStart w:id="87" w:name="ref-xu2025deepresearch"/>
    <w:p>
      <w:pPr>
        <w:pStyle w:val="Bibliography"/>
      </w:pPr>
      <w:r>
        <w:t xml:space="preserve">Xu R, Peng J (2025)</w:t>
      </w:r>
      <w:r>
        <w:t xml:space="preserve"> </w:t>
      </w:r>
      <w:hyperlink r:id="rId86">
        <w:r>
          <w:rPr>
            <w:rStyle w:val="Hyperlink"/>
          </w:rPr>
          <w:t xml:space="preserve">A comprehensive survey of deep research: Systems, methodologies, and applications</w:t>
        </w:r>
      </w:hyperlink>
    </w:p>
    <w:bookmarkEnd w:id="87"/>
    <w:bookmarkStart w:id="89" w:name="ref-yang2024ssrf"/>
    <w:p>
      <w:pPr>
        <w:pStyle w:val="Bibliography"/>
      </w:pPr>
      <w:r>
        <w:t xml:space="preserve">Yang K, Dong Z-H, Zhou C-Y, et al</w:t>
      </w:r>
      <w:r>
        <w:t xml:space="preserve"> </w:t>
      </w:r>
      <w:r>
        <w:t xml:space="preserve">(2024) Ultrahard</w:t>
      </w:r>
      <w:r>
        <w:t xml:space="preserve"> </w:t>
      </w:r>
      <w:r>
        <w:t xml:space="preserve">X-ray</w:t>
      </w:r>
      <w:r>
        <w:t xml:space="preserve"> </w:t>
      </w:r>
      <w:r>
        <w:t xml:space="preserve">multifunctional application beamline at the</w:t>
      </w:r>
      <w:r>
        <w:t xml:space="preserve"> </w:t>
      </w:r>
      <w:r>
        <w:t xml:space="preserve">SSRF</w:t>
      </w:r>
      <w:r>
        <w:t xml:space="preserve">. Nuclear Science and Techniques 35:98.</w:t>
      </w:r>
      <w:r>
        <w:t xml:space="preserve"> </w:t>
      </w:r>
      <w:hyperlink r:id="rId88">
        <w:r>
          <w:rPr>
            <w:rStyle w:val="Hyperlink"/>
          </w:rPr>
          <w:t xml:space="preserve">https://doi.org/10.1007/s41365-024-01468-4</w:t>
        </w:r>
      </w:hyperlink>
    </w:p>
    <w:bookmarkEnd w:id="89"/>
    <w:bookmarkEnd w:id="90"/>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21" Target="media/rId21.jpg" /><Relationship Type="http://schemas.openxmlformats.org/officeDocument/2006/relationships/image" Id="rId24" Target="media/rId24.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image" Id="rId34" Target="media/rId34.jpg" /><Relationship Type="http://schemas.openxmlformats.org/officeDocument/2006/relationships/hyperlink" Id="rId55" Target="https://arxiv.org/abs/2409.06756" TargetMode="External" /><Relationship Type="http://schemas.openxmlformats.org/officeDocument/2006/relationships/hyperlink" Id="rId86" Target="https://arxiv.org/abs/2506.12594" TargetMode="External" /><Relationship Type="http://schemas.openxmlformats.org/officeDocument/2006/relationships/hyperlink" Id="rId52" Target="https://arxiv.org/abs/2507.06261" TargetMode="External" /><Relationship Type="http://schemas.openxmlformats.org/officeDocument/2006/relationships/hyperlink" Id="rId59" Target="https://doi.org/10.1002/adfm.202527774" TargetMode="External" /><Relationship Type="http://schemas.openxmlformats.org/officeDocument/2006/relationships/hyperlink" Id="rId57" Target="https://doi.org/10.1007/978-0-387-47685-8" TargetMode="External" /><Relationship Type="http://schemas.openxmlformats.org/officeDocument/2006/relationships/hyperlink" Id="rId71" Target="https://doi.org/10.1007/s40830-017-0129-9" TargetMode="External" /><Relationship Type="http://schemas.openxmlformats.org/officeDocument/2006/relationships/hyperlink" Id="rId45" Target="https://doi.org/10.1007/s40830-019-00230-9" TargetMode="External" /><Relationship Type="http://schemas.openxmlformats.org/officeDocument/2006/relationships/hyperlink" Id="rId88" Target="https://doi.org/10.1007/s41365-024-01468-4" TargetMode="External" /><Relationship Type="http://schemas.openxmlformats.org/officeDocument/2006/relationships/hyperlink" Id="rId76" Target="https://doi.org/10.1007/s41365-024-01487-1" TargetMode="External" /><Relationship Type="http://schemas.openxmlformats.org/officeDocument/2006/relationships/hyperlink" Id="rId50" Target="https://doi.org/10.1016/S0921-5093(99)00294-4" TargetMode="External" /><Relationship Type="http://schemas.openxmlformats.org/officeDocument/2006/relationships/hyperlink" Id="rId80" Target="https://doi.org/10.1016/j.actamat.2022.117751" TargetMode="External" /><Relationship Type="http://schemas.openxmlformats.org/officeDocument/2006/relationships/hyperlink" Id="rId48" Target="https://doi.org/10.1016/j.conbuildmat.2014.04.032" TargetMode="External" /><Relationship Type="http://schemas.openxmlformats.org/officeDocument/2006/relationships/hyperlink" Id="rId65" Target="https://doi.org/10.1016/j.matdes.2013.11.084" TargetMode="External" /><Relationship Type="http://schemas.openxmlformats.org/officeDocument/2006/relationships/hyperlink" Id="rId69" Target="https://doi.org/10.1016/j.matdes.2016.04.011" TargetMode="External" /><Relationship Type="http://schemas.openxmlformats.org/officeDocument/2006/relationships/hyperlink" Id="rId84" Target="https://doi.org/10.1016/j.scriptamat.2015.12.007" TargetMode="External" /><Relationship Type="http://schemas.openxmlformats.org/officeDocument/2006/relationships/hyperlink" Id="rId82" Target="https://doi.org/10.1038/s41467-019-10308-8" TargetMode="External" /><Relationship Type="http://schemas.openxmlformats.org/officeDocument/2006/relationships/hyperlink" Id="rId63" Target="https://doi.org/10.1038/s41586-023-06735-9" TargetMode="External" /><Relationship Type="http://schemas.openxmlformats.org/officeDocument/2006/relationships/hyperlink" Id="rId61" Target="https://doi.org/10.1063/1.364220" TargetMode="External" /><Relationship Type="http://schemas.openxmlformats.org/officeDocument/2006/relationships/hyperlink" Id="rId74" Target="https://doi.org/10.1107/S0021889869006558" TargetMode="External" /><Relationship Type="http://schemas.openxmlformats.org/officeDocument/2006/relationships/hyperlink" Id="rId78" Target="https://doi.org/10.1126/science.1183169" TargetMode="External" /><Relationship Type="http://schemas.openxmlformats.org/officeDocument/2006/relationships/hyperlink" Id="rId67" Target="https://doi.org/10.1126/science.1202232" TargetMode="External" /></Relationships>
</file>

<file path=word/_rels/footnotes.xml.rels><?xml version="1.0" encoding="UTF-8"?><Relationships xmlns="http://schemas.openxmlformats.org/package/2006/relationships"><Relationship Type="http://schemas.openxmlformats.org/officeDocument/2006/relationships/hyperlink" Id="rId55" Target="https://arxiv.org/abs/2409.06756" TargetMode="External" /><Relationship Type="http://schemas.openxmlformats.org/officeDocument/2006/relationships/hyperlink" Id="rId86" Target="https://arxiv.org/abs/2506.12594" TargetMode="External" /><Relationship Type="http://schemas.openxmlformats.org/officeDocument/2006/relationships/hyperlink" Id="rId52" Target="https://arxiv.org/abs/2507.06261" TargetMode="External" /><Relationship Type="http://schemas.openxmlformats.org/officeDocument/2006/relationships/hyperlink" Id="rId59" Target="https://doi.org/10.1002/adfm.202527774" TargetMode="External" /><Relationship Type="http://schemas.openxmlformats.org/officeDocument/2006/relationships/hyperlink" Id="rId57" Target="https://doi.org/10.1007/978-0-387-47685-8" TargetMode="External" /><Relationship Type="http://schemas.openxmlformats.org/officeDocument/2006/relationships/hyperlink" Id="rId71" Target="https://doi.org/10.1007/s40830-017-0129-9" TargetMode="External" /><Relationship Type="http://schemas.openxmlformats.org/officeDocument/2006/relationships/hyperlink" Id="rId45" Target="https://doi.org/10.1007/s40830-019-00230-9" TargetMode="External" /><Relationship Type="http://schemas.openxmlformats.org/officeDocument/2006/relationships/hyperlink" Id="rId88" Target="https://doi.org/10.1007/s41365-024-01468-4" TargetMode="External" /><Relationship Type="http://schemas.openxmlformats.org/officeDocument/2006/relationships/hyperlink" Id="rId76" Target="https://doi.org/10.1007/s41365-024-01487-1" TargetMode="External" /><Relationship Type="http://schemas.openxmlformats.org/officeDocument/2006/relationships/hyperlink" Id="rId50" Target="https://doi.org/10.1016/S0921-5093(99)00294-4" TargetMode="External" /><Relationship Type="http://schemas.openxmlformats.org/officeDocument/2006/relationships/hyperlink" Id="rId80" Target="https://doi.org/10.1016/j.actamat.2022.117751" TargetMode="External" /><Relationship Type="http://schemas.openxmlformats.org/officeDocument/2006/relationships/hyperlink" Id="rId48" Target="https://doi.org/10.1016/j.conbuildmat.2014.04.032" TargetMode="External" /><Relationship Type="http://schemas.openxmlformats.org/officeDocument/2006/relationships/hyperlink" Id="rId65" Target="https://doi.org/10.1016/j.matdes.2013.11.084" TargetMode="External" /><Relationship Type="http://schemas.openxmlformats.org/officeDocument/2006/relationships/hyperlink" Id="rId69" Target="https://doi.org/10.1016/j.matdes.2016.04.011" TargetMode="External" /><Relationship Type="http://schemas.openxmlformats.org/officeDocument/2006/relationships/hyperlink" Id="rId84" Target="https://doi.org/10.1016/j.scriptamat.2015.12.007" TargetMode="External" /><Relationship Type="http://schemas.openxmlformats.org/officeDocument/2006/relationships/hyperlink" Id="rId82" Target="https://doi.org/10.1038/s41467-019-10308-8" TargetMode="External" /><Relationship Type="http://schemas.openxmlformats.org/officeDocument/2006/relationships/hyperlink" Id="rId63" Target="https://doi.org/10.1038/s41586-023-06735-9" TargetMode="External" /><Relationship Type="http://schemas.openxmlformats.org/officeDocument/2006/relationships/hyperlink" Id="rId61" Target="https://doi.org/10.1063/1.364220" TargetMode="External" /><Relationship Type="http://schemas.openxmlformats.org/officeDocument/2006/relationships/hyperlink" Id="rId74" Target="https://doi.org/10.1107/S0021889869006558" TargetMode="External" /><Relationship Type="http://schemas.openxmlformats.org/officeDocument/2006/relationships/hyperlink" Id="rId78" Target="https://doi.org/10.1126/science.1183169" TargetMode="External" /><Relationship Type="http://schemas.openxmlformats.org/officeDocument/2006/relationships/hyperlink" Id="rId67" Target="https://doi.org/10.1126/science.12022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Responses of an AI-Hypothesized Super-elastic Fe-Mn-Al-Ni-Si-C Alloy</dc:title>
  <dc:creator/>
  <cp:keywords/>
  <dcterms:created xsi:type="dcterms:W3CDTF">2026-07-13T21:43:13Z</dcterms:created>
  <dcterms:modified xsi:type="dcterms:W3CDTF">2026-07-13T21:43:13Z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springer.csl</vt:lpwstr>
  </property>
</Properties>
</file>