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Every comment is answered below, in order, with the location of the corresponding change in the revised manuscript. The revision keeps the structure of the original submission and changes it only where a comment asked for it or where we found an error.</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Three additions bear on several comments at once:</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which Reviewer 2 suggested (comment 5a): CALPHAD calculations in three independent open databases, including a calculated carbon-free control (new Sections 2.6 and 3.4, Table 3).</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tables and text (Online Resource 2, Tables S1 and S2).</w:t>
      </w:r>
    </w:p>
    <w:p>
      <w:pPr>
        <w:pStyle w:val="FirstParagraph"/>
      </w:pPr>
      <w:r>
        <w:t xml:space="preserve">Preliminary results of this work appeared as a three-page extended abstract in the SMST 2026 proceedings (ASM International); it is now cited in Section 1.</w:t>
      </w:r>
    </w:p>
    <w:p>
      <w:pPr>
        <w:pStyle w:val="BodyText"/>
      </w:pPr>
      <w:r>
        <w:t xml:space="preserve">The following errors in the original text are corrected:</w:t>
      </w:r>
    </w:p>
    <w:p>
      <w:pPr>
        <w:pStyle w:val="Compact"/>
        <w:numPr>
          <w:ilvl w:val="0"/>
          <w:numId w:val="1002"/>
        </w:numPr>
      </w:pPr>
      <w:r>
        <w:t xml:space="preserve">The gauge length was 127 mm, not 13 mm (a typographical error; the instrument records give 5.000 in), and the nominal strain rate is 8.3 × 10⁻⁴ s⁻¹ (0.25 in min⁻¹ over 127 mm), not 1 × 10⁻³ s⁻¹.</w:t>
      </w:r>
    </w:p>
    <w:p>
      <w:pPr>
        <w:pStyle w:val="Compact"/>
        <w:numPr>
          <w:ilvl w:val="0"/>
          <w:numId w:val="1002"/>
        </w:numPr>
      </w:pPr>
      <w:r>
        <w:t xml:space="preserve">The α fraction is 34% (with 4% D0₃), not 37%.</w:t>
      </w:r>
    </w:p>
    <w:p>
      <w:pPr>
        <w:pStyle w:val="Compact"/>
        <w:numPr>
          <w:ilvl w:val="0"/>
          <w:numId w:val="1002"/>
        </w:numPr>
      </w:pPr>
      <w:r>
        <w:t xml:space="preserve">The model was prompted, not trained.</w:t>
      </w:r>
    </w:p>
    <w:p>
      <w:pPr>
        <w:pStyle w:val="Compact"/>
        <w:numPr>
          <w:ilvl w:val="0"/>
          <w:numId w:val="1002"/>
        </w:numPr>
      </w:pPr>
      <w:r>
        <w:t xml:space="preserve">The melted composition lies outside the proposed range in Mn and Al, not within it (Section 2.1).</w:t>
      </w:r>
    </w:p>
    <w:p>
      <w:pPr>
        <w:pStyle w:val="Compact"/>
        <w:numPr>
          <w:ilvl w:val="0"/>
          <w:numId w:val="1002"/>
        </w:numPr>
      </w:pPr>
      <w:r>
        <w:t xml:space="preserve">The Omori-alloy wire was 0.64 mm in diameter, not 0.36 mm.</w:t>
      </w:r>
    </w:p>
    <w:p>
      <w:pPr>
        <w:pStyle w:val="Compact"/>
        <w:numPr>
          <w:ilvl w:val="0"/>
          <w:numId w:val="1002"/>
        </w:numPr>
      </w:pPr>
      <w:r>
        <w:t xml:space="preserve">The cyclic abnormal-grain-growth schedule was applied to ≈1–1.3 mm rod, and a separate cyclic treatment to 0.36 mm wire (Section 2.2), not as one schedule to wire.</w:t>
      </w:r>
    </w:p>
    <w:p>
      <w:pPr>
        <w:pStyle w:val="Compact"/>
        <w:numPr>
          <w:ilvl w:val="0"/>
          <w:numId w:val="1002"/>
        </w:numPr>
      </w:pPr>
      <w:r>
        <w:t xml:space="preserve">The description of the request put to the agent now states only what its surviving report records (Section 2.1).</w:t>
      </w:r>
    </w:p>
    <w:p>
      <w:pPr>
        <w:pStyle w:val="Compact"/>
        <w:numPr>
          <w:ilvl w:val="0"/>
          <w:numId w:val="1002"/>
        </w:numPr>
      </w:pPr>
      <w:r>
        <w:t xml:space="preserve">The declarations now disclose S. Cai’s employment by Fort Wayne Metals, and the generative-AI declaration now records the use of Anthropic Claude in writing and editing the revised text.</w:t>
      </w:r>
    </w:p>
    <w:p>
      <w:pPr>
        <w:pStyle w:val="FirstParagraph"/>
      </w:pPr>
      <w:r>
        <w:t xml:space="preserve">All changes are shown as tracked changes against the original submission in the marked-up manuscript. Figs. 5 and 6 have been updated to match the revised analysis: Fig. 5 now shows the Rietveld refinements of both the heat-treated and the deformed specimen, each with its fit indices, and Fig. 6 is regenerated from the integrated diffraction data. Section numbering is unchanged except for the additions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2.1–2.5</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3.3 (Figs. 2–6; Tables 1, 2)</w:t>
            </w:r>
          </w:p>
        </w:tc>
        <w:tc>
          <w:tcPr/>
          <w:p>
            <w:pPr>
              <w:pStyle w:val="Compact"/>
            </w:pPr>
            <w:r>
              <w:t xml:space="preserve">3.2, 3.3 (Table 1 now wt% and at%; Table 2 now n = 3; Figs. 5 and 6 updated)</w:t>
            </w:r>
          </w:p>
        </w:tc>
      </w:tr>
      <w:tr>
        <w:tc>
          <w:tcPr/>
          <w:p>
            <w:pPr>
              <w:pStyle w:val="Compact"/>
            </w:pPr>
            <w:r>
              <w:t xml:space="preserve">—</w:t>
            </w:r>
          </w:p>
        </w:tc>
        <w:tc>
          <w:tcPr/>
          <w:p>
            <w:pPr>
              <w:pStyle w:val="Compact"/>
            </w:pPr>
            <w:r>
              <w:rPr>
                <w:b/>
                <w:bCs/>
              </w:rPr>
              <w:t xml:space="preserve">3.4 Equilibrium phase stability (new; Table 3)</w:t>
            </w:r>
          </w:p>
        </w:tc>
      </w:tr>
      <w:tr>
        <w:tc>
          <w:tcPr/>
          <w:p>
            <w:pPr>
              <w:pStyle w:val="Compact"/>
            </w:pPr>
            <w:r>
              <w:t xml:space="preserve">4.1 Origin of the absence of stress-induced phase transformation</w:t>
            </w:r>
          </w:p>
        </w:tc>
        <w:tc>
          <w:tcPr/>
          <w:p>
            <w:pPr>
              <w:pStyle w:val="Compact"/>
            </w:pPr>
            <w:r>
              <w:t xml:space="preserve">4.1 Interpreting the absence of stress-induced phase transformation</w:t>
            </w:r>
          </w:p>
        </w:tc>
      </w:tr>
      <w:tr>
        <w:tc>
          <w:tcPr/>
          <w:p>
            <w:pPr>
              <w:pStyle w:val="Compact"/>
            </w:pPr>
            <w:r>
              <w:t xml:space="preserve">4.2, 4.3</w:t>
            </w:r>
          </w:p>
        </w:tc>
        <w:tc>
          <w:tcPr/>
          <w:p>
            <w:pPr>
              <w:pStyle w:val="Compact"/>
            </w:pPr>
            <w:r>
              <w:t xml:space="preserve">4.2, 4.3 (4.3 rewritten, comment 18)</w:t>
            </w:r>
          </w:p>
        </w:tc>
      </w:tr>
      <w:tr>
        <w:tc>
          <w:tcPr/>
          <w:p>
            <w:pPr>
              <w:pStyle w:val="Compact"/>
            </w:pPr>
            <w:r>
              <w:t xml:space="preserve">5 Conclusions</w:t>
            </w:r>
          </w:p>
        </w:tc>
        <w:tc>
          <w:tcPr/>
          <w:p>
            <w:pPr>
              <w:pStyle w:val="Compact"/>
            </w:pPr>
            <w:r>
              <w:t xml:space="preserve">5 Conclusions (rewritten, comments 1b and 18d)</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t xml:space="preserve">X. Wang (School of Engineering Technologies, Purdue University), who supervised the work, has been added as an author, giving the author list of JMEP-26-09-52497, now withdrawn: F.Y. Cai, S. Cai, X. Wang, J. Yan. The editorial office adjusted the author list on 15 October 2026, and each author’s written approval is being provided through the copyright transfer forms submitted with this revision, as the office requested. His contribution is stated in the Author contributions declaration.</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shown as tracked changes in the marked-up manuscript,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t xml:space="preserve">The English has been revised throughout the manuscript for grammar, clarity and consistent terminology, and these edits are included in the tracked changes. If the editors judge that further language editing is needed, we will be glad to arrange a professional service before production.</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abnormal grain growth; alloy design; CALPHAD; Fe-based shape memory alloy; large language model;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and the revised manuscript says so (Section 4.1, first paragraph). We no longer claim that a common route isolates composition: identical nominal processing does not guarantee identical recrystallization, grain size, texture or precipitation in two compositions (Section 1).</w:t>
      </w:r>
    </w:p>
    <w:p>
      <w:pPr>
        <w:pStyle w:val="BodyText"/>
      </w:pPr>
      <w:r>
        <w:t xml:space="preserve">Two observations bound the possibility without removing it. First, the LLM alloy was given a wider range of treatments than the Omori alloy, including the 200 °C/3 h age reported to develop pseudoelasticity in this family, which the Omori specimen of Fig. 3b did not receive; none produced strain recovery (next comment). Second, the new equilibrium calculations show that the processing question has a compositional root. The Omori alloy’s route depends on solution treatment in a single-phase α field. In all three thermodynamic databases, the LLM alloy has no single-phase α field at any temperature in the solid state: it is still α + γ when it begins to melt (Section 3.4, Table 3). No choice of solution temperature can therefore reproduce the Omori alloy’s starting state.</w:t>
      </w:r>
    </w:p>
    <w:p>
      <w:pPr>
        <w:pStyle w:val="BodyText"/>
      </w:pPr>
      <w:r>
        <w:t xml:space="preserve">A solution-and-aging window optimized for this composition remains untested; Section 4.3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stated in Section 2.2 and their results in Section 3.2 (last paragraph) and Fig. 1d:</w:t>
      </w:r>
    </w:p>
    <w:p>
      <w:pPr>
        <w:pStyle w:val="Compact"/>
        <w:numPr>
          <w:ilvl w:val="0"/>
          <w:numId w:val="1003"/>
        </w:numPr>
      </w:pPr>
      <w:r>
        <w:t xml:space="preserve">1-minute strand anneals at seven temperatures, 600–1200 °C (Fig. 2, Table 2);</w:t>
      </w:r>
    </w:p>
    <w:p>
      <w:pPr>
        <w:pStyle w:val="Compact"/>
        <w:numPr>
          <w:ilvl w:val="0"/>
          <w:numId w:val="1003"/>
        </w:numPr>
      </w:pPr>
      <w:r>
        <w:t xml:space="preserve">the 200 °C/3 h age reported to develop pseudoelasticity in this family (Fig. 2f);</w:t>
      </w:r>
    </w:p>
    <w:p>
      <w:pPr>
        <w:pStyle w:val="Compact"/>
        <w:numPr>
          <w:ilvl w:val="0"/>
          <w:numId w:val="1003"/>
        </w:numPr>
      </w:pPr>
      <w:r>
        <w:t xml:space="preserve">static holds at 1200 °C for 40 and 80 minutes (Fig. 1c);</w:t>
      </w:r>
    </w:p>
    <w:p>
      <w:pPr>
        <w:pStyle w:val="Compact"/>
        <w:numPr>
          <w:ilvl w:val="0"/>
          <w:numId w:val="1003"/>
        </w:numPr>
      </w:pPr>
      <w:r>
        <w:t xml:space="preserve">cyclic abnormal-grain-growth treatments: two- and three-cycle 1200 ↔ 900 °C schedules on ≈1–1.3 mm rod, and a four-hold 1200 °C quartz-tube schedule on 0.36 mm wire (Fig. 1d);</w:t>
      </w:r>
    </w:p>
    <w:p>
      <w:pPr>
        <w:pStyle w:val="Compact"/>
        <w:numPr>
          <w:ilvl w:val="0"/>
          <w:numId w:val="1003"/>
        </w:numPr>
      </w:pPr>
      <w:r>
        <w:t xml:space="preserve">exposures at 1250 and 1300 °C, which caused severe oxidation and are not reported further.</w:t>
      </w:r>
    </w:p>
    <w:p>
      <w:pPr>
        <w:pStyle w:val="FirstParagraph"/>
      </w:pPr>
      <w:r>
        <w:t xml:space="preserve">No condition showed a transformation plateau or strain recovery beyond elastic springback on unloading (the unrecrystallized as-drawn and 600 °C wire shows a small non-linearity, at most ≈0.3%, which Section 3.2 reports), and the 1200 °C/1 min condition showed none on heating. The cyclically treated wire did not develop a bamboo structure (Fig. 1d), and the coarsened conditions were brittle, failing at 0.5–1.0% elongation (Section 3.2).</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and 3.4). Note also that only half the intended silicon was recovered in the melt (Section 2.1,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 The rate was not chosen to probe rate effects: it is a quasi-static rate, and the same crosshead speed was used for both alloys, including the heating tests.</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an exploratory case study of one composition,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4"/>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w:t>
      </w:r>
    </w:p>
    <w:p>
      <w:pPr>
        <w:pStyle w:val="Compact"/>
        <w:numPr>
          <w:ilvl w:val="0"/>
          <w:numId w:val="1005"/>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the three: what the composition did in the conditions tested;</w:t>
      </w:r>
      <w:r>
        <w:t xml:space="preserve"> </w:t>
      </w:r>
      <w:r>
        <w:t xml:space="preserve">“The workflow omitted the phase-stability check its own report recommended”</w:t>
      </w:r>
      <w:r>
        <w:t xml:space="preserve">; and</w:t>
      </w:r>
      <w:r>
        <w:t xml:space="preserve"> </w:t>
      </w:r>
      <w:r>
        <w:t xml:space="preserve">“This single-composition case study does not evaluate LLM alloy design in general.”</w:t>
      </w:r>
      <w:r>
        <w:t xml:space="preserve"> </w:t>
      </w:r>
      <w:r>
        <w:t xml:space="preserve">The Conclusions take the three in turn: what was observed in the conditions tested (first paragraph); the limitation of</w:t>
      </w:r>
      <w:r>
        <w:t xml:space="preserve"> </w:t>
      </w:r>
      <w:r>
        <w:t xml:space="preserve">“the workflow as it was run, not a demonstrated limit on what an LLM can propose”</w:t>
      </w:r>
      <w:r>
        <w:t xml:space="preserve"> </w:t>
      </w:r>
      <w:r>
        <w:t xml:space="preserve">(third paragraph); and that</w:t>
      </w:r>
      <w:r>
        <w:t xml:space="preserve"> </w:t>
      </w:r>
      <w:r>
        <w:t xml:space="preserve">“this single-composition case study cannot establish how often such workflows fail”</w:t>
      </w:r>
      <w:r>
        <w:t xml:space="preserve">. Section 4.3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6"/>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a Gemini 2.5 Deep Research session, in which the agent retrieves and reads public sources at query time. The report cites only the 76 sources listed in it, each recorded as accessed on 19 May 2025.</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7"/>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 The exported report itself records no model string; the identification is the one given in the original submission. The Deep Research mode of the Gemini app exposes no generation settings to the user. The verbatim prompt was not preserved, and the report does not embed it. We state this in Section 2.1 rather than reconstructing the prompt from memory.</w:t>
      </w:r>
    </w:p>
    <w:p>
      <w:pPr>
        <w:pStyle w:val="Compact"/>
        <w:numPr>
          <w:ilvl w:val="0"/>
          <w:numId w:val="1008"/>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t xml:space="preserve">The figure in the original text did not describe the agent’s input and has been removed. The agent’s report draws on 76 sources, all listed in Online Resource 1, and the paper now describes only what that report records.</w:t>
      </w:r>
    </w:p>
    <w:p>
      <w:pPr>
        <w:pStyle w:val="Compact"/>
        <w:numPr>
          <w:ilvl w:val="0"/>
          <w:numId w:val="1009"/>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Section 2.1 now says so. The report recommends CALPHAD and DFT as future work, a recommendation quoted in Section 4.3.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3.4).</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10"/>
        </w:numPr>
      </w:pPr>
      <w:r>
        <w:t xml:space="preserve">How many agent runs and candidate compositions were actually generated, and why was this specific point within the proposed range selected? …</w:t>
      </w:r>
    </w:p>
    <w:p>
      <w:pPr>
        <w:pStyle w:val="FirstParagraph"/>
      </w:pPr>
      <w:r>
        <w:t xml:space="preserve">There was one Deep Research session, and the request was not repeated (Section 2.1; comment 3b). The report proposes six candidate families and ranks them (Online Resource 1, Section 8.2): Hypothesis B1, an Fe-Mn-Si-Cr-V-C alloy, first, and Hypotheses A1 and A2, both built on the Fe-Mn-Al-Ni system, tied for second. One composition was synthesized, from A2, and Section 2.1 now states the decision rule. We chose A2 because it builds on the Fe-Mn-Al-Ni system, on which there is a substantial body of earlier work: an alloy of established composition from that system, the Omori alloy, could be processed in parallel as a reference, and the results compared directly with the published record. Of the two joint-second hypotheses, A2 adds no chromium, keeps more nickel, and carries the report’s highest recoverable-strain target.</w:t>
      </w:r>
    </w:p>
    <w:p>
      <w:pPr>
        <w:pStyle w:val="BodyText"/>
      </w:pPr>
      <w:r>
        <w:t xml:space="preserve">The specific point was chosen by the authors and specified in atomic percent, the basis used for Fe-Mn-Al-Ni alloys in that literature. Its manganese, aluminum and silicon values (30, 12 and 4) are the upper limits of A2’s ranges, and its nickel value lies inside its range, but A2’s ranges are stated in weight percent. In weight percent the melted alloy therefore lies outside A2 in manganese and aluminum, on the austenite-favoring side. The original text’s statement that it was chosen</w:t>
      </w:r>
      <w:r>
        <w:t xml:space="preserve"> </w:t>
      </w:r>
      <w:r>
        <w:t xml:space="preserve">“within”</w:t>
      </w:r>
      <w:r>
        <w:t xml:space="preserve"> </w:t>
      </w:r>
      <w:r>
        <w:t xml:space="preserve">the proposed range was incorrect, and Section 2.1 now says so. Section 3.4 examines points inside the range by calculation.</w:t>
      </w:r>
    </w:p>
    <w:p>
      <w:pPr>
        <w:pStyle w:val="Compact"/>
        <w:numPr>
          <w:ilvl w:val="0"/>
          <w:numId w:val="1011"/>
        </w:numPr>
      </w:pPr>
      <w:r>
        <w:t xml:space="preserve">If the prompt was not repeated, could the authors state this clearly and identify run-to-run stochasticity as an untested limitation …</w:t>
      </w:r>
    </w:p>
    <w:p>
      <w:pPr>
        <w:pStyle w:val="FirstParagraph"/>
      </w:pPr>
      <w:r>
        <w:t xml:space="preserve">The request was made in a single Deep Research session and was not repeated. Section 2.1 now says so explicitly, and Section 4.3 states that</w:t>
      </w:r>
      <w:r>
        <w:t xml:space="preserve"> </w:t>
      </w:r>
      <w:r>
        <w:t xml:space="preserve">“run-to-run variation in the agent’s output was not tested, so nothing here establishes a failure rate”</w:t>
      </w:r>
      <w:r>
        <w:t xml:space="preserve">.</w:t>
      </w:r>
    </w:p>
    <w:p>
      <w:pPr>
        <w:pStyle w:val="Compact"/>
        <w:numPr>
          <w:ilvl w:val="0"/>
          <w:numId w:val="1012"/>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1 now ends:</w:t>
      </w:r>
      <w:r>
        <w:t xml:space="preserve"> </w:t>
      </w:r>
      <w:r>
        <w:t xml:space="preserve">“This work is an exploratory case study of one LLM-assisted hypothesis, not an evaluation of LLM alloy design as a class.”</w:t>
      </w:r>
      <w:r>
        <w:t xml:space="preserve"> </w:t>
      </w:r>
      <w:r>
        <w:t xml:space="preserve">Section 4.3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3"/>
        </w:numPr>
      </w:pPr>
      <w:r>
        <w:t xml:space="preserve">Could the Discussion place the agent’s recommendation alongside transparent approaches reported in the recent literature …</w:t>
      </w:r>
    </w:p>
    <w:p>
      <w:pPr>
        <w:pStyle w:val="FirstParagraph"/>
      </w:pPr>
      <w:r>
        <w:t xml:space="preserve">Section 1 places LLM hypothesis generation beside data-driven screening and generative inverse design. Section 4.3 now treats screening against the processing window by equilibrium calculation as the step the workflow omitted, and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4"/>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 alloy on the finished wire, Omori alloy as cast), that each value is a single analysis of one sample per heat, and that no analytical uncertainty is reported. The reviewer’s conversion is correct: the measured LLM alloy is 51.5Fe-29.8Mn-11.9Al-4.2Ni-2.0Si-0.45C at%. Section 2.1 identifies the alloy by this measured composition, and all calculations use it (Section 2.6).</w:t>
      </w:r>
    </w:p>
    <w:p>
      <w:pPr>
        <w:pStyle w:val="Compact"/>
        <w:numPr>
          <w:ilvl w:val="0"/>
          <w:numId w:val="1015"/>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 No other cause was established, and because the heat was analyzed once, an analytical contribution to the low value cannot be excluded. Its effect on phase stability was evaluated by calculation (Section 3.4). With carbon removed, the two databases that carry silicon at its measured level both return single-phase α at 1200 °C (Table 3), so the silicon shortfall is not what closes the α field. Whether the intended silicon would have opened the field with carbon present cannot be answered from these calculations: the one database in which the nominal composition was evaluated with its silicon places it partly molten at 1200 °C, and Section 3.4 says so. Section 2.1 now states that chemical homogeneity within a heat was not checked.</w:t>
      </w:r>
    </w:p>
    <w:p>
      <w:pPr>
        <w:pStyle w:val="Compact"/>
        <w:numPr>
          <w:ilvl w:val="0"/>
          <w:numId w:val="1016"/>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7"/>
        </w:numPr>
      </w:pPr>
      <w:r>
        <w:t xml:space="preserve">How does the unexpected 0.06 wt.% P in the Omori alloy affect the validity of the benchmark …</w:t>
      </w:r>
    </w:p>
    <w:p>
      <w:pPr>
        <w:pStyle w:val="FirstParagraph"/>
      </w:pPr>
      <w:r>
        <w:t xml:space="preserve">Section 2.1 now discusses the phosphorus (0.06 wt%, ≈0.10 at%; source unknown,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Phosphorus is included in the calculations in the one database that carries it (mc_fe, Section 2.6). The Omori alloy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8"/>
        </w:numPr>
      </w:pPr>
      <w:r>
        <w:t xml:space="preserve">Could the authors discuss phase stability using the measured chemistry and the best available thermodynamic and experimental literature? …</w:t>
      </w:r>
    </w:p>
    <w:p>
      <w:pPr>
        <w:pStyle w:val="FirstParagraph"/>
      </w:pPr>
      <w:r>
        <w:t xml:space="preserve">Done (Sections 2.6 and 3.4; Table 3). Equilibrium phase stability was calculated on the measured chemistry in three independently assessed open databases, two of which reproduce the Omori alloy’s single-phase α field without fitting. In all three, the LLM alloy is α + γ at 1200 °C and begins to melt (≈1240–1295 °C) before any single-phase α field opens.</w:t>
      </w:r>
    </w:p>
    <w:p>
      <w:pPr>
        <w:pStyle w:val="Compact"/>
        <w:numPr>
          <w:ilvl w:val="0"/>
          <w:numId w:val="1019"/>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The Abstract, Section 4.1 and the Conclusions now present carbon as</w:t>
      </w:r>
      <w:r>
        <w:t xml:space="preserve"> </w:t>
      </w:r>
      <w:r>
        <w:t xml:space="preserve">“one plausible contributor … not a demonstrated cause”</w:t>
      </w:r>
      <w:r>
        <w:t xml:space="preserve">. To inform that statement we added a calculated carbon-free control: the measured chemistry with carbon removed and every other element held fixed. It opens a single-phase α field at ≈1130–1160 °C in all three databases, whereas restoring the Omori alloy’s nickel or raising aluminum to the top of the proposed range does not open the field at 1200 °C, and silicon at its measured level does not obstruct it (Section 3.4). Section 4.1 states why this does not make carbon the demonstrated cause: the five alloying additions change together between the two heats, the calculation describes equilibrium rather than the quenched wire, and casting a carbon-free heat is the direct test (also named in Section 4.3).</w:t>
      </w:r>
    </w:p>
    <w:p>
      <w:pPr>
        <w:pStyle w:val="Compact"/>
        <w:numPr>
          <w:ilvl w:val="0"/>
          <w:numId w:val="1020"/>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1"/>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bases the discussion on the multicomponent calculation of Section 3.4.</w:t>
      </w:r>
    </w:p>
    <w:bookmarkEnd w:id="16"/>
    <w:bookmarkStart w:id="17" w:name="X296c933e10f3925b3c5a1b098573d35d773d27e"/>
    <w:p>
      <w:pPr>
        <w:pStyle w:val="Heading3"/>
      </w:pPr>
      <w:r>
        <w:t xml:space="preserve">6. Processing history and missing heat-treatment details</w:t>
      </w:r>
    </w:p>
    <w:p>
      <w:pPr>
        <w:pStyle w:val="Compact"/>
        <w:numPr>
          <w:ilvl w:val="0"/>
          <w:numId w:val="1022"/>
        </w:numPr>
      </w:pPr>
      <w:r>
        <w:t xml:space="preserve">Could the authors provide a complete process-flow diagram and tabulated thermal-mechanical history for each tested condition …</w:t>
      </w:r>
    </w:p>
    <w:p>
      <w:pPr>
        <w:pStyle w:val="FirstParagraph"/>
      </w:pPr>
      <w:r>
        <w:t xml:space="preserve">Sections 2.1 and 2.2 give the route: vacuum induction melting (≈2 kg) to ø50 mm ingots, EDM to ø13 mm rods, homogenization at 1000 °C for 16 h in argon, hot rolling at 850 °C in multiple passes, and cold drawing with intermediate anneals at 1000 °C in argon, to 0.36 mm (LLM alloy) and 0.64 mm (Omori alloy) wire with ≈85% area reduction after the last process anneal. They also give every final heat treatment, including the cyclic schedules. Table S1 lists the condition of every tested specimen. The hot-rolling reductions and pass schedule, the redraw sequence, the number and duration of the intermediate anneals and the cooling media are not documented in the processing records available to us. Section 2.1 now says so, and for that reason we have not added a process table.</w:t>
      </w:r>
    </w:p>
    <w:p>
      <w:pPr>
        <w:pStyle w:val="Compact"/>
        <w:numPr>
          <w:ilvl w:val="0"/>
          <w:numId w:val="1023"/>
        </w:numPr>
      </w:pPr>
      <w:r>
        <w:t xml:space="preserve">What exactly was the 200 °C/3 h aging sequence in Fig. 2f …</w:t>
      </w:r>
    </w:p>
    <w:p>
      <w:pPr>
        <w:pStyle w:val="FirstParagraph"/>
      </w:pPr>
      <w:r>
        <w:t xml:space="preserve">Section 2.2 now defines it: the 1200 °C/1 min wire was aged at 200 °C for 3 hours. The quench medium after the strand anneal, the transfer time, the aging atmosphere and the cooling after aging are not documented, and Section 2.2 says so.</w:t>
      </w:r>
    </w:p>
    <w:p>
      <w:pPr>
        <w:pStyle w:val="Compact"/>
        <w:numPr>
          <w:ilvl w:val="0"/>
          <w:numId w:val="1024"/>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where the record states it.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 The hot-zone length, temperature calibration, wire tension and argon purity are not documented in the records available to us either, and Section 2.2 says so.</w:t>
      </w:r>
    </w:p>
    <w:p>
      <w:pPr>
        <w:pStyle w:val="Compact"/>
        <w:numPr>
          <w:ilvl w:val="0"/>
          <w:numId w:val="1025"/>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4.2 lists them among the possible causes of the lower elongation above 1000 °C. No observation of the surface condition after the 1200 °C treatments was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6"/>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Section 2.1 now states this, and that the Omori alloy was not compared after the abnormal-grain-growth and aging route by which it reaches its superelasticity. The cyclic treatment was applied to the LLM alloy (Section 2.2), but the treated rod tested on the 127 mm gauge fractured at 0.5–1.0% elongation, below the 3% loading of the heating protocol, and the treated wire was not given that test (Section 3.2). We agree that the comparison therefore does not set the LLM alloy against the Omori alloy at its best, and have changed the Omori alloy’s description accordingly (below).</w:t>
      </w:r>
    </w:p>
    <w:p>
      <w:pPr>
        <w:pStyle w:val="Compact"/>
        <w:numPr>
          <w:ilvl w:val="0"/>
          <w:numId w:val="1027"/>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t xml:space="preserve">The paper reports no cyclic record of the Omori alloy in this condition other than the loading–unloading–heating test of Fig. 3b, so we have adopted the reviewer’s description. Section 2.1 now defines the Omori alloy as</w:t>
      </w:r>
      <w:r>
        <w:t xml:space="preserve"> </w:t>
      </w:r>
      <w:r>
        <w:t xml:space="preserve">“a reference composition processed in parallel, not as an optimally treated superelastic control”</w:t>
      </w:r>
      <w:r>
        <w:t xml:space="preserve">; its transformation under the common route is used only as evidence that the route and tests can detect one. Section 3.2 describes its 0.5% recovery as a single observed heating-induced (shape-memory) recovery, and Section 3.3 states that its transformation rests on three observations, each limited on its own.</w:t>
      </w:r>
    </w:p>
    <w:p>
      <w:pPr>
        <w:pStyle w:val="Compact"/>
        <w:numPr>
          <w:ilvl w:val="0"/>
          <w:numId w:val="1028"/>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Omori alloy in this condition is available,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9"/>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describes it as</w:t>
      </w:r>
      <w:r>
        <w:t xml:space="preserve"> </w:t>
      </w:r>
      <w:r>
        <w:t xml:space="preserve">“an Fe-Mn-Al-Ni reference alloy of established superelastic composition, processed in parallel”</w:t>
      </w:r>
      <w:r>
        <w:t xml:space="preserve">, and the Conclusions as</w:t>
      </w:r>
      <w:r>
        <w:t xml:space="preserve"> </w:t>
      </w:r>
      <w:r>
        <w:t xml:space="preserve">“a reference composition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30"/>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 4.1). The conclusion that would depend on parent-phase stability at room temperature is presented as an open question with two readings (Section 4.1), and differential scanning calorimetry is named as the test that would discriminate between them (Sections 4.1 and 4.3).</w:t>
      </w:r>
    </w:p>
    <w:p>
      <w:pPr>
        <w:pStyle w:val="Compact"/>
        <w:numPr>
          <w:ilvl w:val="0"/>
          <w:numId w:val="1031"/>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is retitled</w:t>
      </w:r>
      <w:r>
        <w:t xml:space="preserve"> </w:t>
      </w:r>
      <w:r>
        <w:t xml:space="preserve">“Interpreting the absence of stress-induced phase transformation”</w:t>
      </w:r>
      <w:r>
        <w:t xml:space="preserve"> </w:t>
      </w:r>
      <w:r>
        <w:t xml:space="preserve">and concludes that attributing the null result to the missing single-phase parent state is</w:t>
      </w:r>
      <w:r>
        <w:t xml:space="preserve"> </w:t>
      </w:r>
      <w:r>
        <w:t xml:space="preserve">“an interpretation consistent with both readings, not a demonstrated mechanism”</w:t>
      </w:r>
      <w:r>
        <w:t xml:space="preserve">; the Conclusions say that this</w:t>
      </w:r>
      <w:r>
        <w:t xml:space="preserve"> </w:t>
      </w:r>
      <w:r>
        <w:t xml:space="preserve">“remains open”</w:t>
      </w:r>
      <w:r>
        <w:t xml:space="preserve">.</w:t>
      </w:r>
    </w:p>
    <w:p>
      <w:pPr>
        <w:pStyle w:val="Compact"/>
        <w:numPr>
          <w:ilvl w:val="0"/>
          <w:numId w:val="1032"/>
        </w:numPr>
      </w:pPr>
      <w:r>
        <w:t xml:space="preserve">Could the authors report the actual laboratory test temperature and thermal history immediately before testing …</w:t>
      </w:r>
    </w:p>
    <w:p>
      <w:pPr>
        <w:pStyle w:val="FirstParagraph"/>
      </w:pPr>
      <w:r>
        <w:t xml:space="preserve">The tests were run at laboratory ambient temperature, which was not recorded, and the time between heat treatment and test was not recorded either; Section 2.4 now says so.</w:t>
      </w:r>
    </w:p>
    <w:bookmarkEnd w:id="19"/>
    <w:bookmarkStart w:id="20" w:name="X8e1113455fe76891a8d4e816327c781d322c064"/>
    <w:p>
      <w:pPr>
        <w:pStyle w:val="Heading3"/>
      </w:pPr>
      <w:r>
        <w:t xml:space="preserve">9. Mechanical-test methodology and strain metrology</w:t>
      </w:r>
    </w:p>
    <w:p>
      <w:pPr>
        <w:pStyle w:val="Compact"/>
        <w:numPr>
          <w:ilvl w:val="0"/>
          <w:numId w:val="1033"/>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gauge length, without extensometry. No correction for load-train compliance or grip slip was applied, so the moduli in Table 2 are apparent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4"/>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 From the exported test records, Section 2.4 now adds that data were logged at 5 Hz (10 Hz in the heating test) and that each unloading ran at the same crosshead speed to approximately zero load. The machine model, load cell, grips and preload are not given in those records, and the laboratory temperature was not recorded.</w:t>
      </w:r>
    </w:p>
    <w:p>
      <w:pPr>
        <w:pStyle w:val="Compact"/>
        <w:numPr>
          <w:ilvl w:val="0"/>
          <w:numId w:val="1035"/>
        </w:numPr>
      </w:pPr>
      <w:r>
        <w:t xml:space="preserve">How were E, 0.2% offset yield strength, UTS, elongation to fracture, recovered strain, residual strain, and hysteresis energy extracted from an incremental cyclic history? …</w:t>
      </w:r>
    </w:p>
    <w:p>
      <w:pPr>
        <w:pStyle w:val="FirstParagraph"/>
      </w:pPr>
      <w:r>
        <w:t xml:space="preserve">Table 2 uses the standard definitions: apparent E as the slope of the initial loading, σ₀.₂ by the 0.2% offset method, UTS as the maximum engineering stress, and elongation as the engineering strain at fracture. The construction for each specimen is not reproduced here. Recovered and residual strain are reported only for the heating test, where they are defined in Section 3.2; hysteresis energy is not reported, because no transformation hysteresis was observed.</w:t>
      </w:r>
    </w:p>
    <w:p>
      <w:pPr>
        <w:pStyle w:val="Compact"/>
        <w:numPr>
          <w:ilvl w:val="0"/>
          <w:numId w:val="1036"/>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 as Table S1 records. Section 2.4 now says so and identifies the values as protocol-dependent, and Section 4.2 compares them with monotonic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7"/>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table and statement in the text, with its heat, form, measured diameter, condition, test, gauge length and count. Every condition of Table 2 is now the mean of three specimens. The aged condition and both heating tests are single specimens, and the prolonged and cyclic conditions one or two specimens each; the text says so (Sections 2.4 and 3.2). Each diffraction condition is one specimen, with one or two frames (Section 2.5).</w:t>
      </w:r>
    </w:p>
    <w:p>
      <w:pPr>
        <w:pStyle w:val="Compact"/>
        <w:numPr>
          <w:ilvl w:val="0"/>
          <w:numId w:val="1038"/>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specimen, and the caption says so. Single observations are designated as such. The record of these tests that we used gives the mean and standard deviation of each set of three, so the individual values are not reported.</w:t>
      </w:r>
    </w:p>
    <w:p>
      <w:pPr>
        <w:pStyle w:val="Compact"/>
        <w:numPr>
          <w:ilvl w:val="0"/>
          <w:numId w:val="1039"/>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1 describes the work as an exploratory case study, and Section 4.2 reads the anneal series</w:t>
      </w:r>
      <w:r>
        <w:t xml:space="preserve"> </w:t>
      </w:r>
      <w:r>
        <w:t xml:space="preserve">“as an exploratory survey rather than as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40"/>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and unloaded to zero stress, and the crosshead was then returned to its starting position (nominal zero strain); at the same time the specimen was heated to ≈200 °C at ≈50 °C s⁻¹ and held for ≈10 s, and it was then reloaded. The Fig. 3 caption now identifies the three segments (unloading; return of the crosshead at zero stress during heating; reloading). The test record shows the control mode: the crosshead moved at 0.25 in min⁻¹ throughout, unloading, returning and reloading without a hold, so the specimen was heated while it carried no load. The heating method is not recorded beyond its rate, and the record has no temperature channel; Section 2.4 now says so.</w:t>
      </w:r>
    </w:p>
    <w:p>
      <w:pPr>
        <w:pStyle w:val="Compact"/>
        <w:numPr>
          <w:ilvl w:val="0"/>
          <w:numId w:val="1041"/>
        </w:numPr>
      </w:pPr>
      <w:r>
        <w:t xml:space="preserve">How was specimen temperature monitored, what heating/cooling sequence was used, and were fixture expansion or machine compliance corrections applied? …</w:t>
      </w:r>
    </w:p>
    <w:p>
      <w:pPr>
        <w:pStyle w:val="FirstParagraph"/>
      </w:pPr>
      <w:r>
        <w:t xml:space="preserve">Specimen temperature was not logged, and the cooling before reloading was not recorded. No correction for fixture expansion or for load-train compliance was applied (Section 2.4).</w:t>
      </w:r>
    </w:p>
    <w:p>
      <w:pPr>
        <w:pStyle w:val="Compact"/>
        <w:numPr>
          <w:ilvl w:val="0"/>
          <w:numId w:val="1042"/>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 The test record contains time, crosshead displacement and force only, so no temperature–time history can be shown; Section 2.4 says so.</w:t>
      </w:r>
    </w:p>
    <w:p>
      <w:pPr>
        <w:pStyle w:val="Compact"/>
        <w:numPr>
          <w:ilvl w:val="0"/>
          <w:numId w:val="1043"/>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4"/>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no longer assigns either constituent as the matrix, and names EBSD as the measurement that would distinguish grains from transformation products in Fig. 1d. The orientation information already available comes from the synchrotron data: the orientation distribution of the Rietveld refinement shows {111} and {100} fiber components in γ and a {110} fiber component in α along the wire axis, the drawing textures of cold-drawn FCC and BCC metals (Section 3.3).</w:t>
      </w:r>
    </w:p>
    <w:p>
      <w:pPr>
        <w:pStyle w:val="Compact"/>
        <w:numPr>
          <w:ilvl w:val="0"/>
          <w:numId w:val="1045"/>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 The number of fields inspected was not recorded, and Section 3.1 says so.</w:t>
      </w:r>
    </w:p>
    <w:p>
      <w:pPr>
        <w:pStyle w:val="Compact"/>
        <w:numPr>
          <w:ilvl w:val="0"/>
          <w:numId w:val="1046"/>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 The acquisition conditions and any point or map data are not available to us, and Section 2.3 now says so.</w:t>
      </w:r>
    </w:p>
    <w:p>
      <w:pPr>
        <w:pStyle w:val="Compact"/>
        <w:numPr>
          <w:ilvl w:val="0"/>
          <w:numId w:val="1047"/>
        </w:numPr>
      </w:pPr>
      <w:r>
        <w:t xml:space="preserve">Were micrographs of the AGG-treated wire acquired? …</w:t>
      </w:r>
    </w:p>
    <w:p>
      <w:pPr>
        <w:pStyle w:val="FirstParagraph"/>
      </w:pPr>
      <w:r>
        <w:t xml:space="preserve">Yes. Fig. 1d (new) shows the 0.36 mm wire after the cyclic treatment: it retains a fine, banded two-constituent structure, and no bamboo structure formed (Section 3.1). For the cyclically treated rod, the manuscript makes no claim about grain structure beyond its diffraction pattern (Section 3.3).</w:t>
      </w:r>
    </w:p>
    <w:bookmarkEnd w:id="23"/>
    <w:bookmarkStart w:id="24" w:name="X77afcd40d0ae4f310af2cca863d3b5669dc0bb2"/>
    <w:p>
      <w:pPr>
        <w:pStyle w:val="Heading3"/>
      </w:pPr>
      <w:r>
        <w:t xml:space="preserve">13. Synchrotron geometry and acquisition details</w:t>
      </w:r>
    </w:p>
    <w:p>
      <w:pPr>
        <w:pStyle w:val="Compact"/>
        <w:numPr>
          <w:ilvl w:val="0"/>
          <w:numId w:val="1048"/>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center and distance fitted from the rings themselves with a CeO₂ calibrant frame, and one or two frames per specimen. The exposure normalization of Fig. 6b is stated in its caption. The detector model, exposure time per frame, background measurement and any specimen motion during exposure are not documented in the beamline records available to us, and Section 2.5 now says so.</w:t>
      </w:r>
    </w:p>
    <w:p>
      <w:pPr>
        <w:pStyle w:val="Compact"/>
        <w:numPr>
          <w:ilvl w:val="0"/>
          <w:numId w:val="1049"/>
        </w:numPr>
      </w:pPr>
      <w:r>
        <w:t xml:space="preserve">How was overspill from the 0.5 mm beam relative to the 0.36 mm wire handled, and was the same illuminated volume sampled before and after deformation?</w:t>
      </w:r>
    </w:p>
    <w:p>
      <w:pPr>
        <w:pStyle w:val="FirstParagraph"/>
      </w:pPr>
      <w:r>
        <w:t xml:space="preserve">The overspill was not corrected: the 0.5 mm beam is wider than the 0.36 mm wire, so part of it passed beside the specimen, and Section 2.5 now says so. Before and after deformation are separate specimens (Section 2.5, Fig. 4 caption), so the same volume was not sampled; Section 3.3 notes that the different grains illuminated in a separate specimen may contribute to the observed changes.</w:t>
      </w:r>
    </w:p>
    <w:p>
      <w:pPr>
        <w:pStyle w:val="Compact"/>
        <w:numPr>
          <w:ilvl w:val="0"/>
          <w:numId w:val="1050"/>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 Their location along the gauge relative to the fracture or neck was not recorded, and Section 2.5 says so.</w:t>
      </w:r>
    </w:p>
    <w:p>
      <w:pPr>
        <w:pStyle w:val="Compact"/>
        <w:numPr>
          <w:ilvl w:val="0"/>
          <w:numId w:val="1051"/>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Fig. 4 caption;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2"/>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p>
    <w:p>
      <w:pPr>
        <w:pStyle w:val="Compact"/>
        <w:numPr>
          <w:ilvl w:val="0"/>
          <w:numId w:val="1053"/>
        </w:numPr>
      </w:pPr>
      <w:r>
        <w:t xml:space="preserve">the three-phase model and space groups, with lattice parameters fixed (values given);</w:t>
      </w:r>
    </w:p>
    <w:p>
      <w:pPr>
        <w:pStyle w:val="Compact"/>
        <w:numPr>
          <w:ilvl w:val="0"/>
          <w:numId w:val="1053"/>
        </w:numPr>
      </w:pPr>
      <w:r>
        <w:t xml:space="preserve">pseudo-Voigt profiles with a d-dependent Caglioti instrumental function and Popa anisotropic crystallite size;</w:t>
      </w:r>
    </w:p>
    <w:p>
      <w:pPr>
        <w:pStyle w:val="Compact"/>
        <w:numPr>
          <w:ilvl w:val="0"/>
          <w:numId w:val="1053"/>
        </w:numPr>
      </w:pPr>
      <w:r>
        <w:t xml:space="preserve">interpolated backgrounds;</w:t>
      </w:r>
    </w:p>
    <w:p>
      <w:pPr>
        <w:pStyle w:val="Compact"/>
        <w:numPr>
          <w:ilvl w:val="0"/>
          <w:numId w:val="1053"/>
        </w:numPr>
      </w:pPr>
      <w:r>
        <w:t xml:space="preserve">the refined variables of each final refinement (undeformed and deformed);</w:t>
      </w:r>
    </w:p>
    <w:p>
      <w:pPr>
        <w:pStyle w:val="Compact"/>
        <w:numPr>
          <w:ilvl w:val="0"/>
          <w:numId w:val="1053"/>
        </w:numPr>
      </w:pPr>
      <w:r>
        <w:t xml:space="preserve">E-WIMV texture at 2° and 5° ODF resolution.</w:t>
      </w:r>
    </w:p>
    <w:p>
      <w:pPr>
        <w:pStyle w:val="FirstParagraph"/>
      </w:pPr>
      <w:r>
        <w:t xml:space="preserve">R_wp and R_p of both refinements are given in Section 3.3 and the Fig. 5 caption, which now shows both. We do not quote MAUD’s goodness-of-fit value, which its weighting scheme does not make comparable to a conventional χ². The basis of the phase fractions is stated plainly: they were not varied in either final refinement; the undeformed pattern’s were held at the values of an earlier refinement stage, and the deformed pattern’s are not reported as a measurement. They therefore carry no least-squares uncertainty and are labelled semi-quantitative. The values 0.62/0.34/0.04 come from that earlier stage. Difference curves cannot be shown, because MAUD saved neither analysis with its spectra; Fig. 5 shows the observed and calculated patterns, and R_wp and R_p are reported for both.</w:t>
      </w:r>
    </w:p>
    <w:p>
      <w:pPr>
        <w:pStyle w:val="Compact"/>
        <w:numPr>
          <w:ilvl w:val="0"/>
          <w:numId w:val="1054"/>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5"/>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Omori alloy altogether. The fractions are labelled semi-quantitative in the Abstract, Section 3.3, Section 4.1 and the Conclusions.</w:t>
      </w:r>
    </w:p>
    <w:p>
      <w:pPr>
        <w:pStyle w:val="Compact"/>
        <w:numPr>
          <w:ilvl w:val="0"/>
          <w:numId w:val="1056"/>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 (Section 4.1).</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7"/>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that the diffraction pattern describes the state retained after unloading, and that it corroborates the mechanical evidence rather than the other way round.</w:t>
      </w:r>
    </w:p>
    <w:p>
      <w:pPr>
        <w:pStyle w:val="Compact"/>
        <w:numPr>
          <w:ilvl w:val="0"/>
          <w:numId w:val="1058"/>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Section 3.3 and the Conclusions state that a transformation reversing on unloading is bounded by the unloading curves rather than by diffraction (and Section 3.3 that the heating test only narrows the remaining route), and an in-situ measurement is named as the direct test (Sections 3.3 and 4.3).</w:t>
      </w:r>
    </w:p>
    <w:p>
      <w:pPr>
        <w:pStyle w:val="Compact"/>
        <w:numPr>
          <w:ilvl w:val="0"/>
          <w:numId w:val="1059"/>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may also contribute.</w:t>
      </w:r>
    </w:p>
    <w:p>
      <w:pPr>
        <w:pStyle w:val="Compact"/>
        <w:numPr>
          <w:ilvl w:val="0"/>
          <w:numId w:val="1060"/>
        </w:numPr>
      </w:pPr>
      <w:r>
        <w:t xml:space="preserve">Why were different maximum strains used for the two alloys, and were intensities normalized …</w:t>
      </w:r>
    </w:p>
    <w:p>
      <w:pPr>
        <w:pStyle w:val="FirstParagraph"/>
      </w:pPr>
      <w:r>
        <w:t xml:space="preserve">The two maximum strains were not matched, which limits the comparison. The Omori alloy’s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61"/>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 alloy at a signal-to-noise ratio of 16–27 across four patterns and absent from the Omori alloy. The intensity at the B2-allowed {200} position in the LLM alloy (0.50–1.06% of maximum) is at most about 0.3 of the Omori alloy’s (3.83–7.17%) and is accounted for by D0₃. Spatial scale is not established; Section 3.3 states that transmission electron microscopy or atom-probe tomography would be required, and that a finer or more dilute B2 dispersion cannot be excluded.</w:t>
      </w:r>
    </w:p>
    <w:p>
      <w:pPr>
        <w:pStyle w:val="Compact"/>
        <w:numPr>
          <w:ilvl w:val="0"/>
          <w:numId w:val="1062"/>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3"/>
        </w:numPr>
      </w:pPr>
      <w:r>
        <w:t xml:space="preserve">Is the DO3 phase a coarse constituent, an intragranular precipitate, or an ordering state within the BCC matrix? …</w:t>
      </w:r>
    </w:p>
    <w:p>
      <w:pPr>
        <w:pStyle w:val="FirstParagraph"/>
      </w:pPr>
      <w:r>
        <w:t xml:space="preserve">This cannot be decided from the present data. Sections 3.3 and 4.1 now say so and refer to an ordered D0₃ phase</w:t>
      </w:r>
      <w:r>
        <w:t xml:space="preserve"> </w:t>
      </w:r>
      <w:r>
        <w:t xml:space="preserve">“of unknown spatial scale”</w:t>
      </w:r>
      <w:r>
        <w:t xml:space="preserve">.</w:t>
      </w:r>
    </w:p>
    <w:p>
      <w:pPr>
        <w:pStyle w:val="Compact"/>
        <w:numPr>
          <w:ilvl w:val="0"/>
          <w:numId w:val="1064"/>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that the D0₃ raises the resistance to plastic flow in the way B2 does in the Omori alloy,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5"/>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Section 3.3 now says that the dual-phase constitution</w:t>
      </w:r>
      <w:r>
        <w:t xml:space="preserve"> </w:t>
      </w:r>
      <w:r>
        <w:t xml:space="preserve">“is therefore retained at room temperature after this treatment …; whether it is also the constitution at 1200 °C cannot be established from room-temperature diffraction”</w:t>
      </w:r>
      <w:r>
        <w:t xml:space="preserve">. Section 4.1 discusses whether the γ formed at temperature or on cooling, and leaves this open.</w:t>
      </w:r>
    </w:p>
    <w:p>
      <w:pPr>
        <w:pStyle w:val="Compact"/>
        <w:numPr>
          <w:ilvl w:val="0"/>
          <w:numId w:val="1066"/>
        </w:numPr>
      </w:pPr>
      <w:r>
        <w:t xml:space="preserve">Could the recovery, recrystallization, and grain-growth regimes be presented as interpretations of the mechanical trends …</w:t>
      </w:r>
    </w:p>
    <w:p>
      <w:pPr>
        <w:pStyle w:val="FirstParagraph"/>
      </w:pPr>
      <w:r>
        <w:t xml:space="preserve">Done. Section 4.2 now states that microstructures were examined only after the 1200 °C anneals, so the regimes are</w:t>
      </w:r>
      <w:r>
        <w:t xml:space="preserve"> </w:t>
      </w:r>
      <w:r>
        <w:t xml:space="preserve">“interpretations of the mechanical trends rather than observed microstructural stages”</w:t>
      </w:r>
      <w:r>
        <w:t xml:space="preserve">, and each statement is worded as an interpretation.</w:t>
      </w:r>
    </w:p>
    <w:p>
      <w:pPr>
        <w:pStyle w:val="Compact"/>
        <w:numPr>
          <w:ilvl w:val="0"/>
          <w:numId w:val="1067"/>
        </w:numPr>
      </w:pPr>
      <w:r>
        <w:t xml:space="preserve">Could the Discussion consider plausible alternatives for the decrease in elongation above 1000 °C …</w:t>
      </w:r>
    </w:p>
    <w:p>
      <w:pPr>
        <w:pStyle w:val="FirstParagraph"/>
      </w:pPr>
      <w:r>
        <w:t xml:space="preserve">Done. Section 4.2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8"/>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4.2 now states that in this dual-phase wire the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9"/>
        </w:numPr>
      </w:pPr>
      <w:r>
        <w:t xml:space="preserve">Could the authors rewrite Section 4.3 around the specific failure chain observed here …</w:t>
      </w:r>
    </w:p>
    <w:p>
      <w:pPr>
        <w:pStyle w:val="FirstParagraph"/>
      </w:pPr>
      <w:r>
        <w:t xml:space="preserve">Done. Section 4.3 now opens by stating the workflow as it was run: the request, the six ranked families, the choice of one, a composition outside its range, and no phase-stability calculation between report and melt. The next paragraph follows the failure chain link by link.</w:t>
      </w:r>
    </w:p>
    <w:p>
      <w:pPr>
        <w:pStyle w:val="Compact"/>
        <w:numPr>
          <w:ilvl w:val="0"/>
          <w:numId w:val="1070"/>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 using the calculations of Section 3.4:</w:t>
      </w:r>
    </w:p>
    <w:p>
      <w:pPr>
        <w:pStyle w:val="Compact"/>
        <w:numPr>
          <w:ilvl w:val="0"/>
          <w:numId w:val="1071"/>
        </w:numPr>
      </w:pPr>
      <w:r>
        <w:rPr>
          <w:b/>
          <w:bCs/>
        </w:rPr>
        <w:t xml:space="preserve">The proposal.</w:t>
      </w:r>
      <w:r>
        <w:t xml:space="preserve"> </w:t>
      </w:r>
      <w:r>
        <w:t xml:space="preserve">The carbon-bearing compositions sampled inside the agent’s own range cannot, on calculation, be solution-treated to single-phase α at 1200 °C, so the obstacle is not peculiar to the composition melted. This link is attributable to the model.</w:t>
      </w:r>
    </w:p>
    <w:p>
      <w:pPr>
        <w:pStyle w:val="Compact"/>
        <w:numPr>
          <w:ilvl w:val="0"/>
          <w:numId w:val="1071"/>
        </w:numPr>
      </w:pPr>
      <w:r>
        <w:rPr>
          <w:b/>
          <w:bCs/>
        </w:rPr>
        <w:t xml:space="preserve">The human down-selection.</w:t>
      </w:r>
      <w:r>
        <w:t xml:space="preserve"> </w:t>
      </w:r>
      <w:r>
        <w:t xml:space="preserve">The melt lies outside the range in Mn and Al. That deviation moves the alloy in the observed direction but, on calculation, does not decide the outcome.</w:t>
      </w:r>
    </w:p>
    <w:p>
      <w:pPr>
        <w:pStyle w:val="Compact"/>
        <w:numPr>
          <w:ilvl w:val="0"/>
          <w:numId w:val="1071"/>
        </w:numPr>
      </w:pPr>
      <w:r>
        <w:rPr>
          <w:b/>
          <w:bCs/>
        </w:rPr>
        <w:t xml:space="preserve">Synthesis.</w:t>
      </w:r>
      <w:r>
        <w:t xml:space="preserve"> </w:t>
      </w:r>
      <w:r>
        <w:t xml:space="preserve">Half the silicon was lost, but at its measured level silicon does not obstruct the α field once carbon is removed; whether the intended silicon would have opened it with carbon present is not answered by the calculations.</w:t>
      </w:r>
    </w:p>
    <w:p>
      <w:pPr>
        <w:pStyle w:val="Compact"/>
        <w:numPr>
          <w:ilvl w:val="0"/>
          <w:numId w:val="1071"/>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whose report recommended it.</w:t>
      </w:r>
    </w:p>
    <w:p>
      <w:pPr>
        <w:pStyle w:val="Compact"/>
        <w:numPr>
          <w:ilvl w:val="0"/>
          <w:numId w:val="1072"/>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4.3 compares the workflow with four kinds of approach:</w:t>
      </w:r>
    </w:p>
    <w:p>
      <w:pPr>
        <w:pStyle w:val="Compact"/>
        <w:numPr>
          <w:ilvl w:val="0"/>
          <w:numId w:val="1073"/>
        </w:numPr>
      </w:pPr>
      <w:r>
        <w:t xml:space="preserve">domain-trained language models with explicit datasets and quantitative test errors (AlloyBERT; AlloyGPT, trained on CALPHAD-generated records);</w:t>
      </w:r>
    </w:p>
    <w:p>
      <w:pPr>
        <w:pStyle w:val="Compact"/>
        <w:numPr>
          <w:ilvl w:val="0"/>
          <w:numId w:val="1073"/>
        </w:numPr>
      </w:pPr>
      <w:r>
        <w:t xml:space="preserve">LLM agents that call physics tools (AtomAgents, atomistic simulation; an agentic system using Thermo-Calc calculations);</w:t>
      </w:r>
    </w:p>
    <w:p>
      <w:pPr>
        <w:pStyle w:val="Compact"/>
        <w:numPr>
          <w:ilvl w:val="0"/>
          <w:numId w:val="1073"/>
        </w:numPr>
      </w:pPr>
      <w:r>
        <w:t xml:space="preserve">adaptive and active-learning loops closed on experiment (Xue et al., NiTi-based SMAs, 36 compositions over nine loops; Rao et al., high-entropy Invar alloys);</w:t>
      </w:r>
    </w:p>
    <w:p>
      <w:pPr>
        <w:pStyle w:val="Compact"/>
        <w:numPr>
          <w:ilvl w:val="0"/>
          <w:numId w:val="1073"/>
        </w:numPr>
      </w:pPr>
      <w:r>
        <w:t xml:space="preserve">data-driven SMA selection confirmed experimentally (the AIMS framework).</w:t>
      </w:r>
    </w:p>
    <w:p>
      <w:pPr>
        <w:pStyle w:val="FirstParagraph"/>
      </w:pPr>
      <w:r>
        <w:t xml:space="preserve">In those workflows a calculation or an experiment stands between the proposal and the decision to pursue it. The single-shot, tool-free workflow tested here had no such step. Six references have been added.</w:t>
      </w:r>
    </w:p>
    <w:p>
      <w:pPr>
        <w:pStyle w:val="Compact"/>
        <w:numPr>
          <w:ilvl w:val="0"/>
          <w:numId w:val="1074"/>
        </w:numPr>
      </w:pPr>
      <w:r>
        <w:t xml:space="preserve">Please formulate conclusions that remain valid if another processing route were later found to produce superelasticity in this same nominal composition.</w:t>
      </w:r>
    </w:p>
    <w:p>
      <w:pPr>
        <w:pStyle w:val="FirstParagraph"/>
      </w:pPr>
      <w:r>
        <w:t xml:space="preserve">Done. The Conclusions state that the experimental conclusions</w:t>
      </w:r>
      <w:r>
        <w:t xml:space="preserve"> </w:t>
      </w:r>
      <w:r>
        <w:t xml:space="preserve">“are confined to the conditions reported and remain valid even if another processing route is later found to produce superelasticity in this composition”</w:t>
      </w:r>
      <w:r>
        <w:t xml:space="preserve">, and Section 4.1 that</w:t>
      </w:r>
      <w:r>
        <w:t xml:space="preserve"> </w:t>
      </w:r>
      <w:r>
        <w:t xml:space="preserve">“We do not claim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2026-10-15T22:23:56Z</dcterms:created>
  <dcterms:modified xsi:type="dcterms:W3CDTF">2026-10-15T22:23:56Z</dcterms:modified>
</cp:coreProperties>
</file>

<file path=docProps/custom.xml><?xml version="1.0" encoding="utf-8"?>
<Properties xmlns="http://schemas.openxmlformats.org/officeDocument/2006/custom-properties" xmlns:vt="http://schemas.openxmlformats.org/officeDocument/2006/docPropsVTypes"/>
</file>