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2EDA7" w14:textId="07BE16E8" w:rsidR="00AF521D" w:rsidRDefault="00B61A0B">
      <w:pPr>
        <w:pStyle w:val="Title"/>
      </w:pPr>
      <w:r>
        <w:t>Experimental Validation</w:t>
      </w:r>
      <w:r>
        <w:t xml:space="preserve"> of an </w:t>
      </w:r>
      <w:r>
        <w:t>LLM</w:t>
      </w:r>
      <w:r>
        <w:t xml:space="preserve">-Hypothesized </w:t>
      </w:r>
      <w:r>
        <w:t>Fe-Mn-Al-Ni-Si-C Alloy</w:t>
      </w:r>
      <w:r>
        <w:t>: Phase Stability Governs the Absence of Super-elasticity</w:t>
      </w:r>
    </w:p>
    <w:p w14:paraId="07D3F89D" w14:textId="77777777" w:rsidR="00AF521D" w:rsidRDefault="00B61A0B">
      <w:pPr>
        <w:pStyle w:val="FirstParagraph"/>
      </w:pPr>
      <w:r>
        <w:t>Frank Y. Cai</w:t>
      </w:r>
      <w:r>
        <w:rPr>
          <w:vertAlign w:val="superscript"/>
        </w:rPr>
        <w:t>1</w:t>
      </w:r>
      <w:r>
        <w:t>*, S. Cai</w:t>
      </w:r>
      <w:r>
        <w:rPr>
          <w:vertAlign w:val="superscript"/>
        </w:rPr>
        <w:t>2</w:t>
      </w:r>
      <w:r>
        <w:t>, X. Wang</w:t>
      </w:r>
      <w:r>
        <w:rPr>
          <w:vertAlign w:val="superscript"/>
        </w:rPr>
        <w:t>3</w:t>
      </w:r>
      <w:r>
        <w:t>, J. Yan</w:t>
      </w:r>
      <w:r>
        <w:rPr>
          <w:vertAlign w:val="superscript"/>
        </w:rPr>
        <w:t>4</w:t>
      </w:r>
    </w:p>
    <w:p w14:paraId="69F54373" w14:textId="77777777" w:rsidR="00AF521D" w:rsidRDefault="00B61A0B">
      <w:pPr>
        <w:pStyle w:val="BodyText"/>
      </w:pPr>
      <w:r>
        <w:rPr>
          <w:vertAlign w:val="superscript"/>
        </w:rPr>
        <w:t>1</w:t>
      </w:r>
      <w:r>
        <w:t>School of Engineering Technologies, Purdue University, West Lafayette, Indiana</w:t>
      </w:r>
      <w:r>
        <w:t xml:space="preserve"> 47907</w:t>
      </w:r>
      <w:r>
        <w:t>, USA</w:t>
      </w:r>
    </w:p>
    <w:p w14:paraId="01297743" w14:textId="22818139" w:rsidR="00AF521D" w:rsidRDefault="00B61A0B">
      <w:pPr>
        <w:pStyle w:val="BodyText"/>
      </w:pPr>
      <w:r>
        <w:rPr>
          <w:vertAlign w:val="superscript"/>
        </w:rPr>
        <w:t>2</w:t>
      </w:r>
      <w:r>
        <w:t>Fort Wayne Metals, Fort Wayne, Indiana</w:t>
      </w:r>
      <w:r>
        <w:t xml:space="preserve"> [ZIP — confirm],</w:t>
      </w:r>
      <w:r>
        <w:t xml:space="preserve"> USA</w:t>
      </w:r>
    </w:p>
    <w:p w14:paraId="2ED0E8B5" w14:textId="77777777" w:rsidR="00AF521D" w:rsidRDefault="00B61A0B">
      <w:pPr>
        <w:pStyle w:val="BodyText"/>
      </w:pPr>
      <w:r>
        <w:rPr>
          <w:vertAlign w:val="superscript"/>
        </w:rPr>
        <w:t>3</w:t>
      </w:r>
      <w:r>
        <w:t>School of Engineering Technologies, Purdue University, West Lafayette, Indiana</w:t>
      </w:r>
      <w:r>
        <w:t xml:space="preserve"> 47907</w:t>
      </w:r>
      <w:r>
        <w:t>, USA</w:t>
      </w:r>
    </w:p>
    <w:p w14:paraId="1F7C3768" w14:textId="5D47315C" w:rsidR="00AF521D" w:rsidRDefault="00B61A0B">
      <w:pPr>
        <w:pStyle w:val="BodyText"/>
      </w:pPr>
      <w:r>
        <w:rPr>
          <w:vertAlign w:val="superscript"/>
        </w:rPr>
        <w:t>4</w:t>
      </w:r>
      <w:r>
        <w:t>Shanghai Synchrotron Radiation Facility, Shanghai</w:t>
      </w:r>
      <w:r>
        <w:t xml:space="preserve"> [postal code — confirm],</w:t>
      </w:r>
      <w:r>
        <w:t xml:space="preserve"> China</w:t>
      </w:r>
    </w:p>
    <w:p w14:paraId="7B6652FA" w14:textId="4636076A" w:rsidR="00AF521D" w:rsidRDefault="00B61A0B">
      <w:pPr>
        <w:pStyle w:val="BodyText"/>
      </w:pPr>
      <w:r>
        <w:t>*Corresponding author. E-mail</w:t>
      </w:r>
      <w:r>
        <w:t>: cai485@purdue.edu</w:t>
      </w:r>
    </w:p>
    <w:p w14:paraId="1F8A403D" w14:textId="77777777" w:rsidR="00AF521D" w:rsidRDefault="00B61A0B">
      <w:r>
        <w:pict>
          <v:rect id="_x0000_i1025" style="width:0;height:1.5pt" o:hralign="center" o:hrstd="t" o:hr="t"/>
        </w:pict>
      </w:r>
    </w:p>
    <w:p w14:paraId="15CF2653" w14:textId="77777777" w:rsidR="00AF521D" w:rsidRDefault="00B61A0B">
      <w:pPr>
        <w:pStyle w:val="Heading1"/>
      </w:pPr>
      <w:bookmarkStart w:id="0" w:name="abstract"/>
      <w:r>
        <w:t>Abstract</w:t>
      </w:r>
    </w:p>
    <w:p w14:paraId="46FE008A" w14:textId="5A0D29B7" w:rsidR="00AF521D" w:rsidRDefault="00B61A0B">
      <w:pPr>
        <w:pStyle w:val="FirstParagraph"/>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r>
        <w:t xml:space="preserve">survive contact with a furnace. We </w:t>
      </w:r>
      <w:r>
        <w:t xml:space="preserve">report </w:t>
      </w:r>
      <w:r>
        <w:t xml:space="preserve">what is, to our knowledge, </w:t>
      </w:r>
      <w:r>
        <w:t xml:space="preserve">the </w:t>
      </w:r>
      <w:r>
        <w:t xml:space="preserve">first experimental test of an LLM-hypothesized shape memory alloy carried from proposal through processing to </w:t>
      </w:r>
      <w:r>
        <w:t xml:space="preserve">mechanical </w:t>
      </w:r>
      <w:r>
        <w:t xml:space="preserve">and synchrotron </w:t>
      </w:r>
      <w:r>
        <w:t>characterization</w:t>
      </w:r>
      <w:r>
        <w:t>. An</w:t>
      </w:r>
      <w:r>
        <w:t xml:space="preserve"> LLM-hypothesized Fe-Mn-Al-</w:t>
      </w:r>
      <w:r>
        <w:t>Ni-</w:t>
      </w:r>
      <w:r>
        <w:t>Si-</w:t>
      </w:r>
      <w:r>
        <w:t>C composition</w:t>
      </w:r>
      <w:r>
        <w:t xml:space="preserve"> was</w:t>
      </w:r>
      <w:r>
        <w:t xml:space="preserve"> benchmarked against an established super-elastic Fe-Mn-Al-Ni alloy processed </w:t>
      </w:r>
      <w:r>
        <w:t>by the same nominal route — an alloy whose super-elasticity depends on coherent B2 NiAl precipitates within a continuous BCC α parent.</w:t>
      </w:r>
      <w:r>
        <w:t xml:space="preserve"> The </w:t>
      </w:r>
      <w:r>
        <w:t>LLM-</w:t>
      </w:r>
      <w:r>
        <w:t xml:space="preserve">alloy </w:t>
      </w:r>
      <w:r>
        <w:t>proved</w:t>
      </w:r>
      <w:r>
        <w:t xml:space="preserve"> readily castable </w:t>
      </w:r>
      <w:r>
        <w:t>and mechanically serviceable, with 0.2% proof stress from 1948 to 502 MPa across the anneal series and elongation peaking at 33%, yet it showed no</w:t>
      </w:r>
      <w:r>
        <w:t xml:space="preserve"> super-elasticity under any condition tested</w:t>
      </w:r>
      <w:r>
        <w:t>: strain recovery on unloading was indistinguishable from</w:t>
      </w:r>
      <w:r>
        <w:t xml:space="preserve"> elastic </w:t>
      </w:r>
      <w:r>
        <w:t>springback, against ≈0.5% recoverable transformation strain in the benchmark.</w:t>
      </w:r>
      <w:r>
        <w:t xml:space="preserve"> Synchrotron </w:t>
      </w:r>
      <w:r>
        <w:t xml:space="preserve">diffraction </w:t>
      </w:r>
      <w:r>
        <w:t>attributes</w:t>
      </w:r>
      <w:r>
        <w:t xml:space="preserve"> this </w:t>
      </w:r>
      <w:r>
        <w:t xml:space="preserve">to </w:t>
      </w:r>
      <w:r>
        <w:t>a phase-stability mismatch</w:t>
      </w:r>
      <w:r>
        <w:t xml:space="preserve"> —</w:t>
      </w:r>
      <w:r>
        <w:t xml:space="preserve"> a stable </w:t>
      </w:r>
      <w:r>
        <w:t>FCC γ + BCC α duplex</w:t>
      </w:r>
      <w:r>
        <w:t xml:space="preserve"> microstructure with a minor ordered Fe</w:t>
      </w:r>
      <w:r>
        <w:t>₃</w:t>
      </w:r>
      <w:r>
        <w:t>Al phase</w:t>
      </w:r>
      <w:r>
        <w:t>, unchanged by deformation. Equilibrium CALPHAD calculations across three independent databases, validated against the benchmark, locate the cause. The benchmark solution-treats to single-phase</w:t>
      </w:r>
      <w:r>
        <w:t xml:space="preserve"> </w:t>
      </w:r>
      <w:r>
        <w:t>BCC α at 1200 °C, whereas the LLM-alloy is two-phase there and reaches single-phase α only at ≈1340 °C, above</w:t>
      </w:r>
      <w:r>
        <w:t xml:space="preserve"> its </w:t>
      </w:r>
      <w:r>
        <w:t>accessible processing range; deleting</w:t>
      </w:r>
      <w:r>
        <w:t xml:space="preserve"> carbon </w:t>
      </w:r>
      <w:r>
        <w:t>alone from the measured chemistry lowers that field to ≈1150 °C and restores the single-phase state. A carbon addition of ≈0.10 wt% is thus sufficient to close the processing window on which super-elasticity depends.</w:t>
      </w:r>
      <w:r>
        <w:t xml:space="preserve"> LLM-proposed </w:t>
      </w:r>
      <w:r>
        <w:t xml:space="preserve">compositions </w:t>
      </w:r>
      <w:r>
        <w:t>should therefore</w:t>
      </w:r>
      <w:r>
        <w:t xml:space="preserve"> be screened for competing phase stability and interstitial content before </w:t>
      </w:r>
      <w:r>
        <w:t xml:space="preserve">synthesis </w:t>
      </w:r>
      <w:r>
        <w:t>— a check costing minutes with openly available databases</w:t>
      </w:r>
      <w:r>
        <w:t>.</w:t>
      </w:r>
    </w:p>
    <w:p w14:paraId="1967856D" w14:textId="77777777" w:rsidR="00AF521D" w:rsidRDefault="00B61A0B">
      <w:pPr>
        <w:pStyle w:val="BodyText"/>
      </w:pPr>
      <w:r>
        <w:rPr>
          <w:b/>
          <w:bCs/>
        </w:rPr>
        <w:t>Keywords:</w:t>
      </w:r>
      <w:r>
        <w:t xml:space="preserve"> Fe-based shape memory alloy; super-elasticity; AI-guided alloy design</w:t>
      </w:r>
      <w:r>
        <w:t>; CALPHAD</w:t>
      </w:r>
      <w:r>
        <w:t>; synchrotron XRD; abnormal grain growth</w:t>
      </w:r>
    </w:p>
    <w:p w14:paraId="33767187" w14:textId="77777777" w:rsidR="00AF521D" w:rsidRDefault="00B61A0B">
      <w:r>
        <w:pict>
          <v:rect id="_x0000_i1026" style="width:0;height:1.5pt" o:hralign="center" o:hrstd="t" o:hr="t"/>
        </w:pict>
      </w:r>
    </w:p>
    <w:p w14:paraId="61EE1418" w14:textId="77777777" w:rsidR="00AF521D" w:rsidRDefault="00B61A0B">
      <w:pPr>
        <w:pStyle w:val="Heading1"/>
      </w:pPr>
      <w:bookmarkStart w:id="1" w:name="introduction"/>
      <w:bookmarkEnd w:id="0"/>
      <w:r>
        <w:t>1. Introduction</w:t>
      </w:r>
    </w:p>
    <w:p w14:paraId="0585C493" w14:textId="46064578" w:rsidR="00AF521D" w:rsidRDefault="00B61A0B">
      <w:pPr>
        <w:pStyle w:val="FirstParagraph"/>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p>
    <w:p w14:paraId="77D2E56F" w14:textId="11C37B1F" w:rsidR="00AF521D" w:rsidRDefault="00B61A0B">
      <w:pPr>
        <w:pStyle w:val="BodyText"/>
      </w:pPr>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r>
        <w:t>]; nor need they check that the phase fields their target microstructure requires are reachable by any processing route the laboratory can actually run.</w:t>
      </w:r>
      <w:r>
        <w:t xml:space="preserve"> A composition whose target phase lies on the DFT convex hull might still be difficult to realize in practice. </w:t>
      </w:r>
      <w:r>
        <w:t xml:space="preserve">To the best of our knowledge, experimentally validated studies </w:t>
      </w:r>
      <w:r>
        <w:t>of LLM-hypothesized alloys</w:t>
      </w:r>
      <w:r>
        <w:t xml:space="preserve"> remain very rare.</w:t>
      </w:r>
    </w:p>
    <w:p w14:paraId="70B8CFB4" w14:textId="77777777" w:rsidR="00AF521D" w:rsidRDefault="00B61A0B">
      <w:pPr>
        <w:pStyle w:val="BodyText"/>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7D051A4F" w14:textId="4E199689" w:rsidR="00AF521D" w:rsidRDefault="00B61A0B">
      <w:pPr>
        <w:pStyle w:val="BodyText"/>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r>
        <w:t>LLM agent on</w:t>
      </w:r>
      <w:r>
        <w:t xml:space="preserve"> over 200 published papers on Fe-based SMAs along with other publicly available information, and asked </w:t>
      </w:r>
      <w:r>
        <w:t>it</w:t>
      </w:r>
      <w:r>
        <w:t xml:space="preserve"> for lower-cost alternatives with the potential to exhibit super-elasticity with small grain sizes. We processed one of the </w:t>
      </w:r>
      <w:r>
        <w:t>LLM</w:t>
      </w:r>
      <w:r>
        <w:t xml:space="preserve">-hypothesized compositions alongside the alloy reported by Omori </w:t>
      </w:r>
      <w:r>
        <w:rPr>
          <w:i/>
          <w:iCs/>
        </w:rPr>
        <w:t>et al.</w:t>
      </w:r>
      <w:r>
        <w:t xml:space="preserve"> [12]</w:t>
      </w:r>
      <w:r>
        <w:t xml:space="preserve">. </w:t>
      </w:r>
      <w:r>
        <w:t>Both alloys were then put through</w:t>
      </w:r>
      <w:r>
        <w:t xml:space="preserve"> the </w:t>
      </w:r>
      <w:r>
        <w:t xml:space="preserve">same nominal </w:t>
      </w:r>
      <w:r>
        <w:t xml:space="preserve">processing </w:t>
      </w:r>
      <w:r>
        <w:t>route. Identical nominal parameters do not guarantee</w:t>
      </w:r>
      <w:r>
        <w:t xml:space="preserve"> identical </w:t>
      </w:r>
      <w:r>
        <w:t>recrystallization, grain size, texture or precipitation state in two different compositions, so what follows is a comparison of how each alloy responds to a common route rather than a controlled isolation of composition; the limits of that comparison</w:t>
      </w:r>
      <w:r>
        <w:t xml:space="preserve"> are </w:t>
      </w:r>
      <w:r>
        <w:t>stated in Sec. 4.1</w:t>
      </w:r>
      <w:r>
        <w:t>.</w:t>
      </w:r>
    </w:p>
    <w:p w14:paraId="47CF3485" w14:textId="77777777" w:rsidR="00AF521D" w:rsidRDefault="00B61A0B">
      <w:pPr>
        <w:pStyle w:val="BodyText"/>
      </w:pPr>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p>
    <w:p w14:paraId="731EBAD7" w14:textId="77777777" w:rsidR="00AF521D" w:rsidRDefault="00B61A0B">
      <w:r>
        <w:pict>
          <v:rect id="_x0000_i1027" style="width:0;height:1.5pt" o:hralign="center" o:hrstd="t" o:hr="t"/>
        </w:pict>
      </w:r>
    </w:p>
    <w:p w14:paraId="7CF2B2DA" w14:textId="77777777" w:rsidR="00AF521D" w:rsidRDefault="00B61A0B">
      <w:pPr>
        <w:pStyle w:val="Heading1"/>
      </w:pPr>
      <w:bookmarkStart w:id="2" w:name="materials-and-experiments"/>
      <w:bookmarkEnd w:id="1"/>
      <w:r>
        <w:t>2. Materials and Experiments</w:t>
      </w:r>
    </w:p>
    <w:p w14:paraId="05C45301" w14:textId="77777777" w:rsidR="00AF521D" w:rsidRDefault="00B61A0B">
      <w:pPr>
        <w:pStyle w:val="Heading2"/>
      </w:pPr>
      <w:bookmarkStart w:id="3" w:name="alloy-design-and-synthesis"/>
      <w:r>
        <w:t>2.1 Alloy design and synthesis</w:t>
      </w:r>
    </w:p>
    <w:p w14:paraId="57B0FFF0" w14:textId="73CEA58C" w:rsidR="00AF521D" w:rsidRDefault="00B61A0B">
      <w:pPr>
        <w:pStyle w:val="FirstParagraph"/>
      </w:pPr>
      <w:r>
        <w:t xml:space="preserve">The </w:t>
      </w:r>
      <w:r>
        <w:t>LLM</w:t>
      </w:r>
      <w:r>
        <w:t xml:space="preserve">-hypothesized composition </w:t>
      </w:r>
      <w:r>
        <w:t xml:space="preserve">originated in a </w:t>
      </w:r>
      <w:r>
        <w:t xml:space="preserve">Gemini </w:t>
      </w:r>
      <w:r>
        <w:t xml:space="preserve">Deep Research </w:t>
      </w:r>
      <w:r>
        <w:t>session [2] asked for iron</w:t>
      </w:r>
      <w:r>
        <w:t xml:space="preserve">-based </w:t>
      </w:r>
      <w:r>
        <w:t>compositions that might approach Nitinol-like pseudo</w:t>
      </w:r>
      <w:r>
        <w:t>-elasticity</w:t>
      </w:r>
      <w:r>
        <w:t xml:space="preserve"> at substantially lower cost, reasoning</w:t>
      </w:r>
      <w:r>
        <w:t xml:space="preserve"> from the Fe-Mn-Al-Ni family established by Omori and co-workers [12,15] </w:t>
      </w:r>
      <w:r>
        <w:t>and</w:t>
      </w:r>
      <w:r>
        <w:t xml:space="preserve"> excluding </w:t>
      </w:r>
      <w:r>
        <w:t xml:space="preserve">expensive additions such as </w:t>
      </w:r>
      <w:r>
        <w:t xml:space="preserve">cobalt and tantalum. </w:t>
      </w:r>
      <w:r>
        <w:t xml:space="preserve">Its report — </w:t>
      </w:r>
      <w:r>
        <w:rPr>
          <w:i/>
          <w:iCs/>
        </w:rPr>
        <w:t>New Fe-SMA Alloy Hypotheses</w:t>
      </w:r>
      <w:r>
        <w:t>, 41 pages drawing on 76 sources, all accessed 19 May 2025, compiled 4 June 2025 — is supplied in full as Supplementary Material.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w:t>
      </w:r>
      <w:r>
        <w:t>ty: three Fe-Mn-Al-(Ni) variants, two Fe-Mn-Si-Cr variants, and one Fe-Al-Cr-Mn interstitial alloy.</w:t>
      </w:r>
    </w:p>
    <w:p w14:paraId="3C578B54" w14:textId="197D965A" w:rsidR="00AF521D" w:rsidRDefault="00B61A0B">
      <w:pPr>
        <w:pStyle w:val="BodyText"/>
      </w:pPr>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w:t>
      </w:r>
      <w:r>
        <w:t xml:space="preserve">50Fe-30Mn-12Al-4Ni-4Si (at%) with </w:t>
      </w:r>
      <w:r>
        <w:t>1000 ppm C</w:t>
      </w:r>
      <w:r>
        <w:t xml:space="preserve"> — lies inside that range in silicon, nickel and carbon and outside it in manganese and aluminum: 32.3 wt% Mn against a ceiling of 30, and 6.4 wt% Al against a floor of 8. The aluminum shortfall is the larger of the two, and larger than the weight percentages make it look, because in this alloy A2’s 8–12 wt% Al corresponds to 14.9–21.5 at% while the melt carries 12.1 at%. Since aluminum is the strongest ferrite stabilizer present, the deviation runs in the austenite-forming direction — that is, toward the o</w:t>
      </w:r>
      <w:r>
        <w:t>utcome actually observed — so it cannot simply be noted and set aside. Whether it is responsible for that outcome is tested directly in Sec. 3.4.</w:t>
      </w:r>
    </w:p>
    <w:p w14:paraId="0588FA00" w14:textId="131DD23C" w:rsidR="00AF521D" w:rsidRDefault="00B61A0B">
      <w:pPr>
        <w:pStyle w:val="BodyText"/>
      </w:pPr>
      <w:r>
        <w:t xml:space="preserve">The </w:t>
      </w:r>
      <w:r>
        <w:t xml:space="preserve">intended </w:t>
      </w:r>
      <w:r>
        <w:t xml:space="preserve">roles of the elements are those the report assigns them in A2: Fe, Mn, Al and Ni </w:t>
      </w:r>
      <w:r>
        <w:t xml:space="preserve">to form a BCC parent phase and </w:t>
      </w:r>
      <w:r>
        <w:t xml:space="preserve">coherent 5–15 nm </w:t>
      </w:r>
      <w:r>
        <w:t>β (NiAl-type) precipitates</w:t>
      </w:r>
      <w:r>
        <w:t>, with</w:t>
      </w:r>
      <w:r>
        <w:t xml:space="preserve"> Ni </w:t>
      </w:r>
      <w:r>
        <w:t>kept moderate to lower cost</w:t>
      </w:r>
      <w:r>
        <w:t>;</w:t>
      </w:r>
      <w:r>
        <w:t xml:space="preserve"> Si</w:t>
      </w:r>
      <w:r>
        <w:t xml:space="preserve"> to strengthen the parent BCC matrix </w:t>
      </w:r>
      <w:r>
        <w:t>by</w:t>
      </w:r>
      <w:r>
        <w:t xml:space="preserve"> solid </w:t>
      </w:r>
      <w:r>
        <w:t>solution</w:t>
      </w:r>
      <w:r>
        <w:t>,</w:t>
      </w:r>
      <w:r>
        <w:t xml:space="preserve"> Si </w:t>
      </w:r>
      <w:r>
        <w:t>being</w:t>
      </w:r>
      <w:r>
        <w:t xml:space="preserve"> also known to increase resistance to slip in ferritic structures and </w:t>
      </w:r>
      <w:r>
        <w:t>to</w:t>
      </w:r>
      <w:r>
        <w:t xml:space="preserve"> potentially modify the stability or morphology of β precipitates</w:t>
      </w:r>
      <w:r>
        <w:t xml:space="preserve"> or influence stacking-fault energy</w:t>
      </w:r>
      <w:r>
        <w:t>; and</w:t>
      </w:r>
      <w:r>
        <w:t xml:space="preserve"> C</w:t>
      </w:r>
      <w:r>
        <w:t xml:space="preserve"> for interstitial strengthening of the parent phase and possible formation of very fine, dispersed carbides. </w:t>
      </w:r>
      <w:r>
        <w:t xml:space="preserve">The report’s stated performance target for A2 was 5–8% recoverable strain at a transformation stress of 400–700 MPa. </w:t>
      </w:r>
      <w:r>
        <w:t>For direct comparison, a second alloy of composition 43.5Fe-34Mn-15Al-7.5Ni (at%), based on the work of Omori</w:t>
      </w:r>
      <w:r>
        <w:t xml:space="preserve"> </w:t>
      </w:r>
      <w:r>
        <w:rPr>
          <w:i/>
          <w:iCs/>
        </w:rPr>
        <w:t>et al.</w:t>
      </w:r>
      <w:r>
        <w:t xml:space="preserve"> [12], was synthesized </w:t>
      </w:r>
      <w:r>
        <w:t>and processed alongside it.</w:t>
      </w:r>
      <w:r>
        <w:t xml:space="preserve"> These alloys are hereafter named the </w:t>
      </w:r>
      <w:r>
        <w:t>LLM</w:t>
      </w:r>
      <w:r>
        <w:t xml:space="preserve">-alloy and </w:t>
      </w:r>
      <w:r>
        <w:t xml:space="preserve">benchmark </w:t>
      </w:r>
      <w:r>
        <w:t>alloy, respectively.</w:t>
      </w:r>
    </w:p>
    <w:p w14:paraId="72EB755D" w14:textId="21CB75BF" w:rsidR="00AF521D" w:rsidRDefault="00B61A0B">
      <w:pPr>
        <w:pStyle w:val="BodyText"/>
      </w:pPr>
      <w:r>
        <w:t xml:space="preserve">Using high-purity raw elements, about 2 kg of each alloy was melted in a vacuum induction furnace and cast into ø50 mm ingots. </w:t>
      </w:r>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a residual from commercial melting stock. This is below the level at which grain-boundary embrittlement is normally rep</w:t>
      </w:r>
      <w:r>
        <w:t>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4E0266CC" w14:textId="77777777" w:rsidR="00AF521D" w:rsidRDefault="00B61A0B">
      <w:pPr>
        <w:pStyle w:val="BodyText"/>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AF521D" w14:paraId="7AAECEDA" w14:textId="77777777" w:rsidTr="00AF521D">
        <w:trPr>
          <w:cnfStyle w:val="100000000000" w:firstRow="1" w:lastRow="0" w:firstColumn="0" w:lastColumn="0" w:oddVBand="0" w:evenVBand="0" w:oddHBand="0" w:evenHBand="0" w:firstRowFirstColumn="0" w:firstRowLastColumn="0" w:lastRowFirstColumn="0" w:lastRowLastColumn="0"/>
          <w:tblHeader/>
        </w:trPr>
        <w:tc>
          <w:tcPr>
            <w:tcW w:w="705" w:type="dxa"/>
          </w:tcPr>
          <w:p w14:paraId="4D2E7D3F" w14:textId="77777777" w:rsidR="00AF521D" w:rsidRDefault="00B61A0B">
            <w:pPr>
              <w:pStyle w:val="Compact"/>
            </w:pPr>
            <w:r>
              <w:t>Element</w:t>
            </w:r>
          </w:p>
        </w:tc>
        <w:tc>
          <w:tcPr>
            <w:tcW w:w="1646" w:type="dxa"/>
          </w:tcPr>
          <w:p w14:paraId="0B87AB43" w14:textId="1570E3AD" w:rsidR="00AF521D" w:rsidRDefault="00B61A0B">
            <w:pPr>
              <w:pStyle w:val="Compact"/>
            </w:pPr>
            <w:r>
              <w:t>LLM</w:t>
            </w:r>
            <w:r>
              <w:t>-alloy (nominal)</w:t>
            </w:r>
          </w:p>
        </w:tc>
        <w:tc>
          <w:tcPr>
            <w:tcW w:w="1646" w:type="dxa"/>
          </w:tcPr>
          <w:p w14:paraId="6EC1E6DA" w14:textId="26DB1BAC" w:rsidR="00AF521D" w:rsidRDefault="00B61A0B">
            <w:pPr>
              <w:pStyle w:val="Compact"/>
            </w:pPr>
            <w:r>
              <w:t>LLM</w:t>
            </w:r>
            <w:r>
              <w:t>-alloy (actual)</w:t>
            </w:r>
          </w:p>
        </w:tc>
        <w:tc>
          <w:tcPr>
            <w:tcW w:w="1960" w:type="dxa"/>
          </w:tcPr>
          <w:p w14:paraId="1FC23E45" w14:textId="3EC15553" w:rsidR="00AF521D" w:rsidRDefault="00B61A0B">
            <w:pPr>
              <w:pStyle w:val="Compact"/>
            </w:pPr>
            <w:r>
              <w:t xml:space="preserve">benchmark </w:t>
            </w:r>
            <w:r>
              <w:t>alloy (nominal)</w:t>
            </w:r>
          </w:p>
        </w:tc>
        <w:tc>
          <w:tcPr>
            <w:tcW w:w="1960" w:type="dxa"/>
          </w:tcPr>
          <w:p w14:paraId="79DBA751" w14:textId="19F321B4" w:rsidR="00AF521D" w:rsidRDefault="00B61A0B">
            <w:pPr>
              <w:pStyle w:val="Compact"/>
            </w:pPr>
            <w:r>
              <w:t xml:space="preserve">benchmark </w:t>
            </w:r>
            <w:r>
              <w:t>alloy (actual)</w:t>
            </w:r>
          </w:p>
        </w:tc>
      </w:tr>
      <w:tr w:rsidR="00AF521D" w14:paraId="5D18A39D" w14:textId="77777777">
        <w:tc>
          <w:tcPr>
            <w:tcW w:w="705" w:type="dxa"/>
          </w:tcPr>
          <w:p w14:paraId="1F4267ED" w14:textId="77777777" w:rsidR="00AF521D" w:rsidRDefault="00B61A0B">
            <w:pPr>
              <w:pStyle w:val="Compact"/>
            </w:pPr>
            <w:r>
              <w:t>Fe</w:t>
            </w:r>
          </w:p>
        </w:tc>
        <w:tc>
          <w:tcPr>
            <w:tcW w:w="1646" w:type="dxa"/>
          </w:tcPr>
          <w:p w14:paraId="5199A3C6" w14:textId="77777777" w:rsidR="00AF521D" w:rsidRDefault="00B61A0B">
            <w:pPr>
              <w:pStyle w:val="Compact"/>
            </w:pPr>
            <w:r>
              <w:t>54.5</w:t>
            </w:r>
          </w:p>
        </w:tc>
        <w:tc>
          <w:tcPr>
            <w:tcW w:w="1646" w:type="dxa"/>
          </w:tcPr>
          <w:p w14:paraId="0E2CB102" w14:textId="77777777" w:rsidR="00AF521D" w:rsidRDefault="00B61A0B">
            <w:pPr>
              <w:pStyle w:val="Compact"/>
            </w:pPr>
            <w:r>
              <w:t>55.83</w:t>
            </w:r>
          </w:p>
        </w:tc>
        <w:tc>
          <w:tcPr>
            <w:tcW w:w="1960" w:type="dxa"/>
          </w:tcPr>
          <w:p w14:paraId="638F578A" w14:textId="77777777" w:rsidR="00AF521D" w:rsidRDefault="00B61A0B">
            <w:pPr>
              <w:pStyle w:val="Compact"/>
            </w:pPr>
            <w:r>
              <w:t>47.08</w:t>
            </w:r>
          </w:p>
        </w:tc>
        <w:tc>
          <w:tcPr>
            <w:tcW w:w="1960" w:type="dxa"/>
          </w:tcPr>
          <w:p w14:paraId="0D1E43B8" w14:textId="77777777" w:rsidR="00AF521D" w:rsidRDefault="00B61A0B">
            <w:pPr>
              <w:pStyle w:val="Compact"/>
            </w:pPr>
            <w:r>
              <w:t>46.51</w:t>
            </w:r>
          </w:p>
        </w:tc>
      </w:tr>
      <w:tr w:rsidR="00AF521D" w14:paraId="3978F219" w14:textId="77777777">
        <w:tc>
          <w:tcPr>
            <w:tcW w:w="705" w:type="dxa"/>
          </w:tcPr>
          <w:p w14:paraId="1549999A" w14:textId="77777777" w:rsidR="00AF521D" w:rsidRDefault="00B61A0B">
            <w:pPr>
              <w:pStyle w:val="Compact"/>
            </w:pPr>
            <w:r>
              <w:t>Mn</w:t>
            </w:r>
          </w:p>
        </w:tc>
        <w:tc>
          <w:tcPr>
            <w:tcW w:w="1646" w:type="dxa"/>
          </w:tcPr>
          <w:p w14:paraId="43965B13" w14:textId="77777777" w:rsidR="00AF521D" w:rsidRDefault="00B61A0B">
            <w:pPr>
              <w:pStyle w:val="Compact"/>
            </w:pPr>
            <w:r>
              <w:t>32.3</w:t>
            </w:r>
          </w:p>
        </w:tc>
        <w:tc>
          <w:tcPr>
            <w:tcW w:w="1646" w:type="dxa"/>
          </w:tcPr>
          <w:p w14:paraId="7A30AF3B" w14:textId="77777777" w:rsidR="00AF521D" w:rsidRDefault="00B61A0B">
            <w:pPr>
              <w:pStyle w:val="Compact"/>
            </w:pPr>
            <w:r>
              <w:t>31.78</w:t>
            </w:r>
          </w:p>
        </w:tc>
        <w:tc>
          <w:tcPr>
            <w:tcW w:w="1960" w:type="dxa"/>
          </w:tcPr>
          <w:p w14:paraId="38BF67A4" w14:textId="77777777" w:rsidR="00AF521D" w:rsidRDefault="00B61A0B">
            <w:pPr>
              <w:pStyle w:val="Compact"/>
            </w:pPr>
            <w:r>
              <w:t>36.43</w:t>
            </w:r>
          </w:p>
        </w:tc>
        <w:tc>
          <w:tcPr>
            <w:tcW w:w="1960" w:type="dxa"/>
          </w:tcPr>
          <w:p w14:paraId="21F7C623" w14:textId="77777777" w:rsidR="00AF521D" w:rsidRDefault="00B61A0B">
            <w:pPr>
              <w:pStyle w:val="Compact"/>
            </w:pPr>
            <w:r>
              <w:t>36.49</w:t>
            </w:r>
          </w:p>
        </w:tc>
      </w:tr>
      <w:tr w:rsidR="00AF521D" w14:paraId="6C9D21F2" w14:textId="77777777">
        <w:tc>
          <w:tcPr>
            <w:tcW w:w="705" w:type="dxa"/>
          </w:tcPr>
          <w:p w14:paraId="6FEC8A90" w14:textId="77777777" w:rsidR="00AF521D" w:rsidRDefault="00B61A0B">
            <w:pPr>
              <w:pStyle w:val="Compact"/>
            </w:pPr>
            <w:r>
              <w:t>Al</w:t>
            </w:r>
          </w:p>
        </w:tc>
        <w:tc>
          <w:tcPr>
            <w:tcW w:w="1646" w:type="dxa"/>
          </w:tcPr>
          <w:p w14:paraId="608C9C37" w14:textId="77777777" w:rsidR="00AF521D" w:rsidRDefault="00B61A0B">
            <w:pPr>
              <w:pStyle w:val="Compact"/>
            </w:pPr>
            <w:r>
              <w:t>6.4</w:t>
            </w:r>
          </w:p>
        </w:tc>
        <w:tc>
          <w:tcPr>
            <w:tcW w:w="1646" w:type="dxa"/>
          </w:tcPr>
          <w:p w14:paraId="0D51C506" w14:textId="77777777" w:rsidR="00AF521D" w:rsidRDefault="00B61A0B">
            <w:pPr>
              <w:pStyle w:val="Compact"/>
            </w:pPr>
            <w:r>
              <w:t>6.24</w:t>
            </w:r>
          </w:p>
        </w:tc>
        <w:tc>
          <w:tcPr>
            <w:tcW w:w="1960" w:type="dxa"/>
          </w:tcPr>
          <w:p w14:paraId="15001EE5" w14:textId="77777777" w:rsidR="00AF521D" w:rsidRDefault="00B61A0B">
            <w:pPr>
              <w:pStyle w:val="Compact"/>
            </w:pPr>
            <w:r>
              <w:t>7.9</w:t>
            </w:r>
          </w:p>
        </w:tc>
        <w:tc>
          <w:tcPr>
            <w:tcW w:w="1960" w:type="dxa"/>
          </w:tcPr>
          <w:p w14:paraId="40ADF502" w14:textId="77777777" w:rsidR="00AF521D" w:rsidRDefault="00B61A0B">
            <w:pPr>
              <w:pStyle w:val="Compact"/>
            </w:pPr>
            <w:r>
              <w:t>8.00</w:t>
            </w:r>
          </w:p>
        </w:tc>
      </w:tr>
      <w:tr w:rsidR="00AF521D" w14:paraId="09334132" w14:textId="77777777">
        <w:tc>
          <w:tcPr>
            <w:tcW w:w="705" w:type="dxa"/>
          </w:tcPr>
          <w:p w14:paraId="632C210C" w14:textId="77777777" w:rsidR="00AF521D" w:rsidRDefault="00B61A0B">
            <w:pPr>
              <w:pStyle w:val="Compact"/>
            </w:pPr>
            <w:r>
              <w:t>Ni</w:t>
            </w:r>
          </w:p>
        </w:tc>
        <w:tc>
          <w:tcPr>
            <w:tcW w:w="1646" w:type="dxa"/>
          </w:tcPr>
          <w:p w14:paraId="2EFCA4FF" w14:textId="77777777" w:rsidR="00AF521D" w:rsidRDefault="00B61A0B">
            <w:pPr>
              <w:pStyle w:val="Compact"/>
            </w:pPr>
            <w:r>
              <w:t>4.6</w:t>
            </w:r>
          </w:p>
        </w:tc>
        <w:tc>
          <w:tcPr>
            <w:tcW w:w="1646" w:type="dxa"/>
          </w:tcPr>
          <w:p w14:paraId="2D52AA19" w14:textId="77777777" w:rsidR="00AF521D" w:rsidRDefault="00B61A0B">
            <w:pPr>
              <w:pStyle w:val="Compact"/>
            </w:pPr>
            <w:r>
              <w:t>4.81</w:t>
            </w:r>
          </w:p>
        </w:tc>
        <w:tc>
          <w:tcPr>
            <w:tcW w:w="1960" w:type="dxa"/>
          </w:tcPr>
          <w:p w14:paraId="5754444B" w14:textId="77777777" w:rsidR="00AF521D" w:rsidRDefault="00B61A0B">
            <w:pPr>
              <w:pStyle w:val="Compact"/>
            </w:pPr>
            <w:r>
              <w:t>8.59</w:t>
            </w:r>
          </w:p>
        </w:tc>
        <w:tc>
          <w:tcPr>
            <w:tcW w:w="1960" w:type="dxa"/>
          </w:tcPr>
          <w:p w14:paraId="56CCC876" w14:textId="77777777" w:rsidR="00AF521D" w:rsidRDefault="00B61A0B">
            <w:pPr>
              <w:pStyle w:val="Compact"/>
            </w:pPr>
            <w:r>
              <w:t>8.94</w:t>
            </w:r>
          </w:p>
        </w:tc>
      </w:tr>
      <w:tr w:rsidR="00AF521D" w14:paraId="7946DBC5" w14:textId="77777777">
        <w:tc>
          <w:tcPr>
            <w:tcW w:w="705" w:type="dxa"/>
          </w:tcPr>
          <w:p w14:paraId="0E58C4FA" w14:textId="77777777" w:rsidR="00AF521D" w:rsidRDefault="00B61A0B">
            <w:pPr>
              <w:pStyle w:val="Compact"/>
            </w:pPr>
            <w:r>
              <w:t>Si</w:t>
            </w:r>
          </w:p>
        </w:tc>
        <w:tc>
          <w:tcPr>
            <w:tcW w:w="1646" w:type="dxa"/>
          </w:tcPr>
          <w:p w14:paraId="7E896BEE" w14:textId="77777777" w:rsidR="00AF521D" w:rsidRDefault="00B61A0B">
            <w:pPr>
              <w:pStyle w:val="Compact"/>
            </w:pPr>
            <w:r>
              <w:t>2.2</w:t>
            </w:r>
          </w:p>
        </w:tc>
        <w:tc>
          <w:tcPr>
            <w:tcW w:w="1646" w:type="dxa"/>
          </w:tcPr>
          <w:p w14:paraId="78FE83BE" w14:textId="77777777" w:rsidR="00AF521D" w:rsidRDefault="00B61A0B">
            <w:pPr>
              <w:pStyle w:val="Compact"/>
            </w:pPr>
            <w:r>
              <w:t>1.11</w:t>
            </w:r>
          </w:p>
        </w:tc>
        <w:tc>
          <w:tcPr>
            <w:tcW w:w="1960" w:type="dxa"/>
          </w:tcPr>
          <w:p w14:paraId="5710FAA5" w14:textId="77777777" w:rsidR="00AF521D" w:rsidRDefault="00B61A0B">
            <w:pPr>
              <w:pStyle w:val="Compact"/>
            </w:pPr>
            <w:r>
              <w:t>–</w:t>
            </w:r>
          </w:p>
        </w:tc>
        <w:tc>
          <w:tcPr>
            <w:tcW w:w="1960" w:type="dxa"/>
          </w:tcPr>
          <w:p w14:paraId="416C7810" w14:textId="77777777" w:rsidR="00AF521D" w:rsidRDefault="00B61A0B">
            <w:pPr>
              <w:pStyle w:val="Compact"/>
            </w:pPr>
            <w:r>
              <w:t>&lt;0.01</w:t>
            </w:r>
          </w:p>
        </w:tc>
      </w:tr>
      <w:tr w:rsidR="00AF521D" w14:paraId="28CEE792" w14:textId="77777777">
        <w:tc>
          <w:tcPr>
            <w:tcW w:w="705" w:type="dxa"/>
          </w:tcPr>
          <w:p w14:paraId="2E6A0C3A" w14:textId="77777777" w:rsidR="00AF521D" w:rsidRDefault="00B61A0B">
            <w:pPr>
              <w:pStyle w:val="Compact"/>
            </w:pPr>
            <w:r>
              <w:t>C</w:t>
            </w:r>
          </w:p>
        </w:tc>
        <w:tc>
          <w:tcPr>
            <w:tcW w:w="1646" w:type="dxa"/>
          </w:tcPr>
          <w:p w14:paraId="3563EA0F" w14:textId="77777777" w:rsidR="00AF521D" w:rsidRDefault="00B61A0B">
            <w:pPr>
              <w:pStyle w:val="Compact"/>
            </w:pPr>
            <w:r>
              <w:t>0.1</w:t>
            </w:r>
          </w:p>
        </w:tc>
        <w:tc>
          <w:tcPr>
            <w:tcW w:w="1646" w:type="dxa"/>
          </w:tcPr>
          <w:p w14:paraId="551704E2" w14:textId="77777777" w:rsidR="00AF521D" w:rsidRDefault="00B61A0B">
            <w:pPr>
              <w:pStyle w:val="Compact"/>
            </w:pPr>
            <w:r>
              <w:t>0.105</w:t>
            </w:r>
          </w:p>
        </w:tc>
        <w:tc>
          <w:tcPr>
            <w:tcW w:w="1960" w:type="dxa"/>
          </w:tcPr>
          <w:p w14:paraId="6F233E38" w14:textId="77777777" w:rsidR="00AF521D" w:rsidRDefault="00B61A0B">
            <w:pPr>
              <w:pStyle w:val="Compact"/>
            </w:pPr>
            <w:r>
              <w:t>–</w:t>
            </w:r>
          </w:p>
        </w:tc>
        <w:tc>
          <w:tcPr>
            <w:tcW w:w="1960" w:type="dxa"/>
          </w:tcPr>
          <w:p w14:paraId="3616EEAB" w14:textId="77777777" w:rsidR="00AF521D" w:rsidRDefault="00B61A0B">
            <w:pPr>
              <w:pStyle w:val="Compact"/>
            </w:pPr>
            <w:r>
              <w:t>0.01</w:t>
            </w:r>
          </w:p>
        </w:tc>
      </w:tr>
      <w:tr w:rsidR="00AF521D" w14:paraId="24BA45F9" w14:textId="77777777">
        <w:tc>
          <w:tcPr>
            <w:tcW w:w="705" w:type="dxa"/>
          </w:tcPr>
          <w:p w14:paraId="24969087" w14:textId="77777777" w:rsidR="00AF521D" w:rsidRDefault="00B61A0B">
            <w:pPr>
              <w:pStyle w:val="Compact"/>
            </w:pPr>
            <w:r>
              <w:t>P</w:t>
            </w:r>
          </w:p>
        </w:tc>
        <w:tc>
          <w:tcPr>
            <w:tcW w:w="1646" w:type="dxa"/>
          </w:tcPr>
          <w:p w14:paraId="3F333F45" w14:textId="77777777" w:rsidR="00AF521D" w:rsidRDefault="00B61A0B">
            <w:pPr>
              <w:pStyle w:val="Compact"/>
            </w:pPr>
            <w:r>
              <w:t>–</w:t>
            </w:r>
          </w:p>
        </w:tc>
        <w:tc>
          <w:tcPr>
            <w:tcW w:w="1646" w:type="dxa"/>
          </w:tcPr>
          <w:p w14:paraId="2C0F04B2" w14:textId="77777777" w:rsidR="00AF521D" w:rsidRDefault="00B61A0B">
            <w:pPr>
              <w:pStyle w:val="Compact"/>
            </w:pPr>
            <w:r>
              <w:t>–</w:t>
            </w:r>
          </w:p>
        </w:tc>
        <w:tc>
          <w:tcPr>
            <w:tcW w:w="1960" w:type="dxa"/>
          </w:tcPr>
          <w:p w14:paraId="5733F735" w14:textId="77777777" w:rsidR="00AF521D" w:rsidRDefault="00B61A0B">
            <w:pPr>
              <w:pStyle w:val="Compact"/>
            </w:pPr>
            <w:r>
              <w:t>–</w:t>
            </w:r>
          </w:p>
        </w:tc>
        <w:tc>
          <w:tcPr>
            <w:tcW w:w="1960" w:type="dxa"/>
          </w:tcPr>
          <w:p w14:paraId="7F9F7E39" w14:textId="77777777" w:rsidR="00AF521D" w:rsidRDefault="00B61A0B">
            <w:pPr>
              <w:pStyle w:val="Compact"/>
            </w:pPr>
            <w:r>
              <w:t>0.06</w:t>
            </w:r>
          </w:p>
        </w:tc>
      </w:tr>
    </w:tbl>
    <w:p w14:paraId="191B1F47" w14:textId="77777777" w:rsidR="00AF521D" w:rsidRDefault="00B61A0B">
      <w:pPr>
        <w:pStyle w:val="Heading2"/>
      </w:pPr>
      <w:bookmarkStart w:id="4" w:name="heat-treatments"/>
      <w:bookmarkEnd w:id="3"/>
      <w:r>
        <w:t>2.2 Heat treatments</w:t>
      </w:r>
    </w:p>
    <w:p w14:paraId="408B94A6" w14:textId="1F60B3FC" w:rsidR="00AF521D" w:rsidRDefault="00B61A0B">
      <w:pPr>
        <w:pStyle w:val="FirstParagraph"/>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r>
        <w:t>18</w:t>
      </w:r>
      <w:r>
        <w:t>]. Heat treatment above 1200 °C caused severe oxidation or furnace contamination.</w:t>
      </w:r>
    </w:p>
    <w:p w14:paraId="45D28470" w14:textId="77777777" w:rsidR="00AF521D" w:rsidRDefault="00B61A0B">
      <w:pPr>
        <w:pStyle w:val="Heading2"/>
      </w:pPr>
      <w:bookmarkStart w:id="5" w:name="metallography"/>
      <w:bookmarkEnd w:id="4"/>
      <w:r>
        <w:t>2.3 Metallography</w:t>
      </w:r>
    </w:p>
    <w:p w14:paraId="382F9840" w14:textId="77777777" w:rsidR="00AF521D" w:rsidRDefault="00B61A0B">
      <w:pPr>
        <w:pStyle w:val="FirstParagraph"/>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14F0A7BE" w14:textId="77777777" w:rsidR="00AF521D" w:rsidRDefault="00B61A0B">
      <w:pPr>
        <w:pStyle w:val="Heading2"/>
      </w:pPr>
      <w:bookmarkStart w:id="6" w:name="mechanical-testing"/>
      <w:bookmarkEnd w:id="5"/>
      <w:r>
        <w:t>2.4 Mechanical testing</w:t>
      </w:r>
    </w:p>
    <w:p w14:paraId="6F5FEB5A" w14:textId="1C28E1C2" w:rsidR="00AF521D" w:rsidRDefault="00B61A0B">
      <w:pPr>
        <w:pStyle w:val="FirstParagraph"/>
      </w:pPr>
      <w:r>
        <w:t xml:space="preserve">Room-temperature cyclic tensile testing was performed on an Instron in displacement control. During the test, each specimen was cyclically loaded to fracture with a 1% strain increment for each cycle. </w:t>
      </w:r>
      <w:r>
        <w:t xml:space="preserve">The gauge length for the anneal sweep of </w:t>
      </w:r>
      <w:r>
        <w:rPr>
          <w:b/>
          <w:bCs/>
        </w:rPr>
        <w:t>Table 2</w:t>
      </w:r>
      <w:r>
        <w:t xml:space="preserve"> </w:t>
      </w:r>
      <w:r>
        <w:t xml:space="preserve">was 127 mm and the crosshead speed 0.25 in min⁻¹, giving a nominal strain rate of 8.3 × 10⁻⁴ s⁻¹; engineering strain is reported throughout as crosshead extension divided by that gauge length, without extensometry, so the elastic portion of each curve carries the compliance of the load train and the moduli in </w:t>
      </w:r>
      <w:r>
        <w:rPr>
          <w:b/>
          <w:bCs/>
        </w:rPr>
        <w:t>Table 2</w:t>
      </w:r>
      <w:r>
        <w:t xml:space="preserve"> are apparent rather than true. This test reveals the material’s super-elasticity. One specimen was tested per anneal condition; the values in </w:t>
      </w:r>
      <w:r>
        <w:rPr>
          <w:b/>
          <w:bCs/>
        </w:rPr>
        <w:t>Table 2</w:t>
      </w:r>
      <w:r>
        <w:t xml:space="preserve"> </w:t>
      </w:r>
      <w:r>
        <w:t>are therefore single measurements, and no scatter is reported for them because none was measured. Replicate specimens were run only for the abnormal-grain-growth treatments, and are discussed where those results are presented.</w:t>
      </w:r>
      <w:r>
        <w:t xml:space="preserve"> A special loading–unloading–heating cyclic tensile test was also conducted to evaluate any potential shape-memory response. In this case, selected samples were loaded to 3% strain</w:t>
      </w:r>
      <w:r>
        <w:t xml:space="preserve"> and</w:t>
      </w:r>
      <w:r>
        <w:t xml:space="preserve"> unloaded to zero stress, </w:t>
      </w:r>
      <w:r>
        <w:t>after which the crosshead was returned</w:t>
      </w:r>
      <w:r>
        <w:t xml:space="preserve"> to </w:t>
      </w:r>
      <w:r>
        <w:t xml:space="preserve">its starting position (nominal </w:t>
      </w:r>
      <w:r>
        <w:t>zero strain</w:t>
      </w:r>
      <w:r>
        <w:t>).</w:t>
      </w:r>
      <w:r>
        <w:t xml:space="preserve"> At the same time, the sample was heated to ≈200 °C to trigger any potential reversal of martensite to austenite. In this test, any shape-memory effect would be revealed during the heating stage, which causes the reloading stress to rise at a lower deformation strain.</w:t>
      </w:r>
    </w:p>
    <w:p w14:paraId="4DD4D8E6" w14:textId="77777777" w:rsidR="00AF521D" w:rsidRDefault="00B61A0B">
      <w:pPr>
        <w:pStyle w:val="Heading2"/>
      </w:pPr>
      <w:bookmarkStart w:id="7" w:name="synchrotron-x-ray-diffraction"/>
      <w:bookmarkEnd w:id="6"/>
      <w:r>
        <w:t>2.5 Synchrotron X-ray diffraction</w:t>
      </w:r>
    </w:p>
    <w:p w14:paraId="7991DD79" w14:textId="025417C1" w:rsidR="00AF521D" w:rsidRDefault="00B61A0B">
      <w:pPr>
        <w:pStyle w:val="FirstParagraph"/>
      </w:pPr>
      <w:r>
        <w:t>To identify phase constitution and potential phase change, synchrotron XRD measurements were performed at the ultra-hard X-ray multifunctional application beamline BL12SW of the Shanghai Synchrotron Radiation Facility (SSRF) [</w:t>
      </w:r>
      <w:r>
        <w:t>19,20</w:t>
      </w:r>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r>
        <w:t>21</w:t>
      </w:r>
      <w:r>
        <w:t>], where diffraction data were sliced at 5-degree intervals along the 360-degree azimuth and integrated to generate 72 diffraction spectra, which were then fitted by Rietveld refinement [</w:t>
      </w:r>
      <w:r>
        <w:t>22</w:t>
      </w:r>
      <w:r>
        <w:t xml:space="preserve">] in MAUD </w:t>
      </w:r>
      <w:r>
        <w:t>version 2.33 [23</w:t>
      </w:r>
      <w:r>
        <w:t xml:space="preserve">] </w:t>
      </w:r>
      <w:r>
        <w:t>to identify phase constitutions, volume fractions, and crystal orientations of the different phases.</w:t>
      </w:r>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p>
    <w:p w14:paraId="6BEA56B4" w14:textId="77777777" w:rsidR="00AF521D" w:rsidRDefault="00B61A0B">
      <w:pPr>
        <w:pStyle w:val="Heading2"/>
      </w:pPr>
      <w:bookmarkStart w:id="8" w:name="equilibrium-thermodynamic-calculations"/>
      <w:bookmarkEnd w:id="7"/>
      <w:r>
        <w:t>2.6 Equilibrium thermodynamic calculations</w:t>
      </w:r>
    </w:p>
    <w:p w14:paraId="180D1906" w14:textId="77777777" w:rsidR="00AF521D" w:rsidRDefault="00B61A0B">
      <w:pPr>
        <w:pStyle w:val="FirstParagraph"/>
      </w:pPr>
      <w:r>
        <w:t xml:space="preserve">Equilibrium phase fractions were computed with the CALPHAD method [24] using pycalphad 0.11.2, an open-source Python implementation of the Gibbs-energy-minimization formalism [25].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p>
    <w:p w14:paraId="4985C8BB" w14:textId="77777777" w:rsidR="00AF521D" w:rsidRDefault="00B61A0B">
      <w:pPr>
        <w:pStyle w:val="BodyText"/>
      </w:pPr>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[26,27]</w:t>
      </w:r>
      <w:r>
        <w:t xml:space="preserve">, the only one covering Fe–Mn–Al–Ni–C together, in which B2 is treated as an ordered partition of the disordered A2 lattice; it does not contain Si. </w:t>
      </w:r>
      <w:r>
        <w:rPr>
          <w:b/>
          <w:bCs/>
        </w:rPr>
        <w:t>PrecHiMn-04</w:t>
      </w:r>
      <w:r>
        <w:t xml:space="preserve"> [28] was used as a cross-check because it is the only one that models D0₃ (through a four-sublattice bcc description) and κ-(Fe,Mn)₃AlC while also carrying Si, though it contains no Ni. </w:t>
      </w:r>
      <w:r>
        <w:rPr>
          <w:b/>
          <w:bCs/>
        </w:rPr>
        <w:t>mc_fe v2.059</w:t>
      </w:r>
      <w:r>
        <w:t xml:space="preserve"> [29]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p>
    <w:p w14:paraId="2C7287B3" w14:textId="77777777" w:rsidR="00AF521D" w:rsidRDefault="00B61A0B">
      <w:pPr>
        <w:pStyle w:val="BodyText"/>
      </w:pPr>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p>
    <w:p w14:paraId="40CCA8BB" w14:textId="77777777" w:rsidR="00AF521D" w:rsidRDefault="00B61A0B">
      <w:r>
        <w:pict>
          <v:rect id="_x0000_i1028" style="width:0;height:1.5pt" o:hralign="center" o:hrstd="t" o:hr="t"/>
        </w:pict>
      </w:r>
    </w:p>
    <w:p w14:paraId="0671EB73" w14:textId="77777777" w:rsidR="00AF521D" w:rsidRDefault="00B61A0B">
      <w:pPr>
        <w:pStyle w:val="Heading1"/>
      </w:pPr>
      <w:bookmarkStart w:id="9" w:name="experiment-results"/>
      <w:bookmarkEnd w:id="2"/>
      <w:bookmarkEnd w:id="8"/>
      <w:r>
        <w:t>3. Experiment Results</w:t>
      </w:r>
    </w:p>
    <w:p w14:paraId="5B624243" w14:textId="77777777" w:rsidR="00AF521D" w:rsidRDefault="00B61A0B">
      <w:pPr>
        <w:pStyle w:val="Heading2"/>
      </w:pPr>
      <w:bookmarkStart w:id="10" w:name="microstructure"/>
      <w:r>
        <w:t>3.1 Microstructure</w:t>
      </w:r>
    </w:p>
    <w:p w14:paraId="6394F9FA" w14:textId="17493E16" w:rsidR="00AF521D" w:rsidRDefault="00B61A0B">
      <w:pPr>
        <w:pStyle w:val="FirstParagraph"/>
      </w:pPr>
      <w:r>
        <w:rPr>
          <w:b/>
          <w:bCs/>
        </w:rPr>
        <w:t>Fig. 1a</w:t>
      </w:r>
      <w:r>
        <w:t xml:space="preserve"> shows the microstructure of the </w:t>
      </w:r>
      <w:r>
        <w:t>LLM-</w:t>
      </w:r>
      <w:r>
        <w:t>alloy after heat treatment at 1200 °C for 1 minute. The material exhibits a highly refined, fine-grained equiaxed microstructure with average grain diameters well under 20 µm. Scanning electron microscopy (</w:t>
      </w:r>
      <w:r>
        <w:rPr>
          <w:b/>
          <w:bCs/>
        </w:rPr>
        <w:t>Fig. 1b</w:t>
      </w:r>
      <w:r>
        <w:t xml:space="preserve">) </w:t>
      </w:r>
      <w:r>
        <w:t>resolves</w:t>
      </w:r>
      <w:r>
        <w:t xml:space="preserve"> this morphology as an </w:t>
      </w:r>
      <w:r>
        <w:t xml:space="preserve">intimately interlocked two-phase </w:t>
      </w:r>
      <w:r>
        <w:t xml:space="preserve">mixture of a </w:t>
      </w:r>
      <w:r>
        <w:t xml:space="preserve">darker grey </w:t>
      </w:r>
      <w:r>
        <w:t xml:space="preserve">constituent and a </w:t>
      </w:r>
      <w:r>
        <w:t>brighter</w:t>
      </w:r>
      <w:r>
        <w:t>, blockier one.</w:t>
      </w:r>
      <w:r>
        <w:t xml:space="preserve"> EDS </w:t>
      </w:r>
      <w:r>
        <w:t xml:space="preserve">detected higher Al </w:t>
      </w:r>
      <w:r>
        <w:t xml:space="preserve">in the </w:t>
      </w:r>
      <w:r>
        <w:t>darker constituent and higher</w:t>
      </w:r>
      <w:r>
        <w:t xml:space="preserve"> Mn in the </w:t>
      </w:r>
      <w:r>
        <w:t xml:space="preserve">brighter one, consistent with a duplex </w:t>
      </w:r>
      <w:r>
        <w:t>structure</w:t>
      </w:r>
      <w:r>
        <w:t xml:space="preserve"> in which</w:t>
      </w:r>
      <w:r>
        <w:t xml:space="preserve"> the Al-rich </w:t>
      </w:r>
      <w:r>
        <w:t>regions</w:t>
      </w:r>
      <w:r>
        <w:t xml:space="preserve"> are </w:t>
      </w:r>
      <w:r>
        <w:t xml:space="preserve">BCC α-phase and the Mn-rich </w:t>
      </w:r>
      <w:r>
        <w:t>regions</w:t>
      </w:r>
      <w:r>
        <w:t xml:space="preserve"> are FCC γ-phase.</w:t>
      </w:r>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p>
    <w:p w14:paraId="6546CC67" w14:textId="77777777" w:rsidR="00AF521D" w:rsidRDefault="00B61A0B">
      <w:pPr>
        <w:pStyle w:val="CaptionedFigure"/>
      </w:pPr>
      <w:r>
        <w:rPr>
          <w:noProof/>
        </w:rPr>
        <w:drawing>
          <wp:inline distT="0" distB="0" distL="0" distR="0">
            <wp:extent cx="5519928" cy="1405128"/>
            <wp:effectExtent l="0" t="0" r="0" b="0"/>
            <wp:docPr id="29" name="Picture" descr="Fig. 1. Microstructure of the LLM-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5"/>
                    <a:stretch>
                      <a:fillRect/>
                    </a:stretch>
                  </pic:blipFill>
                  <pic:spPr bwMode="auto">
                    <a:xfrm>
                      <a:off x="0" y="0"/>
                      <a:ext cx="5519928" cy="1405128"/>
                    </a:xfrm>
                    <a:prstGeom prst="rect">
                      <a:avLst/>
                    </a:prstGeom>
                    <a:noFill/>
                    <a:ln w="9525">
                      <a:noFill/>
                      <a:headEnd/>
                      <a:tailEnd/>
                    </a:ln>
                  </pic:spPr>
                </pic:pic>
              </a:graphicData>
            </a:graphic>
          </wp:inline>
        </w:drawing>
      </w:r>
    </w:p>
    <w:p w14:paraId="681C6A6D" w14:textId="6CFEDF0A" w:rsidR="00AF521D" w:rsidRDefault="00B61A0B">
      <w:pPr>
        <w:pStyle w:val="ImageCaption"/>
      </w:pPr>
      <w:r>
        <w:rPr>
          <w:b/>
          <w:bCs/>
        </w:rPr>
        <w:t>Fig. 1.</w:t>
      </w:r>
      <w:r>
        <w:t xml:space="preserve"> </w:t>
      </w:r>
      <w:r>
        <w:t xml:space="preserve">Microstructure of the </w:t>
      </w:r>
      <w:r>
        <w:t>LLM-</w:t>
      </w:r>
      <w:r>
        <w:t>alloy after heat treatment: (a) 1200 °C, 1 min, optical; (b) 1200 °C, 1 min, SEM; (c) 1200 °C, 40 min, optical.</w:t>
      </w:r>
    </w:p>
    <w:p w14:paraId="252BBDBA" w14:textId="77777777" w:rsidR="00AF521D" w:rsidRDefault="00B61A0B">
      <w:pPr>
        <w:pStyle w:val="Heading2"/>
      </w:pPr>
      <w:bookmarkStart w:id="11" w:name="cyclic-stressstrain-response"/>
      <w:bookmarkEnd w:id="10"/>
      <w:r>
        <w:t>3.2 Cyclic stress–strain response</w:t>
      </w:r>
    </w:p>
    <w:p w14:paraId="1A1A5227" w14:textId="00BF7D8E" w:rsidR="00AF521D" w:rsidRDefault="00B61A0B">
      <w:pPr>
        <w:pStyle w:val="FirstParagraph"/>
      </w:pPr>
      <w:r>
        <w:t xml:space="preserve">Cyclic tensile stress–strain curves for the </w:t>
      </w:r>
      <w:r>
        <w:t>LLM-</w:t>
      </w:r>
      <w:r>
        <w:t xml:space="preserve">alloy after heat treatment at different temperatures are shown in </w:t>
      </w:r>
      <w:r>
        <w:rPr>
          <w:b/>
          <w:bCs/>
        </w:rPr>
        <w:t>Fig. 2</w:t>
      </w:r>
      <w:r>
        <w:t xml:space="preserve">, and the corresponding data are listed in </w:t>
      </w:r>
      <w:r>
        <w:rPr>
          <w:b/>
          <w:bCs/>
        </w:rPr>
        <w:t>Table 2</w:t>
      </w:r>
      <w:r>
        <w:t>. This information reveals a broad picture of how heat treatment governs the alloy’s mechanical properties. The response is strongly anneal-dependent: low strand-anneal temperatures (600–700 °C) leave the wire high-strength but brittle (tensile strengths of ≈2009–2293 MPa and yield strengths of ≈1683–1948 MPa, but elongation of only ≈2%), reflecting incomplete recrystallization of the cold-drawn wire, whereas annealing at 800–1200 °C progressively softens the wire and restores ductility, with elongation pea</w:t>
      </w:r>
      <w:r>
        <w:t xml:space="preserve">king near 33% at 1000 °C. The elastic modulus, E, stays in the ≈150–165 GPa range across the well-annealed conditions. Across all </w:t>
      </w:r>
      <w:r>
        <w:t>LLM</w:t>
      </w:r>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r>
        <w:t>30,31</w:t>
      </w:r>
      <w:r>
        <w:t xml:space="preserve">]; this was not the case for the </w:t>
      </w:r>
      <w:r>
        <w:t>LLM-</w:t>
      </w:r>
      <w:r>
        <w:t>alloy (</w:t>
      </w:r>
      <w:r>
        <w:rPr>
          <w:b/>
          <w:bCs/>
        </w:rPr>
        <w:t>Fig. 2f</w:t>
      </w:r>
      <w:r>
        <w:t>).</w:t>
      </w:r>
    </w:p>
    <w:p w14:paraId="7ECE63E0" w14:textId="39B8F215" w:rsidR="00AF521D" w:rsidRDefault="00B61A0B">
      <w:pPr>
        <w:pStyle w:val="BodyText"/>
      </w:pPr>
      <w:r>
        <w:t xml:space="preserve">Read panel by panel, </w:t>
      </w:r>
      <w:r>
        <w:rPr>
          <w:b/>
          <w:bCs/>
        </w:rPr>
        <w:t>Fig. 2</w:t>
      </w:r>
      <w:r>
        <w:t xml:space="preserve"> shows the following. In the as-drawn condition (</w:t>
      </w:r>
      <w:r>
        <w:rPr>
          <w:b/>
          <w:bCs/>
        </w:rPr>
        <w:t>Fig. 2a</w:t>
      </w:r>
      <w:r>
        <w:t>) the wire fractures at ≈2% strain with essentially no plastic range. After the 600 °C anneal (</w:t>
      </w:r>
      <w:r>
        <w:rPr>
          <w:b/>
          <w:bCs/>
        </w:rPr>
        <w:t>Fig. 2b</w:t>
      </w:r>
      <w:r>
        <w:t>) it is stronger still, reaching ≈2280 MPa, yet fails just as early: the treatment has relieved drawing stresses without restoring formability. At 800 °C (</w:t>
      </w:r>
      <w:r>
        <w:rPr>
          <w:b/>
          <w:bCs/>
        </w:rPr>
        <w:t>Fig. 2c</w:t>
      </w:r>
      <w:r>
        <w:t>) the behaviour changes character — a well-defined yield plateau appears near 1200 MPa and the specimen sustains cycling to 10% strain. At 1000 °C (</w:t>
      </w:r>
      <w:r>
        <w:rPr>
          <w:b/>
          <w:bCs/>
        </w:rPr>
        <w:t>Fig. 2d</w:t>
      </w:r>
      <w:r>
        <w:t>) yielding falls to ≈670 MPa and is followed by steady work hardening, and at 1200 °C (</w:t>
      </w:r>
      <w:r>
        <w:rPr>
          <w:b/>
          <w:bCs/>
        </w:rPr>
        <w:t>Fig. 2e</w:t>
      </w:r>
      <w:r>
        <w:t xml:space="preserve">) to ≈500 MPa. </w:t>
      </w:r>
      <w:r>
        <w:rPr>
          <w:b/>
          <w:bCs/>
        </w:rPr>
        <w:t>Fig. 2f</w:t>
      </w:r>
      <w:r>
        <w:t xml:space="preserve"> repeats the 1200 °C condition with the 200 °C / 3 h age applied and is indistinguishable from </w:t>
      </w:r>
      <w:r>
        <w:rPr>
          <w:b/>
          <w:bCs/>
        </w:rPr>
        <w:t>Fig. 2e</w:t>
      </w:r>
      <w:r>
        <w:t xml:space="preserve">. The feature common to all six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w:t>
      </w:r>
      <w:r>
        <w:rPr>
          <w:b/>
          <w:bCs/>
        </w:rPr>
        <w:t>Table 2</w:t>
      </w:r>
      <w:r>
        <w:t xml:space="preserve"> lists eight anneal conditions where </w:t>
      </w:r>
      <w:r>
        <w:rPr>
          <w:b/>
          <w:bCs/>
        </w:rPr>
        <w:t>Fig. 2</w:t>
      </w:r>
      <w:r>
        <w:t xml:space="preserve"> </w:t>
      </w:r>
      <w:r>
        <w:t>shows six; the 700, 900 and 1100 °C curves interpolate smoothly between the panels shown, add nothing to the argument, and are omitted for space.</w:t>
      </w:r>
    </w:p>
    <w:p w14:paraId="4EDA940A" w14:textId="77777777" w:rsidR="00AF521D" w:rsidRDefault="00B61A0B">
      <w:pPr>
        <w:pStyle w:val="BodyText"/>
      </w:pPr>
      <w:r>
        <w:rPr>
          <w:b/>
          <w:bCs/>
        </w:rPr>
        <w:t>Table 2.</w:t>
      </w:r>
      <w:r>
        <w:t xml:space="preserve"> Mechanical properties of the LLM-</w:t>
      </w:r>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AF521D" w14:paraId="626D7654" w14:textId="77777777" w:rsidTr="00AF521D">
        <w:trPr>
          <w:cnfStyle w:val="100000000000" w:firstRow="1" w:lastRow="0" w:firstColumn="0" w:lastColumn="0" w:oddVBand="0" w:evenVBand="0" w:oddHBand="0" w:evenHBand="0" w:firstRowFirstColumn="0" w:firstRowLastColumn="0" w:lastRowFirstColumn="0" w:lastRowLastColumn="0"/>
          <w:tblHeader/>
        </w:trPr>
        <w:tc>
          <w:tcPr>
            <w:tcW w:w="0" w:type="auto"/>
          </w:tcPr>
          <w:p w14:paraId="326E33A7" w14:textId="77777777" w:rsidR="00AF521D" w:rsidRDefault="00B61A0B">
            <w:pPr>
              <w:pStyle w:val="Compact"/>
            </w:pPr>
            <w:r>
              <w:t>Temp. (°C)</w:t>
            </w:r>
          </w:p>
        </w:tc>
        <w:tc>
          <w:tcPr>
            <w:tcW w:w="0" w:type="auto"/>
          </w:tcPr>
          <w:p w14:paraId="48C05659" w14:textId="77777777" w:rsidR="00AF521D" w:rsidRDefault="00B61A0B">
            <w:pPr>
              <w:pStyle w:val="Compact"/>
            </w:pPr>
            <w:r>
              <w:t>σ₀.₂ (MPa)</w:t>
            </w:r>
          </w:p>
        </w:tc>
        <w:tc>
          <w:tcPr>
            <w:tcW w:w="0" w:type="auto"/>
          </w:tcPr>
          <w:p w14:paraId="15BD7584" w14:textId="77777777" w:rsidR="00AF521D" w:rsidRDefault="00B61A0B">
            <w:pPr>
              <w:pStyle w:val="Compact"/>
            </w:pPr>
            <w:r>
              <w:t>UTS (MPa)</w:t>
            </w:r>
          </w:p>
        </w:tc>
        <w:tc>
          <w:tcPr>
            <w:tcW w:w="0" w:type="auto"/>
          </w:tcPr>
          <w:p w14:paraId="205212FC" w14:textId="77777777" w:rsidR="00AF521D" w:rsidRDefault="00B61A0B">
            <w:pPr>
              <w:pStyle w:val="Compact"/>
            </w:pPr>
            <w:r>
              <w:t>Elong. (%)</w:t>
            </w:r>
          </w:p>
        </w:tc>
        <w:tc>
          <w:tcPr>
            <w:tcW w:w="0" w:type="auto"/>
          </w:tcPr>
          <w:p w14:paraId="07AF12B6" w14:textId="77777777" w:rsidR="00AF521D" w:rsidRDefault="00B61A0B">
            <w:pPr>
              <w:pStyle w:val="Compact"/>
            </w:pPr>
            <w:r>
              <w:t>E (GPa)</w:t>
            </w:r>
          </w:p>
        </w:tc>
      </w:tr>
      <w:tr w:rsidR="00AF521D" w14:paraId="280F86D4" w14:textId="77777777">
        <w:tc>
          <w:tcPr>
            <w:tcW w:w="0" w:type="auto"/>
          </w:tcPr>
          <w:p w14:paraId="1C6166C9" w14:textId="77777777" w:rsidR="00AF521D" w:rsidRDefault="00B61A0B">
            <w:pPr>
              <w:pStyle w:val="Compact"/>
            </w:pPr>
            <w:r>
              <w:t>As drawn</w:t>
            </w:r>
          </w:p>
        </w:tc>
        <w:tc>
          <w:tcPr>
            <w:tcW w:w="0" w:type="auto"/>
          </w:tcPr>
          <w:p w14:paraId="5FB0E092" w14:textId="77777777" w:rsidR="00AF521D" w:rsidRDefault="00B61A0B">
            <w:pPr>
              <w:pStyle w:val="Compact"/>
            </w:pPr>
            <w:r>
              <w:t>1528</w:t>
            </w:r>
          </w:p>
        </w:tc>
        <w:tc>
          <w:tcPr>
            <w:tcW w:w="0" w:type="auto"/>
          </w:tcPr>
          <w:p w14:paraId="1FA419AE" w14:textId="77777777" w:rsidR="00AF521D" w:rsidRDefault="00B61A0B">
            <w:pPr>
              <w:pStyle w:val="Compact"/>
            </w:pPr>
            <w:r>
              <w:t>1925</w:t>
            </w:r>
          </w:p>
        </w:tc>
        <w:tc>
          <w:tcPr>
            <w:tcW w:w="0" w:type="auto"/>
          </w:tcPr>
          <w:p w14:paraId="7579FD7A" w14:textId="77777777" w:rsidR="00AF521D" w:rsidRDefault="00B61A0B">
            <w:pPr>
              <w:pStyle w:val="Compact"/>
            </w:pPr>
            <w:r>
              <w:t>2.0</w:t>
            </w:r>
          </w:p>
        </w:tc>
        <w:tc>
          <w:tcPr>
            <w:tcW w:w="0" w:type="auto"/>
          </w:tcPr>
          <w:p w14:paraId="63FE2648" w14:textId="77777777" w:rsidR="00AF521D" w:rsidRDefault="00B61A0B">
            <w:pPr>
              <w:pStyle w:val="Compact"/>
            </w:pPr>
            <w:r>
              <w:t>143.7</w:t>
            </w:r>
          </w:p>
        </w:tc>
      </w:tr>
      <w:tr w:rsidR="00AF521D" w14:paraId="298ABF2F" w14:textId="77777777">
        <w:tc>
          <w:tcPr>
            <w:tcW w:w="0" w:type="auto"/>
          </w:tcPr>
          <w:p w14:paraId="76B4315A" w14:textId="77777777" w:rsidR="00AF521D" w:rsidRDefault="00B61A0B">
            <w:pPr>
              <w:pStyle w:val="Compact"/>
            </w:pPr>
            <w:r>
              <w:t>600</w:t>
            </w:r>
          </w:p>
        </w:tc>
        <w:tc>
          <w:tcPr>
            <w:tcW w:w="0" w:type="auto"/>
          </w:tcPr>
          <w:p w14:paraId="79D64EB1" w14:textId="77777777" w:rsidR="00AF521D" w:rsidRDefault="00B61A0B">
            <w:pPr>
              <w:pStyle w:val="Compact"/>
            </w:pPr>
            <w:r>
              <w:t>1948</w:t>
            </w:r>
          </w:p>
        </w:tc>
        <w:tc>
          <w:tcPr>
            <w:tcW w:w="0" w:type="auto"/>
          </w:tcPr>
          <w:p w14:paraId="2D95C607" w14:textId="77777777" w:rsidR="00AF521D" w:rsidRDefault="00B61A0B">
            <w:pPr>
              <w:pStyle w:val="Compact"/>
            </w:pPr>
            <w:r>
              <w:t>2293</w:t>
            </w:r>
          </w:p>
        </w:tc>
        <w:tc>
          <w:tcPr>
            <w:tcW w:w="0" w:type="auto"/>
          </w:tcPr>
          <w:p w14:paraId="65DAB968" w14:textId="77777777" w:rsidR="00AF521D" w:rsidRDefault="00B61A0B">
            <w:pPr>
              <w:pStyle w:val="Compact"/>
            </w:pPr>
            <w:r>
              <w:t>2.3</w:t>
            </w:r>
          </w:p>
        </w:tc>
        <w:tc>
          <w:tcPr>
            <w:tcW w:w="0" w:type="auto"/>
          </w:tcPr>
          <w:p w14:paraId="1307B3D5" w14:textId="77777777" w:rsidR="00AF521D" w:rsidRDefault="00B61A0B">
            <w:pPr>
              <w:pStyle w:val="Compact"/>
            </w:pPr>
            <w:r>
              <w:t>157.4</w:t>
            </w:r>
          </w:p>
        </w:tc>
      </w:tr>
      <w:tr w:rsidR="00AF521D" w14:paraId="6DD8B29E" w14:textId="77777777">
        <w:tc>
          <w:tcPr>
            <w:tcW w:w="0" w:type="auto"/>
          </w:tcPr>
          <w:p w14:paraId="4AD52885" w14:textId="77777777" w:rsidR="00AF521D" w:rsidRDefault="00B61A0B">
            <w:pPr>
              <w:pStyle w:val="Compact"/>
            </w:pPr>
            <w:r>
              <w:t>700</w:t>
            </w:r>
          </w:p>
        </w:tc>
        <w:tc>
          <w:tcPr>
            <w:tcW w:w="0" w:type="auto"/>
          </w:tcPr>
          <w:p w14:paraId="6E8043DD" w14:textId="77777777" w:rsidR="00AF521D" w:rsidRDefault="00B61A0B">
            <w:pPr>
              <w:pStyle w:val="Compact"/>
            </w:pPr>
            <w:r>
              <w:t>1683</w:t>
            </w:r>
          </w:p>
        </w:tc>
        <w:tc>
          <w:tcPr>
            <w:tcW w:w="0" w:type="auto"/>
          </w:tcPr>
          <w:p w14:paraId="49B8756A" w14:textId="77777777" w:rsidR="00AF521D" w:rsidRDefault="00B61A0B">
            <w:pPr>
              <w:pStyle w:val="Compact"/>
            </w:pPr>
            <w:r>
              <w:t>2009</w:t>
            </w:r>
          </w:p>
        </w:tc>
        <w:tc>
          <w:tcPr>
            <w:tcW w:w="0" w:type="auto"/>
          </w:tcPr>
          <w:p w14:paraId="447D2E5C" w14:textId="77777777" w:rsidR="00AF521D" w:rsidRDefault="00B61A0B">
            <w:pPr>
              <w:pStyle w:val="Compact"/>
            </w:pPr>
            <w:r>
              <w:t>2.2</w:t>
            </w:r>
          </w:p>
        </w:tc>
        <w:tc>
          <w:tcPr>
            <w:tcW w:w="0" w:type="auto"/>
          </w:tcPr>
          <w:p w14:paraId="11686ADF" w14:textId="77777777" w:rsidR="00AF521D" w:rsidRDefault="00B61A0B">
            <w:pPr>
              <w:pStyle w:val="Compact"/>
            </w:pPr>
            <w:r>
              <w:t>164.8</w:t>
            </w:r>
          </w:p>
        </w:tc>
      </w:tr>
      <w:tr w:rsidR="00AF521D" w14:paraId="1B7E9D7C" w14:textId="77777777">
        <w:tc>
          <w:tcPr>
            <w:tcW w:w="0" w:type="auto"/>
          </w:tcPr>
          <w:p w14:paraId="2D494DC9" w14:textId="77777777" w:rsidR="00AF521D" w:rsidRDefault="00B61A0B">
            <w:pPr>
              <w:pStyle w:val="Compact"/>
            </w:pPr>
            <w:r>
              <w:t>800</w:t>
            </w:r>
          </w:p>
        </w:tc>
        <w:tc>
          <w:tcPr>
            <w:tcW w:w="0" w:type="auto"/>
          </w:tcPr>
          <w:p w14:paraId="7039F18E" w14:textId="77777777" w:rsidR="00AF521D" w:rsidRDefault="00B61A0B">
            <w:pPr>
              <w:pStyle w:val="Compact"/>
            </w:pPr>
            <w:r>
              <w:t>1167</w:t>
            </w:r>
          </w:p>
        </w:tc>
        <w:tc>
          <w:tcPr>
            <w:tcW w:w="0" w:type="auto"/>
          </w:tcPr>
          <w:p w14:paraId="79F4D71C" w14:textId="77777777" w:rsidR="00AF521D" w:rsidRDefault="00B61A0B">
            <w:pPr>
              <w:pStyle w:val="Compact"/>
            </w:pPr>
            <w:r>
              <w:t>1216</w:t>
            </w:r>
          </w:p>
        </w:tc>
        <w:tc>
          <w:tcPr>
            <w:tcW w:w="0" w:type="auto"/>
          </w:tcPr>
          <w:p w14:paraId="40ED3732" w14:textId="77777777" w:rsidR="00AF521D" w:rsidRDefault="00B61A0B">
            <w:pPr>
              <w:pStyle w:val="Compact"/>
            </w:pPr>
            <w:r>
              <w:t>24.0</w:t>
            </w:r>
          </w:p>
        </w:tc>
        <w:tc>
          <w:tcPr>
            <w:tcW w:w="0" w:type="auto"/>
          </w:tcPr>
          <w:p w14:paraId="676B53E6" w14:textId="77777777" w:rsidR="00AF521D" w:rsidRDefault="00B61A0B">
            <w:pPr>
              <w:pStyle w:val="Compact"/>
            </w:pPr>
            <w:r>
              <w:t>155.5</w:t>
            </w:r>
          </w:p>
        </w:tc>
      </w:tr>
      <w:tr w:rsidR="00AF521D" w14:paraId="229766A4" w14:textId="77777777">
        <w:tc>
          <w:tcPr>
            <w:tcW w:w="0" w:type="auto"/>
          </w:tcPr>
          <w:p w14:paraId="636C6C58" w14:textId="77777777" w:rsidR="00AF521D" w:rsidRDefault="00B61A0B">
            <w:pPr>
              <w:pStyle w:val="Compact"/>
            </w:pPr>
            <w:r>
              <w:t>900</w:t>
            </w:r>
          </w:p>
        </w:tc>
        <w:tc>
          <w:tcPr>
            <w:tcW w:w="0" w:type="auto"/>
          </w:tcPr>
          <w:p w14:paraId="5185650D" w14:textId="77777777" w:rsidR="00AF521D" w:rsidRDefault="00B61A0B">
            <w:pPr>
              <w:pStyle w:val="Compact"/>
            </w:pPr>
            <w:r>
              <w:t>944</w:t>
            </w:r>
          </w:p>
        </w:tc>
        <w:tc>
          <w:tcPr>
            <w:tcW w:w="0" w:type="auto"/>
          </w:tcPr>
          <w:p w14:paraId="058291F2" w14:textId="77777777" w:rsidR="00AF521D" w:rsidRDefault="00B61A0B">
            <w:pPr>
              <w:pStyle w:val="Compact"/>
            </w:pPr>
            <w:r>
              <w:t>1078</w:t>
            </w:r>
          </w:p>
        </w:tc>
        <w:tc>
          <w:tcPr>
            <w:tcW w:w="0" w:type="auto"/>
          </w:tcPr>
          <w:p w14:paraId="7D25ABCE" w14:textId="77777777" w:rsidR="00AF521D" w:rsidRDefault="00B61A0B">
            <w:pPr>
              <w:pStyle w:val="Compact"/>
            </w:pPr>
            <w:r>
              <w:t>29.7</w:t>
            </w:r>
          </w:p>
        </w:tc>
        <w:tc>
          <w:tcPr>
            <w:tcW w:w="0" w:type="auto"/>
          </w:tcPr>
          <w:p w14:paraId="293CF533" w14:textId="77777777" w:rsidR="00AF521D" w:rsidRDefault="00B61A0B">
            <w:pPr>
              <w:pStyle w:val="Compact"/>
            </w:pPr>
            <w:r>
              <w:t>152.2</w:t>
            </w:r>
          </w:p>
        </w:tc>
      </w:tr>
      <w:tr w:rsidR="00AF521D" w14:paraId="0F3130F6" w14:textId="77777777">
        <w:tc>
          <w:tcPr>
            <w:tcW w:w="0" w:type="auto"/>
          </w:tcPr>
          <w:p w14:paraId="25497580" w14:textId="77777777" w:rsidR="00AF521D" w:rsidRDefault="00B61A0B">
            <w:pPr>
              <w:pStyle w:val="Compact"/>
            </w:pPr>
            <w:r>
              <w:t>1000</w:t>
            </w:r>
          </w:p>
        </w:tc>
        <w:tc>
          <w:tcPr>
            <w:tcW w:w="0" w:type="auto"/>
          </w:tcPr>
          <w:p w14:paraId="0E2D73C3" w14:textId="77777777" w:rsidR="00AF521D" w:rsidRDefault="00B61A0B">
            <w:pPr>
              <w:pStyle w:val="Compact"/>
            </w:pPr>
            <w:r>
              <w:t>673</w:t>
            </w:r>
          </w:p>
        </w:tc>
        <w:tc>
          <w:tcPr>
            <w:tcW w:w="0" w:type="auto"/>
          </w:tcPr>
          <w:p w14:paraId="00BEC587" w14:textId="77777777" w:rsidR="00AF521D" w:rsidRDefault="00B61A0B">
            <w:pPr>
              <w:pStyle w:val="Compact"/>
            </w:pPr>
            <w:r>
              <w:t>967</w:t>
            </w:r>
          </w:p>
        </w:tc>
        <w:tc>
          <w:tcPr>
            <w:tcW w:w="0" w:type="auto"/>
          </w:tcPr>
          <w:p w14:paraId="31AC7CAC" w14:textId="77777777" w:rsidR="00AF521D" w:rsidRDefault="00B61A0B">
            <w:pPr>
              <w:pStyle w:val="Compact"/>
            </w:pPr>
            <w:r>
              <w:t>33.4</w:t>
            </w:r>
          </w:p>
        </w:tc>
        <w:tc>
          <w:tcPr>
            <w:tcW w:w="0" w:type="auto"/>
          </w:tcPr>
          <w:p w14:paraId="4137A7E7" w14:textId="77777777" w:rsidR="00AF521D" w:rsidRDefault="00B61A0B">
            <w:pPr>
              <w:pStyle w:val="Compact"/>
            </w:pPr>
            <w:r>
              <w:t>155.6</w:t>
            </w:r>
          </w:p>
        </w:tc>
      </w:tr>
      <w:tr w:rsidR="00AF521D" w14:paraId="7E02BC1D" w14:textId="77777777">
        <w:tc>
          <w:tcPr>
            <w:tcW w:w="0" w:type="auto"/>
          </w:tcPr>
          <w:p w14:paraId="6D2FF5AD" w14:textId="77777777" w:rsidR="00AF521D" w:rsidRDefault="00B61A0B">
            <w:pPr>
              <w:pStyle w:val="Compact"/>
            </w:pPr>
            <w:r>
              <w:t>1100</w:t>
            </w:r>
          </w:p>
        </w:tc>
        <w:tc>
          <w:tcPr>
            <w:tcW w:w="0" w:type="auto"/>
          </w:tcPr>
          <w:p w14:paraId="63F0E369" w14:textId="77777777" w:rsidR="00AF521D" w:rsidRDefault="00B61A0B">
            <w:pPr>
              <w:pStyle w:val="Compact"/>
            </w:pPr>
            <w:r>
              <w:t>556</w:t>
            </w:r>
          </w:p>
        </w:tc>
        <w:tc>
          <w:tcPr>
            <w:tcW w:w="0" w:type="auto"/>
          </w:tcPr>
          <w:p w14:paraId="2B510CD6" w14:textId="77777777" w:rsidR="00AF521D" w:rsidRDefault="00B61A0B">
            <w:pPr>
              <w:pStyle w:val="Compact"/>
            </w:pPr>
            <w:r>
              <w:t>947</w:t>
            </w:r>
          </w:p>
        </w:tc>
        <w:tc>
          <w:tcPr>
            <w:tcW w:w="0" w:type="auto"/>
          </w:tcPr>
          <w:p w14:paraId="5F66317A" w14:textId="77777777" w:rsidR="00AF521D" w:rsidRDefault="00B61A0B">
            <w:pPr>
              <w:pStyle w:val="Compact"/>
            </w:pPr>
            <w:r>
              <w:t>29.7</w:t>
            </w:r>
          </w:p>
        </w:tc>
        <w:tc>
          <w:tcPr>
            <w:tcW w:w="0" w:type="auto"/>
          </w:tcPr>
          <w:p w14:paraId="6E84F6F3" w14:textId="77777777" w:rsidR="00AF521D" w:rsidRDefault="00B61A0B">
            <w:pPr>
              <w:pStyle w:val="Compact"/>
            </w:pPr>
            <w:r>
              <w:t>156.8</w:t>
            </w:r>
          </w:p>
        </w:tc>
      </w:tr>
      <w:tr w:rsidR="00AF521D" w14:paraId="2BF10FF5" w14:textId="77777777">
        <w:tc>
          <w:tcPr>
            <w:tcW w:w="0" w:type="auto"/>
          </w:tcPr>
          <w:p w14:paraId="49F79DD8" w14:textId="77777777" w:rsidR="00AF521D" w:rsidRDefault="00B61A0B">
            <w:pPr>
              <w:pStyle w:val="Compact"/>
            </w:pPr>
            <w:r>
              <w:t>1200</w:t>
            </w:r>
          </w:p>
        </w:tc>
        <w:tc>
          <w:tcPr>
            <w:tcW w:w="0" w:type="auto"/>
          </w:tcPr>
          <w:p w14:paraId="3B6F444E" w14:textId="77777777" w:rsidR="00AF521D" w:rsidRDefault="00B61A0B">
            <w:pPr>
              <w:pStyle w:val="Compact"/>
            </w:pPr>
            <w:r>
              <w:t>502</w:t>
            </w:r>
          </w:p>
        </w:tc>
        <w:tc>
          <w:tcPr>
            <w:tcW w:w="0" w:type="auto"/>
          </w:tcPr>
          <w:p w14:paraId="369C4033" w14:textId="77777777" w:rsidR="00AF521D" w:rsidRDefault="00B61A0B">
            <w:pPr>
              <w:pStyle w:val="Compact"/>
            </w:pPr>
            <w:r>
              <w:t>938</w:t>
            </w:r>
          </w:p>
        </w:tc>
        <w:tc>
          <w:tcPr>
            <w:tcW w:w="0" w:type="auto"/>
          </w:tcPr>
          <w:p w14:paraId="2357B288" w14:textId="77777777" w:rsidR="00AF521D" w:rsidRDefault="00B61A0B">
            <w:pPr>
              <w:pStyle w:val="Compact"/>
            </w:pPr>
            <w:r>
              <w:t>23.9</w:t>
            </w:r>
          </w:p>
        </w:tc>
        <w:tc>
          <w:tcPr>
            <w:tcW w:w="0" w:type="auto"/>
          </w:tcPr>
          <w:p w14:paraId="7668C240" w14:textId="77777777" w:rsidR="00AF521D" w:rsidRDefault="00B61A0B">
            <w:pPr>
              <w:pStyle w:val="Compact"/>
            </w:pPr>
            <w:r>
              <w:t>163.0</w:t>
            </w:r>
          </w:p>
        </w:tc>
      </w:tr>
    </w:tbl>
    <w:p w14:paraId="59FDE379" w14:textId="77777777" w:rsidR="00AF521D" w:rsidRDefault="00B61A0B">
      <w:pPr>
        <w:pStyle w:val="CaptionedFigure"/>
      </w:pPr>
      <w:r>
        <w:rPr>
          <w:noProof/>
        </w:rPr>
        <w:drawing>
          <wp:inline distT="0" distB="0" distL="0" distR="0">
            <wp:extent cx="4937760" cy="2849880"/>
            <wp:effectExtent l="0" t="0" r="0" b="0"/>
            <wp:docPr id="33" name="Picture" descr="Fig. 2. Cyclic stress–strain curves of the LLM-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34" name="Picture" descr="figures/Figure_2.jpg"/>
                    <pic:cNvPicPr>
                      <a:picLocks noChangeAspect="1" noChangeArrowheads="1"/>
                    </pic:cNvPicPr>
                  </pic:nvPicPr>
                  <pic:blipFill>
                    <a:blip r:embed="rId6"/>
                    <a:stretch>
                      <a:fillRect/>
                    </a:stretch>
                  </pic:blipFill>
                  <pic:spPr bwMode="auto">
                    <a:xfrm>
                      <a:off x="0" y="0"/>
                      <a:ext cx="4937760" cy="2849880"/>
                    </a:xfrm>
                    <a:prstGeom prst="rect">
                      <a:avLst/>
                    </a:prstGeom>
                    <a:noFill/>
                    <a:ln w="9525">
                      <a:noFill/>
                      <a:headEnd/>
                      <a:tailEnd/>
                    </a:ln>
                  </pic:spPr>
                </pic:pic>
              </a:graphicData>
            </a:graphic>
          </wp:inline>
        </w:drawing>
      </w:r>
    </w:p>
    <w:p w14:paraId="7C0C7F02" w14:textId="394F81C9" w:rsidR="00AF521D" w:rsidRDefault="00B61A0B">
      <w:pPr>
        <w:pStyle w:val="ImageCaption"/>
      </w:pPr>
      <w:r>
        <w:rPr>
          <w:b/>
          <w:bCs/>
        </w:rPr>
        <w:t>Fig. 2.</w:t>
      </w:r>
      <w:r>
        <w:t xml:space="preserve"> Cyclic stress–strain curves of the </w:t>
      </w:r>
      <w:r>
        <w:t>LLM-</w:t>
      </w:r>
      <w:r>
        <w:t>alloy after annealing for 1 minute at various temperatures. Wire diameter is 0.36 mm. Panel (f) shows the stress–strain response of the annealed-plus-aged sample.</w:t>
      </w:r>
    </w:p>
    <w:p w14:paraId="067158B4" w14:textId="423D4D8D" w:rsidR="00AF521D" w:rsidRDefault="00B61A0B">
      <w:pPr>
        <w:pStyle w:val="BodyText"/>
      </w:pPr>
      <w:r>
        <w:rPr>
          <w:b/>
          <w:bCs/>
        </w:rPr>
        <w:t>Fig. 3</w:t>
      </w:r>
      <w:r>
        <w:t xml:space="preserve"> </w:t>
      </w:r>
      <w:r>
        <w:t xml:space="preserve">compares the stress–strain behavior of the </w:t>
      </w:r>
      <w:r>
        <w:t>LLM-</w:t>
      </w:r>
      <w:r>
        <w:t xml:space="preserve"> and </w:t>
      </w:r>
      <w:r>
        <w:t>benchmark</w:t>
      </w:r>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r>
        <w:t>benchmark</w:t>
      </w:r>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r>
        <w:t>benchmark</w:t>
      </w:r>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r>
        <w:t>LLM-</w:t>
      </w:r>
      <w:r>
        <w:t xml:space="preserve">alloy during this test, indicating that it deforms plastically with no pseudo-elasticity regardless of heat-treating condition. We conclude that the microstructure of the </w:t>
      </w:r>
      <w:r>
        <w:t>LLM-</w:t>
      </w:r>
      <w:r>
        <w:t>alloy is very stable and that stress-induced phase transformation is not one of its active deformation mechanisms.</w:t>
      </w:r>
    </w:p>
    <w:p w14:paraId="4564B74C" w14:textId="77777777" w:rsidR="00AF521D" w:rsidRDefault="00B61A0B">
      <w:pPr>
        <w:pStyle w:val="CaptionedFigure"/>
      </w:pPr>
      <w:r>
        <w:rPr>
          <w:noProof/>
        </w:rPr>
        <w:drawing>
          <wp:inline distT="0" distB="0" distL="0" distR="0">
            <wp:extent cx="3630167" cy="1371600"/>
            <wp:effectExtent l="0" t="0" r="0" b="0"/>
            <wp:docPr id="36" name="Picture" descr="Fig. 3. Loading–unloading–heating tests of (a) the LLM-alloy and (b) the benchmark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7"/>
                    <a:stretch>
                      <a:fillRect/>
                    </a:stretch>
                  </pic:blipFill>
                  <pic:spPr bwMode="auto">
                    <a:xfrm>
                      <a:off x="0" y="0"/>
                      <a:ext cx="3630167" cy="1371600"/>
                    </a:xfrm>
                    <a:prstGeom prst="rect">
                      <a:avLst/>
                    </a:prstGeom>
                    <a:noFill/>
                    <a:ln w="9525">
                      <a:noFill/>
                      <a:headEnd/>
                      <a:tailEnd/>
                    </a:ln>
                  </pic:spPr>
                </pic:pic>
              </a:graphicData>
            </a:graphic>
          </wp:inline>
        </w:drawing>
      </w:r>
    </w:p>
    <w:p w14:paraId="43D8CA82" w14:textId="06BD8C86" w:rsidR="00AF521D" w:rsidRDefault="00B61A0B">
      <w:pPr>
        <w:pStyle w:val="ImageCaption"/>
      </w:pPr>
      <w:r>
        <w:rPr>
          <w:b/>
          <w:bCs/>
        </w:rPr>
        <w:t>Fig. 3.</w:t>
      </w:r>
      <w:r>
        <w:t xml:space="preserve"> </w:t>
      </w:r>
      <w:r>
        <w:t xml:space="preserve">Loading–unloading–heating tests of (a) the </w:t>
      </w:r>
      <w:r>
        <w:t>LLM-</w:t>
      </w:r>
      <w:r>
        <w:t xml:space="preserve">alloy and (b) the </w:t>
      </w:r>
      <w:r>
        <w:t>benchmark</w:t>
      </w:r>
      <w:r>
        <w:t xml:space="preserve"> alloy. Samples were heat treated at 1200 °C for 1 minute. Black arrows show the deformation path; the red arrow highlights the strain recovery caused by heating.</w:t>
      </w:r>
    </w:p>
    <w:p w14:paraId="6EDDA647" w14:textId="77777777" w:rsidR="00AF521D" w:rsidRDefault="00B61A0B">
      <w:pPr>
        <w:pStyle w:val="Heading2"/>
      </w:pPr>
      <w:bookmarkStart w:id="12" w:name="X7b0047580ff68e3c8823c4535b0eba55ad6dd86"/>
      <w:bookmarkEnd w:id="11"/>
      <w:r>
        <w:t>3.3 Synchrotron diffraction and phase identification</w:t>
      </w:r>
    </w:p>
    <w:p w14:paraId="4840F5D1" w14:textId="0F526257" w:rsidR="00AF521D" w:rsidRDefault="00B61A0B">
      <w:pPr>
        <w:pStyle w:val="FirstParagraph"/>
      </w:pPr>
      <w:r>
        <w:t xml:space="preserve">Synchrotron XRD of samples before and after deformation is shown in </w:t>
      </w:r>
      <w:r>
        <w:rPr>
          <w:b/>
          <w:bCs/>
        </w:rPr>
        <w:t>Fig. 4</w:t>
      </w:r>
      <w:r>
        <w:t xml:space="preserve">. </w:t>
      </w:r>
      <w:r>
        <w:rPr>
          <w:b/>
          <w:bCs/>
        </w:rPr>
        <w:t>Fig. 5</w:t>
      </w:r>
      <w:r>
        <w:t xml:space="preserve"> </w:t>
      </w:r>
      <w:r>
        <w:t>shows good overall agreement between the experimental data (lower half</w:t>
      </w:r>
      <w:r>
        <w:t xml:space="preserve"> of each panel</w:t>
      </w:r>
      <w:r>
        <w:t>) and the results of Rietveld refinement (upper half</w:t>
      </w:r>
      <w:r>
        <w:t>), both before deformation (</w:t>
      </w:r>
      <w:r>
        <w:rPr>
          <w:b/>
          <w:bCs/>
        </w:rPr>
        <w:t>Fig. 5a</w:t>
      </w:r>
      <w:r>
        <w:t>) and after unloading from 10% strain (</w:t>
      </w:r>
      <w:r>
        <w:rPr>
          <w:b/>
          <w:bCs/>
        </w:rPr>
        <w:t>Fig. 5b</w:t>
      </w:r>
      <w:r>
        <w:t>). The fit is measurably better</w:t>
      </w:r>
      <w:r>
        <w:t xml:space="preserve"> for the </w:t>
      </w:r>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r>
        <w:t xml:space="preserve"> alloy</w:t>
      </w:r>
      <w:r>
        <w:t>, below</w:t>
      </w:r>
      <w:r>
        <w:t xml:space="preserve">. Based on this result, the </w:t>
      </w:r>
      <w:r>
        <w:t>LLM-</w:t>
      </w:r>
      <w:r>
        <w:t xml:space="preserve">alloy is estimated to consist of ≈62% FCC γ-phase, ≈34% BCC α-phase, and ≈4% </w:t>
      </w:r>
      <w:r>
        <w:t>D0</w:t>
      </w:r>
      <w:r>
        <w:t>₃ Fe₃Al phase. Its diffraction patterns before and after deformation are essentially the same (</w:t>
      </w:r>
      <w:r>
        <w:rPr>
          <w:b/>
          <w:bCs/>
        </w:rPr>
        <w:t>Fig. 4a, b</w:t>
      </w:r>
      <w:r>
        <w:t>), and relative peak intensities (</w:t>
      </w:r>
      <w:r>
        <w:rPr>
          <w:b/>
          <w:bCs/>
        </w:rPr>
        <w:t>Fig. 6a</w:t>
      </w:r>
      <w:r>
        <w:t xml:space="preserve">) are essentially unchanged: no new diffraction peaks appear and none disappear. </w:t>
      </w:r>
      <w:r>
        <w:t>An</w:t>
      </w:r>
      <w:r>
        <w:t xml:space="preserve"> ex-situ measurement made after unloading cannot, on its own, exclude a fully reversible transformation that reverts </w:t>
      </w:r>
      <w:r>
        <w:t xml:space="preserve">as the load is removed. The diffraction data are not what carry this conclusion, however, and the order of the evidence should be stated plainly. A transformation reversible enough to leave no diffraction signature after unloading would still have had to produce recoverable strain </w:t>
      </w:r>
      <w:r>
        <w:rPr>
          <w:i/>
          <w:iCs/>
        </w:rPr>
        <w:t>during</w:t>
      </w:r>
      <w:r>
        <w:t xml:space="preserve"> </w:t>
      </w:r>
      <w:r>
        <w:t xml:space="preserve">that unloading, and the unloading segments of </w:t>
      </w:r>
      <w:r>
        <w:rPr>
          <w:b/>
          <w:bCs/>
        </w:rPr>
        <w:t>Fig. 2</w:t>
      </w:r>
      <w:r>
        <w:t xml:space="preserve"> are straight, parallel to the elastic line, and return no strain beyond σ/E in any of the eight anneal conditions. The loading–unloading–heating test of </w:t>
      </w:r>
      <w:r>
        <w:rPr>
          <w:b/>
          <w:bCs/>
        </w:rPr>
        <w:t>Fig. 3a</w:t>
      </w:r>
      <w:r>
        <w:t xml:space="preserve"> closes the remaining route by which a transformation could hide, since any retained martensite stable enough to survive unloading would revert on heating and show up as strain recovery, as it does for the benchmark in </w:t>
      </w:r>
      <w:r>
        <w:rPr>
          <w:b/>
          <w:bCs/>
        </w:rPr>
        <w:t>Fig. 3b</w:t>
      </w:r>
      <w:r>
        <w:t>.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w:t>
      </w:r>
      <w:r>
        <w:t xml:space="preserve">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r>
        <w:t>benchmark</w:t>
      </w:r>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r>
        <w:t>benchmark</w:t>
      </w:r>
      <w:r>
        <w:t xml:space="preserve"> alloy is also clearly shown in </w:t>
      </w:r>
      <w:r>
        <w:rPr>
          <w:b/>
          <w:bCs/>
        </w:rPr>
        <w:t>Fig. 6b</w:t>
      </w:r>
      <w:r>
        <w:t>.</w:t>
      </w:r>
    </w:p>
    <w:p w14:paraId="7F232EDC" w14:textId="77777777" w:rsidR="00AF521D" w:rsidRDefault="00B61A0B">
      <w:pPr>
        <w:pStyle w:val="BodyText"/>
      </w:pPr>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p>
    <w:p w14:paraId="03C9A942" w14:textId="77777777" w:rsidR="00AF521D" w:rsidRDefault="00B61A0B">
      <w:pPr>
        <w:pStyle w:val="BodyText"/>
      </w:pPr>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p>
    <w:p w14:paraId="6A6EFBDA" w14:textId="77777777" w:rsidR="00AF521D" w:rsidRDefault="00B61A0B">
      <w:pPr>
        <w:pStyle w:val="BodyText"/>
      </w:pPr>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p>
    <w:p w14:paraId="3EC0C0D9" w14:textId="77777777" w:rsidR="00AF521D" w:rsidRDefault="00B61A0B">
      <w:pPr>
        <w:pStyle w:val="BodyText"/>
      </w:pPr>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given the same 1200 °C anneal, shows no corresponding change (</w:t>
      </w:r>
      <w:r>
        <w:rPr>
          <w:b/>
          <w:bCs/>
        </w:rPr>
        <w:t>Fig. 6a</w:t>
      </w:r>
      <w:r>
        <w:t>) and is instead dominated by the γ phase.</w:t>
      </w:r>
    </w:p>
    <w:p w14:paraId="03B318D5" w14:textId="66936E75" w:rsidR="00AF521D" w:rsidRDefault="00B61A0B">
      <w:pPr>
        <w:pStyle w:val="BodyText"/>
      </w:pPr>
      <w:r>
        <w:t xml:space="preserve">It is worth noting that the </w:t>
      </w:r>
      <w:r>
        <w:t>LLM-</w:t>
      </w:r>
      <w:r>
        <w:t xml:space="preserve">alloy after AGG heat treatment showed an X-ray diffraction pattern similar to </w:t>
      </w:r>
      <w:r>
        <w:rPr>
          <w:b/>
          <w:bCs/>
        </w:rPr>
        <w:t>Fig. 4a</w:t>
      </w:r>
      <w:r>
        <w:t>, indicating that the multi-phase microstructure is a stable state of this alloy at 1200 °C.</w:t>
      </w:r>
    </w:p>
    <w:p w14:paraId="08CC483F" w14:textId="77777777" w:rsidR="00AF521D" w:rsidRDefault="00B61A0B">
      <w:pPr>
        <w:pStyle w:val="CaptionedFigure"/>
      </w:pPr>
      <w:r>
        <w:rPr>
          <w:noProof/>
        </w:rPr>
        <w:drawing>
          <wp:inline distT="0" distB="0" distL="0" distR="0">
            <wp:extent cx="2426208" cy="2292096"/>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8"/>
                    <a:stretch>
                      <a:fillRect/>
                    </a:stretch>
                  </pic:blipFill>
                  <pic:spPr bwMode="auto">
                    <a:xfrm>
                      <a:off x="0" y="0"/>
                      <a:ext cx="2426208" cy="2292096"/>
                    </a:xfrm>
                    <a:prstGeom prst="rect">
                      <a:avLst/>
                    </a:prstGeom>
                    <a:noFill/>
                    <a:ln w="9525">
                      <a:noFill/>
                      <a:headEnd/>
                      <a:tailEnd/>
                    </a:ln>
                  </pic:spPr>
                </pic:pic>
              </a:graphicData>
            </a:graphic>
          </wp:inline>
        </w:drawing>
      </w:r>
    </w:p>
    <w:p w14:paraId="1FFC5A74" w14:textId="499E8A41" w:rsidR="00AF521D" w:rsidRDefault="00B61A0B">
      <w:pPr>
        <w:pStyle w:val="ImageCaption"/>
      </w:pPr>
      <w:r>
        <w:rPr>
          <w:b/>
          <w:bCs/>
        </w:rPr>
        <w:t>Fig. 4.</w:t>
      </w:r>
      <w:r>
        <w:t xml:space="preserve"> 2D synchrotron X-ray diffraction images of (a) </w:t>
      </w:r>
      <w:r>
        <w:t>LLM-</w:t>
      </w:r>
      <w:r>
        <w:t xml:space="preserve">alloy annealed at 1200 °C for 1 min, (b) annealed </w:t>
      </w:r>
      <w:r>
        <w:t>LLM-</w:t>
      </w:r>
      <w:r>
        <w:t xml:space="preserve">alloy after 10% tensile strain, (c) </w:t>
      </w:r>
      <w:r>
        <w:t>benchmark</w:t>
      </w:r>
      <w:r>
        <w:t xml:space="preserve"> alloy annealed at 1200 °C for 1 min, and (d) annealed </w:t>
      </w:r>
      <w:r>
        <w:t>benchmark</w:t>
      </w:r>
      <w:r>
        <w:t xml:space="preserve"> alloy after 8% tensile strain.</w:t>
      </w:r>
    </w:p>
    <w:p w14:paraId="2F26C525" w14:textId="77777777" w:rsidR="00AF521D" w:rsidRDefault="00B61A0B">
      <w:pPr>
        <w:pStyle w:val="CaptionedFigure"/>
      </w:pPr>
      <w:r>
        <w:rPr>
          <w:noProof/>
        </w:rPr>
        <w:drawing>
          <wp:inline distT="0" distB="0" distL="0" distR="0">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9"/>
                    <a:stretch>
                      <a:fillRect/>
                    </a:stretch>
                  </pic:blipFill>
                  <pic:spPr bwMode="auto">
                    <a:xfrm>
                      <a:off x="0" y="0"/>
                      <a:ext cx="2993136" cy="4465320"/>
                    </a:xfrm>
                    <a:prstGeom prst="rect">
                      <a:avLst/>
                    </a:prstGeom>
                    <a:noFill/>
                    <a:ln w="9525">
                      <a:noFill/>
                      <a:headEnd/>
                      <a:tailEnd/>
                    </a:ln>
                  </pic:spPr>
                </pic:pic>
              </a:graphicData>
            </a:graphic>
          </wp:inline>
        </w:drawing>
      </w:r>
    </w:p>
    <w:p w14:paraId="7D65EE56" w14:textId="44B3518E" w:rsidR="00AF521D" w:rsidRDefault="00B61A0B">
      <w:pPr>
        <w:pStyle w:val="ImageCaption"/>
      </w:pPr>
      <w:r>
        <w:rPr>
          <w:b/>
          <w:bCs/>
        </w:rPr>
        <w:t>Fig. 5.</w:t>
      </w:r>
      <w:r>
        <w:t xml:space="preserve"> </w:t>
      </w:r>
      <w:r>
        <w:t>Comparison between synchrotron X-ray diffraction data (lower half</w:t>
      </w:r>
      <w:r>
        <w:t xml:space="preserve"> of each panel</w:t>
      </w:r>
      <w:r>
        <w:t>) and results of Rietveld refinement (upper half</w:t>
      </w:r>
      <w:r>
        <w:t xml:space="preserve"> of each panel</w:t>
      </w:r>
      <w:r>
        <w:t xml:space="preserve">) for the </w:t>
      </w:r>
      <w:r>
        <w:t>LLM-</w:t>
      </w:r>
      <w:r>
        <w:t>alloy</w:t>
      </w:r>
      <w:r>
        <w:t>: (a)</w:t>
      </w:r>
      <w:r>
        <w:t xml:space="preserve"> heat</w:t>
      </w:r>
      <w:r>
        <w:t>-</w:t>
      </w:r>
      <w:r>
        <w:t>treated at 1200 °C for 1 minute</w:t>
      </w:r>
      <w:r>
        <w:t xml:space="preserve"> (R_wp = 21.4%, R_p = 8.7%), and (b) after unloading from 10% strain (R_wp = 12.5%, R_p = 5.9%). Both refinements used the three-phase model of Sec. 2.5, with lattice parameters fixed at a = 3.6366 Å (γ) and 2.8865 Å (α) in both cases, and 5.7734 Å (a) and 5.7801 Å (b) for D0₃.</w:t>
      </w:r>
    </w:p>
    <w:p w14:paraId="4A754789" w14:textId="77777777" w:rsidR="00AF521D" w:rsidRDefault="00B61A0B">
      <w:pPr>
        <w:pStyle w:val="CaptionedFigure"/>
      </w:pPr>
      <w:r>
        <w:rPr>
          <w:noProof/>
        </w:rPr>
        <w:drawing>
          <wp:inline distT="0" distB="0" distL="0" distR="0">
            <wp:extent cx="2337816" cy="2709672"/>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0"/>
                    <a:stretch>
                      <a:fillRect/>
                    </a:stretch>
                  </pic:blipFill>
                  <pic:spPr bwMode="auto">
                    <a:xfrm>
                      <a:off x="0" y="0"/>
                      <a:ext cx="2337816" cy="2709672"/>
                    </a:xfrm>
                    <a:prstGeom prst="rect">
                      <a:avLst/>
                    </a:prstGeom>
                    <a:noFill/>
                    <a:ln w="9525">
                      <a:noFill/>
                      <a:headEnd/>
                      <a:tailEnd/>
                    </a:ln>
                  </pic:spPr>
                </pic:pic>
              </a:graphicData>
            </a:graphic>
          </wp:inline>
        </w:drawing>
      </w:r>
    </w:p>
    <w:p w14:paraId="10463AFF" w14:textId="256EC360" w:rsidR="00AF521D" w:rsidRDefault="00B61A0B">
      <w:pPr>
        <w:pStyle w:val="ImageCaption"/>
      </w:pPr>
      <w:r>
        <w:rPr>
          <w:b/>
          <w:bCs/>
        </w:rPr>
        <w:t>Fig. 6.</w:t>
      </w:r>
      <w:r>
        <w:t xml:space="preserve"> </w:t>
      </w:r>
      <w:r>
        <w:t xml:space="preserve">Azimuthally integrated X-ray diffraction spectra of (a) the </w:t>
      </w:r>
      <w:r>
        <w:t>LLM-</w:t>
      </w:r>
      <w:r>
        <w:t xml:space="preserve">alloy and (b) the </w:t>
      </w:r>
      <w:r>
        <w:t>benchmark</w:t>
      </w:r>
      <w:r>
        <w:t xml:space="preserve"> alloy before and after deformation. Samples were heat treated at 1200 °C for 1 minute before deformation.</w:t>
      </w:r>
    </w:p>
    <w:p w14:paraId="71521583" w14:textId="77777777" w:rsidR="00AF521D" w:rsidRDefault="00B61A0B">
      <w:pPr>
        <w:pStyle w:val="Heading2"/>
      </w:pPr>
      <w:bookmarkStart w:id="13" w:name="equilibrium-phase-stability"/>
      <w:bookmarkEnd w:id="12"/>
      <w:r>
        <w:t>3.4 Equilibrium phase stability</w:t>
      </w:r>
    </w:p>
    <w:p w14:paraId="75102A5D" w14:textId="77777777" w:rsidR="00AF521D" w:rsidRDefault="00B61A0B">
      <w:pPr>
        <w:pStyle w:val="FirstParagraph"/>
      </w:pPr>
      <w:r>
        <w:rPr>
          <w:b/>
          <w:bCs/>
        </w:rPr>
        <w:t>Fig. 7</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p>
    <w:p w14:paraId="083621A8" w14:textId="77777777" w:rsidR="00AF521D" w:rsidRDefault="00B61A0B">
      <w:pPr>
        <w:pStyle w:val="BodyText"/>
      </w:pPr>
      <w:r>
        <w:t>The benchmark alloy (</w:t>
      </w:r>
      <w:r>
        <w:rPr>
          <w:b/>
          <w:bCs/>
        </w:rPr>
        <w:t>Fig. 7a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p>
    <w:p w14:paraId="1FB5E4DA" w14:textId="77777777" w:rsidR="00AF521D" w:rsidRDefault="00B61A0B">
      <w:pPr>
        <w:pStyle w:val="BodyText"/>
      </w:pPr>
      <w:r>
        <w:t>The LLM-alloy behaves differently in every respect that matters (</w:t>
      </w:r>
      <w:r>
        <w:rPr>
          <w:b/>
          <w:bCs/>
        </w:rPr>
        <w:t>Fig. 7b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p>
    <w:p w14:paraId="2019493A" w14:textId="77777777" w:rsidR="00AF521D" w:rsidRDefault="00B61A0B">
      <w:pPr>
        <w:pStyle w:val="BodyText"/>
      </w:pPr>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p>
    <w:p w14:paraId="051AFB3C" w14:textId="77777777" w:rsidR="00AF521D" w:rsidRDefault="00B61A0B">
      <w:pPr>
        <w:pStyle w:val="BodyText"/>
      </w:pPr>
      <w:r>
        <w:rPr>
          <w:b/>
          <w:bCs/>
        </w:rPr>
        <w:t>Table 3.</w:t>
      </w:r>
      <w:r>
        <w:t xml:space="preserve"> Calculated equilibrium phase fractions (mol%) at 1200 °C, the solution-treatment temperature. The benchmark alloy cannot be evaluated in PrecHiMn-04, which contains no Ni.</w:t>
      </w:r>
    </w:p>
    <w:tbl>
      <w:tblPr>
        <w:tblStyle w:val="Table"/>
        <w:tblW w:w="0" w:type="auto"/>
        <w:tblLook w:val="0020" w:firstRow="1" w:lastRow="0" w:firstColumn="0" w:lastColumn="0" w:noHBand="0" w:noVBand="0"/>
      </w:tblPr>
      <w:tblGrid>
        <w:gridCol w:w="2466"/>
        <w:gridCol w:w="1690"/>
        <w:gridCol w:w="1690"/>
        <w:gridCol w:w="1690"/>
      </w:tblGrid>
      <w:tr w:rsidR="00AF521D" w14:paraId="507D136D" w14:textId="77777777" w:rsidTr="00AF521D">
        <w:trPr>
          <w:cnfStyle w:val="100000000000" w:firstRow="1" w:lastRow="0" w:firstColumn="0" w:lastColumn="0" w:oddVBand="0" w:evenVBand="0" w:oddHBand="0" w:evenHBand="0" w:firstRowFirstColumn="0" w:firstRowLastColumn="0" w:lastRowFirstColumn="0" w:lastRowLastColumn="0"/>
          <w:tblHeader/>
        </w:trPr>
        <w:tc>
          <w:tcPr>
            <w:tcW w:w="0" w:type="auto"/>
          </w:tcPr>
          <w:p w14:paraId="7724D302" w14:textId="77777777" w:rsidR="00AF521D" w:rsidRDefault="00B61A0B">
            <w:pPr>
              <w:pStyle w:val="Compact"/>
            </w:pPr>
            <w:r>
              <w:t>Alloy</w:t>
            </w:r>
          </w:p>
        </w:tc>
        <w:tc>
          <w:tcPr>
            <w:tcW w:w="0" w:type="auto"/>
          </w:tcPr>
          <w:p w14:paraId="5ABFE5FE" w14:textId="77777777" w:rsidR="00AF521D" w:rsidRDefault="00B61A0B">
            <w:pPr>
              <w:pStyle w:val="Compact"/>
            </w:pPr>
            <w:r>
              <w:t>mpea-02b</w:t>
            </w:r>
          </w:p>
        </w:tc>
        <w:tc>
          <w:tcPr>
            <w:tcW w:w="0" w:type="auto"/>
          </w:tcPr>
          <w:p w14:paraId="0EE71B44" w14:textId="77777777" w:rsidR="00AF521D" w:rsidRDefault="00B61A0B">
            <w:pPr>
              <w:pStyle w:val="Compact"/>
            </w:pPr>
            <w:r>
              <w:t>PrecHiMn-04</w:t>
            </w:r>
          </w:p>
        </w:tc>
        <w:tc>
          <w:tcPr>
            <w:tcW w:w="0" w:type="auto"/>
          </w:tcPr>
          <w:p w14:paraId="530DB8F3" w14:textId="77777777" w:rsidR="00AF521D" w:rsidRDefault="00B61A0B">
            <w:pPr>
              <w:pStyle w:val="Compact"/>
            </w:pPr>
            <w:r>
              <w:t>mc_fe v2.059</w:t>
            </w:r>
          </w:p>
        </w:tc>
      </w:tr>
      <w:tr w:rsidR="00AF521D" w14:paraId="2DE2B3A2" w14:textId="77777777">
        <w:tc>
          <w:tcPr>
            <w:tcW w:w="0" w:type="auto"/>
          </w:tcPr>
          <w:p w14:paraId="695F0B92" w14:textId="77777777" w:rsidR="00AF521D" w:rsidRDefault="00B61A0B">
            <w:pPr>
              <w:pStyle w:val="Compact"/>
            </w:pPr>
            <w:r>
              <w:t>benchmark alloy</w:t>
            </w:r>
          </w:p>
        </w:tc>
        <w:tc>
          <w:tcPr>
            <w:tcW w:w="0" w:type="auto"/>
          </w:tcPr>
          <w:p w14:paraId="7E4BCB1C" w14:textId="77777777" w:rsidR="00AF521D" w:rsidRDefault="00B61A0B">
            <w:pPr>
              <w:pStyle w:val="Compact"/>
            </w:pPr>
            <w:r>
              <w:t>100 α</w:t>
            </w:r>
          </w:p>
        </w:tc>
        <w:tc>
          <w:tcPr>
            <w:tcW w:w="0" w:type="auto"/>
          </w:tcPr>
          <w:p w14:paraId="3CBBE0AA" w14:textId="77777777" w:rsidR="00AF521D" w:rsidRDefault="00B61A0B">
            <w:pPr>
              <w:pStyle w:val="Compact"/>
            </w:pPr>
            <w:r>
              <w:t>–</w:t>
            </w:r>
          </w:p>
        </w:tc>
        <w:tc>
          <w:tcPr>
            <w:tcW w:w="0" w:type="auto"/>
          </w:tcPr>
          <w:p w14:paraId="0EA6BE64" w14:textId="77777777" w:rsidR="00AF521D" w:rsidRDefault="00B61A0B">
            <w:pPr>
              <w:pStyle w:val="Compact"/>
            </w:pPr>
            <w:r>
              <w:t>100 α</w:t>
            </w:r>
          </w:p>
        </w:tc>
      </w:tr>
      <w:tr w:rsidR="00AF521D" w14:paraId="022FF895" w14:textId="77777777">
        <w:tc>
          <w:tcPr>
            <w:tcW w:w="0" w:type="auto"/>
          </w:tcPr>
          <w:p w14:paraId="6D121541" w14:textId="77777777" w:rsidR="00AF521D" w:rsidRDefault="00B61A0B">
            <w:pPr>
              <w:pStyle w:val="Compact"/>
            </w:pPr>
            <w:r>
              <w:t>LLM-alloy</w:t>
            </w:r>
          </w:p>
        </w:tc>
        <w:tc>
          <w:tcPr>
            <w:tcW w:w="0" w:type="auto"/>
          </w:tcPr>
          <w:p w14:paraId="69C662C9" w14:textId="77777777" w:rsidR="00AF521D" w:rsidRDefault="00B61A0B">
            <w:pPr>
              <w:pStyle w:val="Compact"/>
            </w:pPr>
            <w:r>
              <w:t>71.1 α + 28.9 γ</w:t>
            </w:r>
          </w:p>
        </w:tc>
        <w:tc>
          <w:tcPr>
            <w:tcW w:w="0" w:type="auto"/>
          </w:tcPr>
          <w:p w14:paraId="7AC8A2BD" w14:textId="77777777" w:rsidR="00AF521D" w:rsidRDefault="00B61A0B">
            <w:pPr>
              <w:pStyle w:val="Compact"/>
            </w:pPr>
            <w:r>
              <w:t>64.5 α + 35.5 γ</w:t>
            </w:r>
          </w:p>
        </w:tc>
        <w:tc>
          <w:tcPr>
            <w:tcW w:w="0" w:type="auto"/>
          </w:tcPr>
          <w:p w14:paraId="7E18382C" w14:textId="77777777" w:rsidR="00AF521D" w:rsidRDefault="00B61A0B">
            <w:pPr>
              <w:pStyle w:val="Compact"/>
            </w:pPr>
            <w:r>
              <w:t>61.9 α + 38.1 γ</w:t>
            </w:r>
          </w:p>
        </w:tc>
      </w:tr>
      <w:tr w:rsidR="00AF521D" w14:paraId="6CC5C9A7" w14:textId="77777777">
        <w:tc>
          <w:tcPr>
            <w:tcW w:w="0" w:type="auto"/>
          </w:tcPr>
          <w:p w14:paraId="056024B4" w14:textId="77777777" w:rsidR="00AF521D" w:rsidRDefault="00B61A0B">
            <w:pPr>
              <w:pStyle w:val="Compact"/>
            </w:pPr>
            <w:r>
              <w:t>LLM-alloy, C removed</w:t>
            </w:r>
          </w:p>
        </w:tc>
        <w:tc>
          <w:tcPr>
            <w:tcW w:w="0" w:type="auto"/>
          </w:tcPr>
          <w:p w14:paraId="546CC630" w14:textId="77777777" w:rsidR="00AF521D" w:rsidRDefault="00B61A0B">
            <w:pPr>
              <w:pStyle w:val="Compact"/>
            </w:pPr>
            <w:r>
              <w:t>100 α</w:t>
            </w:r>
          </w:p>
        </w:tc>
        <w:tc>
          <w:tcPr>
            <w:tcW w:w="0" w:type="auto"/>
          </w:tcPr>
          <w:p w14:paraId="6BFC0421" w14:textId="77777777" w:rsidR="00AF521D" w:rsidRDefault="00B61A0B">
            <w:pPr>
              <w:pStyle w:val="Compact"/>
            </w:pPr>
            <w:r>
              <w:t>100 α</w:t>
            </w:r>
          </w:p>
        </w:tc>
        <w:tc>
          <w:tcPr>
            <w:tcW w:w="0" w:type="auto"/>
          </w:tcPr>
          <w:p w14:paraId="3E375BB3" w14:textId="77777777" w:rsidR="00AF521D" w:rsidRDefault="00B61A0B">
            <w:pPr>
              <w:pStyle w:val="Compact"/>
            </w:pPr>
            <w:r>
              <w:t>100 α</w:t>
            </w:r>
          </w:p>
        </w:tc>
      </w:tr>
    </w:tbl>
    <w:p w14:paraId="7AD5ED85" w14:textId="77777777" w:rsidR="00AF521D" w:rsidRDefault="00B61A0B">
      <w:pPr>
        <w:pStyle w:val="BodyText"/>
      </w:pPr>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 </w:t>
      </w:r>
      <w:r>
        <w:rPr>
          <w:b/>
          <w:bCs/>
        </w:rPr>
        <w:t>With carbon at its measured 0.45 at%, the α solvus does not move at all: it sits at 1340 °C at every nickel content from 4.2 to 7.8 at%, unchanged to within the 10 °C step of the calculation.</w:t>
      </w:r>
      <w:r>
        <w:t xml:space="preserve"> With carbon removed, the solvus lies between 1150 and 1190 °C over the same nickel range and the alloy is 100% α at 1200 °C at every point in it. Carbon moves the solvus by ≈190 °C; nickel moves it by ≈0 °C when carbon is present, and by ≈40 °C when it is not — upward, in the unhelpful direction.</w:t>
      </w:r>
    </w:p>
    <w:p w14:paraId="7C061035" w14:textId="77777777" w:rsidR="00AF521D" w:rsidRDefault="00B61A0B">
      <w:pPr>
        <w:pStyle w:val="BodyText"/>
      </w:pPr>
      <w:r>
        <w:t>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several hundred degrees below the corresponding solidus, and 1200 °C again lies inside a fu</w:t>
      </w:r>
      <w:r>
        <w:t>lly single-phase α field. The two databases do differ on one secondary point, and it is reported rather than reconciled: at 1200 °C with carbon present, added nickel makes the alloy slightly more austenitic in mpea-02b (bcc 71.1 → 59.6%) and slightly more ferritic in mc_fe (bcc 61.9 → 75.8%). The defensible statement is therefore that nickel does not open the solution-treatment window, not that it measurably closes it further.</w:t>
      </w:r>
    </w:p>
    <w:p w14:paraId="0FA8BC11" w14:textId="77777777" w:rsidR="00AF521D" w:rsidRDefault="00B61A0B">
      <w:pPr>
        <w:pStyle w:val="BodyText"/>
      </w:pPr>
      <w:r>
        <w:t>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Five of the 1240 points in the mpea-02b scan failed to converge, all at 400–425 °C in the carbon-bearing series at the three lowest nickel contents; they are reported as gaps rather than as zeros.</w:t>
      </w:r>
      <w:r>
        <w:t xml:space="preserve"> At the measured nickel content the scan reproduces the ordering curve of</w:t>
      </w:r>
      <w:r>
        <w:t xml:space="preserve"> </w:t>
      </w:r>
      <w:r>
        <w:rPr>
          <w:b/>
          <w:bCs/>
        </w:rPr>
        <w:t>Fig. 7b</w:t>
      </w:r>
      <w:r>
        <w:t>, which is the internal check that it is consistent with the primary calculation.</w:t>
      </w:r>
    </w:p>
    <w:p w14:paraId="57438090" w14:textId="77777777" w:rsidR="00AF521D" w:rsidRDefault="00B61A0B">
      <w:pPr>
        <w:pStyle w:val="BodyText"/>
      </w:pPr>
      <w:r>
        <w:t xml:space="preserve">A third question follows from Sec. 2.1. Because the composition melted lies outside the aluminum and manganese range of the hypothesis it was drawn from, the outcome reported here might be an artifact of that deviation rather than a property of what was proposed. It is not, and the point is worth settling by calculation rather than argument. Compositions inside the proposed window were evaluated on the same basis in the same database, and </w:t>
      </w:r>
      <w:r>
        <w:rPr>
          <w:b/>
          <w:bCs/>
        </w:rPr>
        <w:t>no composition anywhere in that window has a single-phase α field at the solution-treatment temperature</w:t>
      </w:r>
      <w:r>
        <w:t xml:space="preserve">. At the window’s midpoint, Fe-25Mn-10Al-4.5Ni-2.5Si-0.2C (wt%), the solvus is 1380 °C — </w:t>
      </w:r>
      <w:r>
        <w:rPr>
          <w:i/>
          <w:iCs/>
        </w:rPr>
        <w:t>higher</w:t>
      </w:r>
      <w:r>
        <w:t xml:space="preserve"> </w:t>
      </w:r>
      <w:r>
        <w:t>than the 1330 °C of the alloy actually melted, because taking the middle of the range takes the middle of its carbon range along with it. At the corner most favourable to ferrite, Mn 20, Al 12, Ni 6, C 0.1 wt%, which is the extreme of what the window permits, the solvus falls to 1230–1240 °C and 1200 °C still lies below it, at 98.2% α + 1.8% γ; and the bcc there is calculated to be ordered rather than disordered, so even that corner does not deliver the disordered α parent the route requires. At the opposit</w:t>
      </w:r>
      <w:r>
        <w:t>e corner no single-phase field exists below 1400 °C at all. Stepping aluminum alone from the 6.4 wt% melted to the window’s 12 wt% ceiling, holding everything else at the measured values, raises the α fraction at 1200 °C from 76.0 to 97.3% but lowers the solvus only from 1330 to 1270 °C, never far enough. The aluminum deviation is therefore real, and it does move the alloy in the direction observed, but it is not what closed the processing window. Carbon is — and carbon was specified by the hypothesis itsel</w:t>
      </w:r>
      <w:r>
        <w:t>f, at 0.1–0.3 wt%, with the melt taking the minimum value permitted. Every other carbon content the window allows would have been worse. As elsewhere in this section, mpea-02b carries no silicon and the silicon was folded into iron; that approximation is weakest at the ferritic corner, where silicon reaches 6.8 at%. The same four compositions were therefore re-run in mc_fe, which carries all six elements, and reach the same conclusion by a different route: none is single-phase α at 1200 °C there either, thr</w:t>
      </w:r>
      <w:r>
        <w:t>ee being partly molten at that temperature and the fourth fully austenitic. The two databases continue to disagree about the solidus, as they already do for the measured composition, and the disagreement is not reconciled here; what they agree on is that the window contains no composition that can be solution-treated to single-phase α.</w:t>
      </w:r>
    </w:p>
    <w:p w14:paraId="53A7EA7B" w14:textId="77777777" w:rsidR="00AF521D" w:rsidRDefault="00B61A0B">
      <w:pPr>
        <w:pStyle w:val="BodyText"/>
      </w:pPr>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p>
    <w:p w14:paraId="6BDB462D" w14:textId="77777777" w:rsidR="00AF521D" w:rsidRDefault="00B61A0B">
      <w:pPr>
        <w:pStyle w:val="CaptionedFigure"/>
      </w:pPr>
      <w:r>
        <w:rPr>
          <w:noProof/>
        </w:rPr>
        <w:drawing>
          <wp:inline distT="0" distB="0" distL="0" distR="0">
            <wp:extent cx="5943600" cy="2724150"/>
            <wp:effectExtent l="0" t="0" r="0" b="0"/>
            <wp:docPr id="50" name="Picture" descr="Fig. 7. 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1" name="Picture" descr="figures/Figure_7.png"/>
                    <pic:cNvPicPr>
                      <a:picLocks noChangeAspect="1" noChangeArrowheads="1"/>
                    </pic:cNvPicPr>
                  </pic:nvPicPr>
                  <pic:blipFill>
                    <a:blip r:embed="rId11"/>
                    <a:stretch>
                      <a:fillRect/>
                    </a:stretch>
                  </pic:blipFill>
                  <pic:spPr bwMode="auto">
                    <a:xfrm>
                      <a:off x="0" y="0"/>
                      <a:ext cx="5943600" cy="2724150"/>
                    </a:xfrm>
                    <a:prstGeom prst="rect">
                      <a:avLst/>
                    </a:prstGeom>
                    <a:noFill/>
                    <a:ln w="9525">
                      <a:noFill/>
                      <a:headEnd/>
                      <a:tailEnd/>
                    </a:ln>
                  </pic:spPr>
                </pic:pic>
              </a:graphicData>
            </a:graphic>
          </wp:inline>
        </w:drawing>
      </w:r>
    </w:p>
    <w:p w14:paraId="56200FDA" w14:textId="77777777" w:rsidR="00AF521D" w:rsidRDefault="00B61A0B">
      <w:pPr>
        <w:pStyle w:val="ImageCaption"/>
      </w:pPr>
      <w:r>
        <w:rPr>
          <w:b/>
          <w:bCs/>
        </w:rPr>
        <w:t>Fig. 7.</w:t>
      </w:r>
      <w:r>
        <w:t xml:space="preserve"> </w:t>
      </w:r>
      <w:r>
        <w:t>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w:t>
      </w:r>
      <w:r>
        <w:t>e because B2 is an ordered partition of that phase rather than a separate one. The dashed line marks the 1200 °C solution-treatment temperature. The carbon-free control composition is reported in Table 3.</w:t>
      </w:r>
    </w:p>
    <w:p w14:paraId="270D006E" w14:textId="77777777" w:rsidR="00AF521D" w:rsidRDefault="00B61A0B">
      <w:r>
        <w:pict>
          <v:rect id="_x0000_i1029" style="width:0;height:1.5pt" o:hralign="center" o:hrstd="t" o:hr="t"/>
        </w:pict>
      </w:r>
    </w:p>
    <w:p w14:paraId="38D63475" w14:textId="77777777" w:rsidR="00AF521D" w:rsidRDefault="00B61A0B">
      <w:pPr>
        <w:pStyle w:val="Heading1"/>
      </w:pPr>
      <w:bookmarkStart w:id="14" w:name="discussion"/>
      <w:bookmarkEnd w:id="9"/>
      <w:bookmarkEnd w:id="13"/>
      <w:r>
        <w:t>4. Discussion</w:t>
      </w:r>
    </w:p>
    <w:p w14:paraId="0CA744B3" w14:textId="77777777" w:rsidR="00AF521D" w:rsidRDefault="00B61A0B">
      <w:pPr>
        <w:pStyle w:val="Heading2"/>
      </w:pPr>
      <w:bookmarkStart w:id="15" w:name="X58357b202da789a88ec9478e0111cd3c94b5213"/>
      <w:r>
        <w:t>4.1 Origin of the absence of stress-induced phase transformation</w:t>
      </w:r>
    </w:p>
    <w:p w14:paraId="0803327D" w14:textId="501C06B1" w:rsidR="00AF521D" w:rsidRDefault="00B61A0B">
      <w:pPr>
        <w:pStyle w:val="FirstParagraph"/>
      </w:pPr>
      <w:r>
        <w:t xml:space="preserve">The failure of the </w:t>
      </w:r>
      <w:r>
        <w:t>LLM</w:t>
      </w:r>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r>
        <w:t>LLM</w:t>
      </w:r>
      <w:r>
        <w:t>-alloy is structurally dominated by the γ-phase (≈62%), whereas the α-phase accounts for only ≈</w:t>
      </w:r>
      <w:r>
        <w:t>34</w:t>
      </w:r>
      <w:r>
        <w:t>% of the volume fraction</w:t>
      </w:r>
      <w:r>
        <w:t>, with a further ≈4% present as ordered D0₃</w:t>
      </w:r>
      <w:r>
        <w:t xml:space="preserve"> (Sec. 3.3). Compared to the </w:t>
      </w:r>
      <w:r>
        <w:t>benchmark</w:t>
      </w:r>
      <w:r>
        <w:t xml:space="preserve"> alloy (43.5Fe-34Mn-15Al-7.5Ni at%), the </w:t>
      </w:r>
      <w:r>
        <w:t>LLM-</w:t>
      </w:r>
      <w:r>
        <w:t>alloy has less Mn, Al, and Ni, but higher Fe, Si, and C. It is known that Fe, Si, and Al stabilize the BCC α-phase, while Mn, Ni, and C stabilize the FCC γ-phase</w:t>
      </w:r>
      <w:r>
        <w:t xml:space="preserve"> [</w:t>
      </w:r>
      <w:r>
        <w:t>32</w:t>
      </w:r>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r>
        <w:t>, and the equilibrium calculations of Sec. 3.4 identify carbon as the element that closes the single-phase α field at the solution-treatment temperature (Sec. 4.2).</w:t>
      </w:r>
    </w:p>
    <w:p w14:paraId="7DB4A65F" w14:textId="77777777" w:rsidR="00AF521D" w:rsidRDefault="00B61A0B">
      <w:pPr>
        <w:pStyle w:val="BodyText"/>
      </w:pPr>
      <w:r>
        <w:t>What was and was not anticipated can be stated precisely rather than from recollection, because the design report survives and is supplied as Supplementary Material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w:t>
      </w:r>
      <w:r>
        <w:t>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w:t>
      </w:r>
      <w:r>
        <w:t>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p>
    <w:p w14:paraId="165F76DC" w14:textId="77777777" w:rsidR="00AF521D" w:rsidRDefault="00B61A0B">
      <w:pPr>
        <w:pStyle w:val="BodyText"/>
      </w:pPr>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It also explains why the microstructure is insensitive to annealing time — the duplex state survives 40 minutes at 1200 °C (</w:t>
      </w:r>
      <w:r>
        <w:rPr>
          <w:b/>
          <w:bCs/>
        </w:rPr>
        <w:t>Fig. 1c</w:t>
      </w:r>
      <w:r>
        <w:t>) and the full AGG cycle (Sec. 3.3) because it is the equilibrium state at that temperature, not an incompletely transformed one. That the same calculations independently reproduce the benchmark alloy’s single-phase α field and its ≈20% ordered B2 (</w:t>
      </w:r>
      <w:r>
        <w:rPr>
          <w:b/>
          <w:bCs/>
        </w:rPr>
        <w:t>Fig. 7a</w:t>
      </w:r>
      <w:r>
        <w:t>), neither of which was fitted here, is what licenses their application to the test alloy.</w:t>
      </w:r>
    </w:p>
    <w:p w14:paraId="675FA292" w14:textId="77777777" w:rsidR="00AF521D" w:rsidRDefault="00B61A0B">
      <w:pPr>
        <w:pStyle w:val="BodyText"/>
      </w:pPr>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We note it as the reading the present data favor rather than a</w:t>
      </w:r>
      <w:r>
        <w:t>s an established result; direct calorimetric measurement of the transformation temperatures is required to confirm it, and is the most informative single experiment remaining on this alloy.</w:t>
      </w:r>
    </w:p>
    <w:p w14:paraId="5AECB446" w14:textId="77777777" w:rsidR="00AF521D" w:rsidRDefault="00B61A0B">
      <w:pPr>
        <w:pStyle w:val="BodyText"/>
      </w:pPr>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2f</w:t>
      </w:r>
      <w:r>
        <w:t>) to induce any pseudo-elastic response.</w:t>
      </w:r>
    </w:p>
    <w:p w14:paraId="45CCB739" w14:textId="77777777" w:rsidR="00AF521D" w:rsidRDefault="00B61A0B">
      <w:pPr>
        <w:pStyle w:val="BodyText"/>
      </w:pPr>
      <w:r>
        <w:t>One asymmetry in the experimental design is worth making explicit, because it bears directly on whether the processing route was simply the wrong route for this composition. The two alloys were not treated identically in the respect that matters most for ageing. The LLM-alloy received the 200 °C / 3 h age reported to improve pseudo-elasticity in this family [30,31] and showed no response whatever (</w:t>
      </w:r>
      <w:r>
        <w:rPr>
          <w:b/>
          <w:bCs/>
        </w:rPr>
        <w:t>Fig. 2f</w:t>
      </w:r>
      <w:r>
        <w:t xml:space="preserve">, indistinguishable from the unaged </w:t>
      </w:r>
      <w:r>
        <w:rPr>
          <w:b/>
          <w:bCs/>
        </w:rPr>
        <w:t>Fig. 2e</w:t>
      </w:r>
      <w:r>
        <w:t xml:space="preserve">). The benchmark in </w:t>
      </w:r>
      <w:r>
        <w:rPr>
          <w:b/>
          <w:bCs/>
        </w:rPr>
        <w:t>Fig. 3b</w:t>
      </w:r>
      <w:r>
        <w:t xml:space="preserve"> </w:t>
      </w:r>
      <w:r>
        <w:t>received no age at all — 1200 °C for 1 min and cooling, nothing more — and still showed reverse transformation on heating. Whatever bias the shared route carries therefore runs in the LLM-alloy’s favour rather than against it, and the null result cannot be attributed to an ageing treatment that was withheld. This is not the same as claiming the route was optimal for the LLM composition: no route was optimised for either alloy, and whether some other solution or ageing window could unlock a transformation in</w:t>
      </w:r>
      <w:r>
        <w:t xml:space="preserve"> this chemistry is untested and is named as such in Sec. 4.4.</w:t>
      </w:r>
    </w:p>
    <w:p w14:paraId="599DDEB8" w14:textId="234DC82A" w:rsidR="00AF521D" w:rsidRDefault="00B61A0B">
      <w:pPr>
        <w:pStyle w:val="BodyText"/>
      </w:pPr>
      <w:r>
        <w:t xml:space="preserve">Furthermore, mechanical and structural analyses indicate that the </w:t>
      </w:r>
      <w:r>
        <w:t>LLM</w:t>
      </w:r>
      <w:r>
        <w:t xml:space="preserve">-alloy accommodates macroscopic deformation via irreversible dislocation slip rather than phase transitions. </w:t>
      </w:r>
      <w:r>
        <w:t>Coherent</w:t>
      </w:r>
      <w:r>
        <w:t xml:space="preserve">, ordered β-NiAl (B2) precipitates within </w:t>
      </w:r>
      <w:r>
        <w:t>a</w:t>
      </w:r>
      <w:r>
        <w:t xml:space="preserve"> BCC matrix </w:t>
      </w:r>
      <w:r>
        <w:t xml:space="preserve">contribute </w:t>
      </w:r>
      <w:r>
        <w:t>to</w:t>
      </w:r>
      <w:r>
        <w:t xml:space="preserve">, rather than solely determine, the </w:t>
      </w:r>
      <w:r>
        <w:t>transformation reversibility</w:t>
      </w:r>
      <w:r>
        <w:t xml:space="preserve"> of</w:t>
      </w:r>
      <w:r>
        <w:t xml:space="preserve"> the </w:t>
      </w:r>
      <w:r>
        <w:t>benchmark [33]</w:t>
      </w:r>
      <w:r>
        <w:t>; parent-</w:t>
      </w:r>
      <w:r>
        <w:t>phase</w:t>
      </w:r>
      <w:r>
        <w:t xml:space="preserve"> stability, transformation temperature, grain size, crystallographic orientation and texture, and</w:t>
      </w:r>
      <w:r>
        <w:t xml:space="preserve"> the </w:t>
      </w:r>
      <w:r>
        <w:t xml:space="preserve">competition between the transformation stress and the plastic yield stress all bear on whether a stress-induced transformation can proceed reversibly. The </w:t>
      </w:r>
      <w:r>
        <w:t>precipitates</w:t>
      </w:r>
      <w:r>
        <w:t xml:space="preserve"> are not even a purely mechanical contribution: by drawing Ni and Al out of solution they alter the composition of</w:t>
      </w:r>
      <w:r>
        <w:t xml:space="preserve"> the matrix </w:t>
      </w:r>
      <w:r>
        <w:t>that surrounds them, and hence its transformation temperatures, so that the same ageing treatment shifts both the obstacle field and the thermodynamic setting in which the transformation must occur</w:t>
      </w:r>
      <w:r>
        <w:t xml:space="preserve"> [34]</w:t>
      </w:r>
      <w:r>
        <w:t>. In the LLM-alloy the ordered phase that forms is D0₃ Fe₃Al, present as a bulk constituent rather than as a fine coherent dispersion, so it does not raise the</w:t>
      </w:r>
      <w:r>
        <w:t xml:space="preserve"> resistance to plastic flow</w:t>
      </w:r>
      <w:r>
        <w:t xml:space="preserve"> in the way that B2 does in the benchmark</w:t>
      </w:r>
      <w:r>
        <w:t xml:space="preserve">. This is confirmed by the post-deformation synchrotron XRD patterns, where the transition from sharp, discrete spots to broad, partially arced rings reflects dislocation multiplication and sub-grain formation. Thus, the microstructural state of the </w:t>
      </w:r>
      <w:r>
        <w:t>LLM</w:t>
      </w:r>
      <w:r>
        <w:t>-alloy remains highly stable at 1200 °C, favoring dislocation- or twinning-mediated plasticity over stress-induced martensitic transformation.</w:t>
      </w:r>
    </w:p>
    <w:p w14:paraId="187630F5" w14:textId="77777777" w:rsidR="00AF521D" w:rsidRDefault="00B61A0B">
      <w:pPr>
        <w:pStyle w:val="Heading2"/>
      </w:pPr>
      <w:bookmarkStart w:id="16" w:name="the-role-of-carbon"/>
      <w:bookmarkEnd w:id="15"/>
      <w:r>
        <w:t>4.2</w:t>
      </w:r>
      <w:r>
        <w:t xml:space="preserve"> The role of carbon</w:t>
      </w:r>
    </w:p>
    <w:p w14:paraId="0940E101" w14:textId="77777777" w:rsidR="00AF521D" w:rsidRDefault="00B61A0B">
      <w:pPr>
        <w:pStyle w:val="FirstParagraph"/>
      </w:pPr>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p>
    <w:p w14:paraId="1904871B" w14:textId="77777777" w:rsidR="00AF521D" w:rsidRDefault="00B61A0B">
      <w:pPr>
        <w:pStyle w:val="BodyText"/>
      </w:pPr>
      <w:r>
        <w:t xml:space="preserve">A shortcut is available before that control, and it fails in a way worth recording, because reasoning of exactly this kind is what proposed the alloy. Austenite-stabilising potency is conventionally summarised by a Schaeffler-type nickel equivalent, Ni_eq = Ni + 30C + 0.5Mn in weight percent, in which carbon carries thirty times the weight of nickel and which would appear to settle the question immediately. Evaluated on the measured chemistries it returns </w:t>
      </w:r>
      <w:r>
        <w:rPr>
          <w:b/>
          <w:bCs/>
        </w:rPr>
        <w:t>23.9 for the LLM-alloy against 27.5 for the benchmark</w:t>
      </w:r>
      <w:r>
        <w:t xml:space="preserve"> — ranking the benchmark as the </w:t>
      </w:r>
      <w:r>
        <w:rPr>
          <w:i/>
          <w:iCs/>
        </w:rPr>
        <w:t>more</w:t>
      </w:r>
      <w:r>
        <w:t xml:space="preserve"> </w:t>
      </w:r>
      <w:r>
        <w:t xml:space="preserve">austenite-stabilised of the two, the opposite of what both the calculations of Sec. 3.4 and the diffraction of Sec. 3.3 show. Two things defeat it. First, the expression carries no aluminium term at all, yet aluminium is the second-largest addition in both alloys (6.2 and 8.0 wt%) and the strongest ferrite stabiliser either of them contains; the difference in aluminium between the two heats is invisible to the formula. Second, the carbon term is a weight-percent term, and the distinction is not cosmetic at </w:t>
      </w:r>
      <w:r>
        <w:t>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aluminium is absent an</w:t>
      </w:r>
      <w:r>
        <w:t>d chromium supplies the ferrite stabilisation,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p>
    <w:p w14:paraId="5DBFE2EF" w14:textId="77777777" w:rsidR="00AF521D" w:rsidRDefault="00B61A0B">
      <w:pPr>
        <w:pStyle w:val="BodyText"/>
      </w:pPr>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p>
    <w:p w14:paraId="2571D9A5" w14:textId="77777777" w:rsidR="00AF521D" w:rsidRDefault="00B61A0B">
      <w:pPr>
        <w:pStyle w:val="BodyText"/>
      </w:pPr>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w:t>
      </w:r>
      <w:r>
        <w:t>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has no influence whatever on the α solvus — with carbon present it stays at 1340 °C from 4.2 to 7.8 at% Ni, unchanged to within the resolution of the calculation — so</w:t>
      </w:r>
      <w:r>
        <w:t xml:space="preserve"> </w:t>
      </w:r>
      <w:r>
        <w:rPr>
          <w:b/>
          <w:bCs/>
        </w:rPr>
        <w:t>restoring the benchmark’s own nickel content to this alloy would not have opened the solution-treatment window by a single degree.</w:t>
      </w:r>
      <w:r>
        <w:t xml:space="preserve"> </w:t>
      </w:r>
      <w:r>
        <w:t>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the lower nickel content cannot substitute for carbon as its cause.</w:t>
      </w:r>
    </w:p>
    <w:p w14:paraId="1BB75B39" w14:textId="77777777" w:rsidR="00AF521D" w:rsidRDefault="00B61A0B">
      <w:pPr>
        <w:pStyle w:val="BodyText"/>
      </w:pPr>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[35]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p>
    <w:p w14:paraId="643349BC" w14:textId="77777777" w:rsidR="00AF521D" w:rsidRDefault="00B61A0B">
      <w:pPr>
        <w:pStyle w:val="BodyText"/>
      </w:pPr>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7b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p>
    <w:p w14:paraId="1EA09BB3" w14:textId="77777777" w:rsidR="00AF521D" w:rsidRDefault="00B61A0B">
      <w:pPr>
        <w:pStyle w:val="BodyText"/>
      </w:pPr>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p>
    <w:p w14:paraId="1281D2CF" w14:textId="77777777" w:rsidR="00AF521D" w:rsidRDefault="00B61A0B">
      <w:pPr>
        <w:pStyle w:val="BodyText"/>
      </w:pPr>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p>
    <w:p w14:paraId="19810C32" w14:textId="77777777" w:rsidR="00AF521D" w:rsidRDefault="00B61A0B">
      <w:pPr>
        <w:pStyle w:val="BodyText"/>
      </w:pPr>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p>
    <w:p w14:paraId="06BD8819" w14:textId="77777777" w:rsidR="00AF521D" w:rsidRDefault="00B61A0B">
      <w:pPr>
        <w:pStyle w:val="Heading2"/>
      </w:pPr>
      <w:bookmarkStart w:id="17" w:name="X14190cefc5af7e6c61eb8a7f0ac8ec72264613c"/>
      <w:bookmarkEnd w:id="16"/>
      <w:r>
        <w:t>4.3</w:t>
      </w:r>
      <w:r>
        <w:t xml:space="preserve"> Anneal-temperature dependence of mechanical properties</w:t>
      </w:r>
    </w:p>
    <w:p w14:paraId="301AE7D2" w14:textId="7A04B544" w:rsidR="00AF521D" w:rsidRDefault="00B61A0B">
      <w:pPr>
        <w:pStyle w:val="FirstParagraph"/>
      </w:pPr>
      <w:r>
        <w:t xml:space="preserve">Although the </w:t>
      </w:r>
      <w:r>
        <w:t>LLM-</w:t>
      </w:r>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133C3ABC" w14:textId="77777777" w:rsidR="00AF521D" w:rsidRDefault="00B61A0B">
      <w:pPr>
        <w:pStyle w:val="BodyText"/>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08A5F0CD" w14:textId="1750249D" w:rsidR="00AF521D" w:rsidRDefault="00B61A0B">
      <w:pPr>
        <w:pStyle w:val="BodyText"/>
      </w:pPr>
      <w:r>
        <w:t xml:space="preserve">The abrupt change near 800 °C </w:t>
      </w:r>
      <w:r>
        <w:t>is consistent with</w:t>
      </w:r>
      <w:r>
        <w:t xml:space="preserve"> the onset of recrystallization. Elongation jumps from 2.2% at 700 °C to 24.0% at 800 °C, while tensile strength falls from 2009 to 1216 MPa and yield strength from 1683 to 1167 MPa. </w:t>
      </w:r>
      <w:r>
        <w:t>A</w:t>
      </w:r>
      <w:r>
        <w:t xml:space="preserve"> discontinuity</w:t>
      </w:r>
      <w:r>
        <w:t xml:space="preserve"> of this kind</w:t>
      </w:r>
      <w:r>
        <w:t xml:space="preserve"> — rather than a smooth softening — is the signature of recrystallization: new equiaxed, strain-free grains nucleate and consume the deformed matrix, removing most of the stored dislocation content and abruptly restoring ductility. </w:t>
      </w:r>
      <w:r>
        <w:t>We infer the recrystallization threshold from the mechanical response rather than observe it directly, since micrographs were not taken at every anneal temperature; electron backscatter diffraction across the anneal series would settle it</w:t>
      </w:r>
      <w:r>
        <w:t>.</w:t>
      </w:r>
    </w:p>
    <w:p w14:paraId="6113AC48" w14:textId="27A6E9E9" w:rsidR="00AF521D" w:rsidRDefault="00B61A0B">
      <w:pPr>
        <w:pStyle w:val="BodyText"/>
      </w:pPr>
      <w:r>
        <w:t xml:space="preserve">From 800 to 1200 °C the </w:t>
      </w:r>
      <w:r>
        <w:t>behaviour</w:t>
      </w:r>
      <w:r>
        <w:t xml:space="preserve"> is </w:t>
      </w:r>
      <w:r>
        <w:t>that of a</w:t>
      </w:r>
      <w:r>
        <w:t xml:space="preserve"> recrystallized </w:t>
      </w:r>
      <w:r>
        <w:t>wire in which</w:t>
      </w:r>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r>
        <w:t>structural metal</w:t>
      </w:r>
      <w:r>
        <w:t xml:space="preserve"> whose flow stress is grain-size controlled</w:t>
      </w:r>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4AC52EC1" w14:textId="49686570" w:rsidR="00AF521D" w:rsidRDefault="00B61A0B">
      <w:pPr>
        <w:pStyle w:val="BodyText"/>
      </w:pPr>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502–673 MPa, UTS 938–967 MPa, elongation 23.9–33.4%),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p>
    <w:p w14:paraId="099F91D6" w14:textId="77777777" w:rsidR="00AF521D" w:rsidRDefault="00B61A0B">
      <w:pPr>
        <w:pStyle w:val="Heading2"/>
      </w:pPr>
      <w:bookmarkStart w:id="18" w:name="implications-for-ai-guided-alloy-design"/>
      <w:bookmarkEnd w:id="17"/>
      <w:r>
        <w:t>4.4</w:t>
      </w:r>
      <w:r>
        <w:t xml:space="preserve"> Implications for AI-guided alloy design</w:t>
      </w:r>
    </w:p>
    <w:p w14:paraId="49AA6B8D" w14:textId="450852B4" w:rsidR="00AF521D" w:rsidRDefault="00B61A0B">
      <w:pPr>
        <w:pStyle w:val="FirstParagraph"/>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r>
        <w:t>LLM</w:t>
      </w:r>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29ECCB87" w14:textId="77777777" w:rsidR="00AF521D" w:rsidRDefault="00B61A0B">
      <w:pPr>
        <w:pStyle w:val="BodyText"/>
      </w:pPr>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What makes this more </w:t>
      </w:r>
      <w:r>
        <w:t>than a general caution is that the report itself named the missing step. Its recommendations call for</w:t>
      </w:r>
      <w:r>
        <w:t xml:space="preserve"> “computational tools, such as CALPHAD for phase diagram prediction and precipitate stability, and Density Functional Theory for understanding precipitate–matrix coherency and energetics” to be “employed to guide experimental design” </w:t>
      </w:r>
      <w:r>
        <w:t>—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w:t>
      </w:r>
      <w:r>
        <w:t>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p>
    <w:p w14:paraId="7C48C292" w14:textId="77777777" w:rsidR="00AF521D" w:rsidRDefault="00B61A0B">
      <w:pPr>
        <w:pStyle w:val="BodyText"/>
      </w:pPr>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Three specific tests remain open, and are named</w:t>
      </w:r>
      <w:r>
        <w:t xml:space="preserve"> here rather than left implicit. A solution-and-ageing window optimised for this composition, rather than inherited from the benchmark, would establish whether any accessible treatment can produce a transforming state — the route used here was biased in the LLM-alloy’s favour (Sec. 4.1) but was not optimised for it. An in-situ or loading-stage diffraction measurement would observe the material under load instead of after unloading, closing the one gap that ex-situ patterns cannot (Sec. 3.3). And the carbon-</w:t>
      </w:r>
      <w:r>
        <w:t>free heat of Sec. 4.2 remains the direct experimental form of the control that was performed here in silico. None of the three is expected to overturn the phase-stability diagnosis, which rests on where the single-phase α field lies relative to the annealing limit and is therefore a property of the composition rather than of the treatment; but each bounds a different part of the claim, and the paper does not assert what they would show. What generalises is narrower, and we think more useful. The failure mod</w:t>
      </w:r>
      <w:r>
        <w:t>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and it is the claim we mak</w:t>
      </w:r>
      <w:r>
        <w:t>e.</w:t>
      </w:r>
    </w:p>
    <w:p w14:paraId="0E5D54A7" w14:textId="77777777" w:rsidR="00AF521D" w:rsidRDefault="00B61A0B">
      <w:pPr>
        <w:pStyle w:val="BodyText"/>
      </w:pPr>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p>
    <w:p w14:paraId="2D8536A7" w14:textId="77777777" w:rsidR="00AF521D" w:rsidRDefault="00B61A0B">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6A8E700B" w14:textId="77777777" w:rsidR="00AF521D" w:rsidRDefault="00B61A0B">
      <w:r>
        <w:pict>
          <v:rect id="_x0000_i1030" style="width:0;height:1.5pt" o:hralign="center" o:hrstd="t" o:hr="t"/>
        </w:pict>
      </w:r>
    </w:p>
    <w:p w14:paraId="756D4BDB" w14:textId="77777777" w:rsidR="00AF521D" w:rsidRDefault="00B61A0B">
      <w:pPr>
        <w:pStyle w:val="Heading1"/>
      </w:pPr>
      <w:bookmarkStart w:id="19" w:name="conclusions"/>
      <w:bookmarkEnd w:id="14"/>
      <w:bookmarkEnd w:id="18"/>
      <w:r>
        <w:t>5. Conclusions</w:t>
      </w:r>
    </w:p>
    <w:p w14:paraId="7D04060B" w14:textId="6B599523" w:rsidR="00AF521D" w:rsidRDefault="00B61A0B">
      <w:pPr>
        <w:pStyle w:val="FirstParagraph"/>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r>
        <w:t>under the same nominal processing route</w:t>
      </w:r>
      <w:r>
        <w:t>.</w:t>
      </w:r>
    </w:p>
    <w:p w14:paraId="1E68CD02" w14:textId="77777777" w:rsidR="00AF521D" w:rsidRDefault="00B61A0B">
      <w:pPr>
        <w:pStyle w:val="BodyText"/>
      </w:pPr>
      <w:r>
        <w:t>What was observed is the following. The LLM-alloy proved readily castable and drew to 0.36 mm wire without difficulty. Across seven anneal temperatures its 0.2% proof stress fell from 1948 to 502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w:t>
      </w:r>
      <w:r>
        <w:t>g. Synchrotron diffraction found the LLM-alloy to be a duplex FCC γ + BCC α mixture carrying a minor ordered D0₃ Fe₃Al phase, with a pattern unchanged by 10% strain, whereas the benchmark’s diffracted intensities changed markedly with deformation.</w:t>
      </w:r>
    </w:p>
    <w:p w14:paraId="358D86B1" w14:textId="77777777" w:rsidR="00AF521D" w:rsidRDefault="00B61A0B">
      <w:pPr>
        <w:pStyle w:val="BodyText"/>
      </w:pPr>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p>
    <w:p w14:paraId="1174FA49" w14:textId="77777777" w:rsidR="00AF521D" w:rsidRDefault="00B61A0B">
      <w:pPr>
        <w:pStyle w:val="BodyText"/>
      </w:pPr>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p>
    <w:p w14:paraId="4FB28F05" w14:textId="66BB4012" w:rsidR="00AF521D" w:rsidRDefault="00B61A0B">
      <w:pPr>
        <w:pStyle w:val="BodyText"/>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p>
    <w:p w14:paraId="10259E1E" w14:textId="77777777" w:rsidR="00AF521D" w:rsidRDefault="00B61A0B">
      <w:pPr>
        <w:pStyle w:val="BodyText"/>
      </w:pPr>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r>
        <w:t>, this work demonstrates the value of experimentally validating AI-generated hypotheses and suggests that future models incorporating kinetic effects, phase transformations, and processing history may become powerful tools for accelerated alloy discovery.</w:t>
      </w:r>
    </w:p>
    <w:p w14:paraId="0E2F9C93" w14:textId="77777777" w:rsidR="00AF521D" w:rsidRDefault="00B61A0B">
      <w:r>
        <w:pict>
          <v:rect id="_x0000_i1031" style="width:0;height:1.5pt" o:hralign="center" o:hrstd="t" o:hr="t"/>
        </w:pict>
      </w:r>
    </w:p>
    <w:p w14:paraId="5396654E" w14:textId="77777777" w:rsidR="00AF521D" w:rsidRDefault="00B61A0B">
      <w:pPr>
        <w:pStyle w:val="Heading1"/>
      </w:pPr>
      <w:bookmarkStart w:id="20" w:name="acknowledgments"/>
      <w:bookmarkEnd w:id="19"/>
      <w:r>
        <w:t>Acknowledgments</w:t>
      </w:r>
    </w:p>
    <w:p w14:paraId="4BB93A20" w14:textId="77777777" w:rsidR="00AF521D" w:rsidRDefault="00B61A0B">
      <w:pPr>
        <w:pStyle w:val="FirstParagraph"/>
      </w:pPr>
      <w:r>
        <w:t>The authors thank Fort Wayne Metals for providing access to melting, hot-rolling, cold-drawing, and metallography facilities, and for technical guidance throughout alloy synthesis.</w:t>
      </w:r>
    </w:p>
    <w:p w14:paraId="1BF7C0D5" w14:textId="77777777" w:rsidR="00AF521D" w:rsidRDefault="00B61A0B">
      <w:pPr>
        <w:pStyle w:val="BodyText"/>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0AAD71BD" w14:textId="77777777" w:rsidR="00AF521D" w:rsidRDefault="00B61A0B">
      <w:r>
        <w:pict>
          <v:rect id="_x0000_i1032" style="width:0;height:1.5pt" o:hralign="center" o:hrstd="t" o:hr="t"/>
        </w:pict>
      </w:r>
    </w:p>
    <w:p w14:paraId="3AF128A4" w14:textId="77777777" w:rsidR="00AF521D" w:rsidRDefault="00B61A0B">
      <w:pPr>
        <w:pStyle w:val="Heading1"/>
      </w:pPr>
      <w:bookmarkStart w:id="21" w:name="declarations"/>
      <w:bookmarkEnd w:id="20"/>
      <w:r>
        <w:t>Declarations</w:t>
      </w:r>
    </w:p>
    <w:p w14:paraId="50B0F245" w14:textId="77777777" w:rsidR="00AF521D" w:rsidRDefault="00B61A0B">
      <w:pPr>
        <w:pStyle w:val="FirstParagraph"/>
      </w:pPr>
      <w:r>
        <w:rPr>
          <w:b/>
          <w:bCs/>
        </w:rPr>
        <w:t>Funding.</w:t>
      </w:r>
      <w:r>
        <w:t xml:space="preserve"> </w:t>
      </w:r>
      <w:r>
        <w:t>No external funding was received for this work.</w:t>
      </w:r>
    </w:p>
    <w:p w14:paraId="2F4B20FA" w14:textId="77777777" w:rsidR="00AF521D" w:rsidRDefault="00B61A0B">
      <w:pPr>
        <w:pStyle w:val="BodyText"/>
      </w:pPr>
      <w:r>
        <w:rPr>
          <w:b/>
          <w:bCs/>
        </w:rPr>
        <w:t>Competing interests.</w:t>
      </w:r>
      <w:r>
        <w:t xml:space="preserve"> The authors declare no competing interests.</w:t>
      </w:r>
    </w:p>
    <w:p w14:paraId="703CDD7A" w14:textId="146938FD" w:rsidR="00AF521D" w:rsidRDefault="00B61A0B">
      <w:pPr>
        <w:pStyle w:val="BodyText"/>
      </w:pPr>
      <w:r>
        <w:rPr>
          <w:b/>
          <w:bCs/>
        </w:rPr>
        <w:t>Generative AI use.</w:t>
      </w:r>
      <w:r>
        <w:t xml:space="preserve"> </w:t>
      </w:r>
      <w:r>
        <w:t>Generative AI enters this work in two distinct roles, which are reported separately. First, an</w:t>
      </w:r>
      <w:r>
        <w:t xml:space="preserve"> LLM deep-research agent (Google Gemini 2.5, Deep Research) was used to hypothesize the </w:t>
      </w:r>
      <w:r>
        <w:t>LLM</w:t>
      </w:r>
      <w:r>
        <w:t>-alloy composition under study, as described in Sec. 2.1; this use is a study method</w:t>
      </w:r>
      <w:r>
        <w:t xml:space="preserve"> and is itself the object of the investigation. Second, during </w:t>
      </w:r>
      <w:r>
        <w:t xml:space="preserve">preparation </w:t>
      </w:r>
      <w:r>
        <w:t xml:space="preserve">of this revision a </w:t>
      </w:r>
      <w:r>
        <w:t xml:space="preserve">generative AI </w:t>
      </w:r>
      <w:r>
        <w:t xml:space="preserve">assistant (Anthropic Claude) was </w:t>
      </w:r>
      <w:r>
        <w:t xml:space="preserve">used to </w:t>
      </w:r>
      <w:r>
        <w:t xml:space="preserve">help write and debug the pycalphad scripts underlying Secs. 2.6 and 3.4, to assist in extracting and checking numerical results from the Rietveld refinement output, and to </w:t>
      </w:r>
      <w:r>
        <w:t>draft</w:t>
      </w:r>
      <w:r>
        <w:t xml:space="preserve"> and</w:t>
      </w:r>
      <w:r>
        <w:t xml:space="preserve"> edit</w:t>
      </w:r>
      <w:r>
        <w:t xml:space="preserve"> portions of</w:t>
      </w:r>
      <w:r>
        <w:t xml:space="preserve"> the text</w:t>
      </w:r>
      <w:r>
        <w:t>. No AI system generated experimental data or determined any reported measurement. All calculations were checked against their source databases, all numerical values were verified against the primary records, and the authors reviewed the entire manuscript and take full responsibility for its content</w:t>
      </w:r>
      <w:r>
        <w:t>.</w:t>
      </w:r>
    </w:p>
    <w:p w14:paraId="6A09762C" w14:textId="77777777" w:rsidR="00AF521D" w:rsidRDefault="00B61A0B">
      <w:pPr>
        <w:pStyle w:val="BodyText"/>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p>
    <w:p w14:paraId="080762B6" w14:textId="77777777" w:rsidR="00AF521D" w:rsidRDefault="00B61A0B">
      <w:r>
        <w:pict>
          <v:rect id="_x0000_i1033" style="width:0;height:1.5pt" o:hralign="center" o:hrstd="t" o:hr="t"/>
        </w:pict>
      </w:r>
    </w:p>
    <w:p w14:paraId="1E6282BD" w14:textId="77777777" w:rsidR="00AF521D" w:rsidRDefault="00B61A0B">
      <w:pPr>
        <w:pStyle w:val="Bibliography"/>
      </w:pPr>
      <w:bookmarkStart w:id="22" w:name="ref-merchant2023gnome"/>
      <w:bookmarkStart w:id="23" w:name="refs"/>
      <w:r>
        <w:t xml:space="preserve">[1] </w:t>
      </w:r>
      <w:r>
        <w:tab/>
        <w:t>A. Merchant, S. Batzner, S.S. Schoenholz, M. Aykol, G. Cheon, E.D. Cubuk, Scaling deep learning for materials discovery, Nature 624 (2023) 80–85. https://doi.org/</w:t>
      </w:r>
      <w:hyperlink r:id="rId12">
        <w:r>
          <w:rPr>
            <w:rStyle w:val="Hyperlink"/>
          </w:rPr>
          <w:t>10.1038/s41586-023-06735-9</w:t>
        </w:r>
      </w:hyperlink>
      <w:r>
        <w:t>.</w:t>
      </w:r>
    </w:p>
    <w:p w14:paraId="443E3CFD" w14:textId="77777777" w:rsidR="00AF521D" w:rsidRDefault="00B61A0B">
      <w:pPr>
        <w:pStyle w:val="Bibliography"/>
      </w:pPr>
      <w:bookmarkStart w:id="24" w:name="ref-comanici2025gemini"/>
      <w:bookmarkEnd w:id="22"/>
      <w:r>
        <w:t xml:space="preserve">[2] </w:t>
      </w:r>
      <w:r>
        <w:tab/>
        <w:t xml:space="preserve">Google DeepMind, Gemini 2.5: Pushing the frontier with advanced reasoning, multimodality, long context, and next-generation agentic capabilities, (2025). </w:t>
      </w:r>
      <w:hyperlink r:id="rId13">
        <w:r>
          <w:rPr>
            <w:rStyle w:val="Hyperlink"/>
          </w:rPr>
          <w:t>https://arxiv.org/abs/2507.06261</w:t>
        </w:r>
      </w:hyperlink>
      <w:r>
        <w:t>.</w:t>
      </w:r>
    </w:p>
    <w:p w14:paraId="22B695D2" w14:textId="77777777" w:rsidR="00AF521D" w:rsidRDefault="00B61A0B">
      <w:pPr>
        <w:pStyle w:val="Bibliography"/>
      </w:pPr>
      <w:bookmarkStart w:id="25" w:name="ref-xu2025deepresearch"/>
      <w:bookmarkEnd w:id="24"/>
      <w:r>
        <w:t xml:space="preserve">[3] </w:t>
      </w:r>
      <w:r>
        <w:tab/>
      </w:r>
      <w:r>
        <w:t xml:space="preserve">R. Xu, J. Peng, A comprehensive survey of deep research: Systems, methodologies, and applications, (2025). </w:t>
      </w:r>
      <w:hyperlink r:id="rId14">
        <w:r>
          <w:rPr>
            <w:rStyle w:val="Hyperlink"/>
          </w:rPr>
          <w:t>https://arxiv.org/abs/2506.12594</w:t>
        </w:r>
      </w:hyperlink>
      <w:r>
        <w:t>.</w:t>
      </w:r>
    </w:p>
    <w:p w14:paraId="519E5FF2" w14:textId="77777777" w:rsidR="00AF521D" w:rsidRDefault="00B61A0B">
      <w:pPr>
        <w:pStyle w:val="Bibliography"/>
      </w:pPr>
      <w:bookmarkStart w:id="26" w:name="ref-aims2022"/>
      <w:bookmarkEnd w:id="25"/>
      <w:r>
        <w:t xml:space="preserve">[4] </w:t>
      </w:r>
      <w:r>
        <w:tab/>
        <w:t>W. Trehern, R. Ortiz-Ayala, K.C. Atli, R. Arróyave, I. Karaman, Data-driven shape memory alloy discovery using artificial intelligence materials selection (AIMS) framework, Acta Materialia 228 (2022) 117751. https://doi.org/</w:t>
      </w:r>
      <w:hyperlink r:id="rId15">
        <w:r>
          <w:rPr>
            <w:rStyle w:val="Hyperlink"/>
          </w:rPr>
          <w:t>10.1016/j.actamat.2022.117751</w:t>
        </w:r>
      </w:hyperlink>
      <w:r>
        <w:t>.</w:t>
      </w:r>
    </w:p>
    <w:p w14:paraId="43D3ABC5" w14:textId="77777777" w:rsidR="00AF521D" w:rsidRDefault="00B61A0B">
      <w:pPr>
        <w:pStyle w:val="Bibliography"/>
      </w:pPr>
      <w:bookmarkStart w:id="27" w:name="ref-generativeinversion2025"/>
      <w:bookmarkEnd w:id="26"/>
      <w:r>
        <w:t xml:space="preserve">[5] </w:t>
      </w:r>
      <w:r>
        <w:tab/>
        <w:t>C. Li, P. Dang, Y. Xian, Y. Zhou, B. Shi, X. Ding, J. Sun, D. Xue, Generative inverse design for property-targeted materials design: Application to shape memory alloys, Advanced Functional Materials 36 (2026) 2527774. https://doi.org/</w:t>
      </w:r>
      <w:hyperlink r:id="rId16">
        <w:r>
          <w:rPr>
            <w:rStyle w:val="Hyperlink"/>
          </w:rPr>
          <w:t>10.1002/adfm.202527774</w:t>
        </w:r>
      </w:hyperlink>
      <w:r>
        <w:t>.</w:t>
      </w:r>
    </w:p>
    <w:p w14:paraId="2A716AC7" w14:textId="77777777" w:rsidR="00AF521D" w:rsidRDefault="00B61A0B">
      <w:pPr>
        <w:pStyle w:val="Bibliography"/>
      </w:pPr>
      <w:bookmarkStart w:id="28" w:name="ref-hu2024beyond"/>
      <w:bookmarkEnd w:id="27"/>
      <w:r>
        <w:t xml:space="preserve">[6] </w:t>
      </w:r>
      <w:r>
        <w:tab/>
        <w:t xml:space="preserve">Q. Hu, R. Han, M.J. Buehler, Beyond designer’s knowledge: Generating materials design hypotheses via large language models, (2024). </w:t>
      </w:r>
      <w:hyperlink r:id="rId17">
        <w:r>
          <w:rPr>
            <w:rStyle w:val="Hyperlink"/>
          </w:rPr>
          <w:t>https://arxiv.org/abs/2409.06756</w:t>
        </w:r>
      </w:hyperlink>
      <w:r>
        <w:t>.</w:t>
      </w:r>
    </w:p>
    <w:p w14:paraId="5C1A0F56" w14:textId="77777777" w:rsidR="00AF521D" w:rsidRDefault="00B61A0B">
      <w:pPr>
        <w:pStyle w:val="Bibliography"/>
      </w:pPr>
      <w:bookmarkStart w:id="29" w:name="ref-otsuka2005physical"/>
      <w:bookmarkEnd w:id="28"/>
      <w:r>
        <w:t xml:space="preserve">[7] </w:t>
      </w:r>
      <w:r>
        <w:tab/>
        <w:t>K. Otsuka, C.M. Wayman, Physical metallurgy of titanium-nickel-based shape memory alloys, Cambridge University Press, Cambridge, UK, 1998.</w:t>
      </w:r>
    </w:p>
    <w:p w14:paraId="6ECB352C" w14:textId="77777777" w:rsidR="00AF521D" w:rsidRDefault="00B61A0B">
      <w:pPr>
        <w:pStyle w:val="Bibliography"/>
      </w:pPr>
      <w:bookmarkStart w:id="30" w:name="ref-lagoudas2008shape"/>
      <w:bookmarkEnd w:id="29"/>
      <w:r>
        <w:t xml:space="preserve">[8] </w:t>
      </w:r>
      <w:r>
        <w:tab/>
        <w:t>D.C. Lagoudas, ed., Shape memory alloys: Modeling and engineering applications, Springer, New York, 2008. https://doi.org/</w:t>
      </w:r>
      <w:hyperlink r:id="rId18">
        <w:r>
          <w:rPr>
            <w:rStyle w:val="Hyperlink"/>
          </w:rPr>
          <w:t>10.1007/978-0-387-47685-8</w:t>
        </w:r>
      </w:hyperlink>
      <w:r>
        <w:t>.</w:t>
      </w:r>
    </w:p>
    <w:p w14:paraId="04C3DE83" w14:textId="77777777" w:rsidR="00AF521D" w:rsidRDefault="00B61A0B">
      <w:pPr>
        <w:pStyle w:val="Bibliography"/>
      </w:pPr>
      <w:bookmarkStart w:id="31" w:name="ref-duerig1999overview"/>
      <w:bookmarkEnd w:id="30"/>
      <w:r>
        <w:t xml:space="preserve">[9] </w:t>
      </w:r>
      <w:r>
        <w:tab/>
      </w:r>
      <w:r>
        <w:t>T. Duerig, A. Pelton, D. Stöckel, An overview of nitinol medical applications, Materials Science and Engineering: A 273–275 (1999) 149–160. https://doi.org/</w:t>
      </w:r>
      <w:hyperlink r:id="rId19">
        <w:r>
          <w:rPr>
            <w:rStyle w:val="Hyperlink"/>
          </w:rPr>
          <w:t>10.1016/S0921-5093(99)00294-4</w:t>
        </w:r>
      </w:hyperlink>
      <w:r>
        <w:t>.</w:t>
      </w:r>
    </w:p>
    <w:p w14:paraId="693BEF13" w14:textId="77777777" w:rsidR="00AF521D" w:rsidRDefault="00B61A0B">
      <w:pPr>
        <w:pStyle w:val="Bibliography"/>
      </w:pPr>
      <w:bookmarkStart w:id="32" w:name="ref-mohd2014nitinol"/>
      <w:bookmarkEnd w:id="31"/>
      <w:r>
        <w:t xml:space="preserve">[10] </w:t>
      </w:r>
      <w:r>
        <w:tab/>
        <w:t>J. Mohd Jani, M. Leary, A. Subic, M.A. Gibson, A review of shape memory alloy research, applications and opportunities, Materials &amp; Design 56 (2014) 1078–1113. https://doi.org/</w:t>
      </w:r>
      <w:hyperlink r:id="rId20">
        <w:r>
          <w:rPr>
            <w:rStyle w:val="Hyperlink"/>
          </w:rPr>
          <w:t>10.1016/j.matdes.2013.11.084</w:t>
        </w:r>
      </w:hyperlink>
      <w:r>
        <w:t>.</w:t>
      </w:r>
    </w:p>
    <w:p w14:paraId="3B4FA18A" w14:textId="77777777" w:rsidR="00AF521D" w:rsidRDefault="00B61A0B">
      <w:pPr>
        <w:pStyle w:val="Bibliography"/>
      </w:pPr>
      <w:bookmarkStart w:id="33" w:name="ref-cladera2014ironbased"/>
      <w:bookmarkEnd w:id="32"/>
      <w:r>
        <w:t xml:space="preserve">[11] </w:t>
      </w:r>
      <w:r>
        <w:tab/>
        <w:t>A. Cladera, B. Weber, C. Leinenbach, C. Czaderski, M. Shahverdi, M. Motavalli, Iron-based shape memory alloys for civil engineering structures: An overview, Construction and Building Materials 63 (2014) 281–293. https://doi.org/</w:t>
      </w:r>
      <w:hyperlink r:id="rId21">
        <w:r>
          <w:rPr>
            <w:rStyle w:val="Hyperlink"/>
          </w:rPr>
          <w:t>10.1016/j.conbuildmat.2014.04.032</w:t>
        </w:r>
      </w:hyperlink>
      <w:r>
        <w:t>.</w:t>
      </w:r>
    </w:p>
    <w:p w14:paraId="78F50BB6" w14:textId="77777777" w:rsidR="00AF521D" w:rsidRDefault="00B61A0B">
      <w:pPr>
        <w:pStyle w:val="Bibliography"/>
      </w:pPr>
      <w:bookmarkStart w:id="34" w:name="ref-omori2011superelastic"/>
      <w:bookmarkEnd w:id="33"/>
      <w:r>
        <w:t xml:space="preserve">[12] </w:t>
      </w:r>
      <w:r>
        <w:tab/>
      </w:r>
      <w:r>
        <w:t>T. Omori, K. Ando, M. Okano, X. Xu, Y. Tanaka, I. Ohnuma, R. Kainuma, K. Ishida, Superelastic effect in polycrystalline ferrous alloys, Science 333 (2011) 68–71. https://doi.org/</w:t>
      </w:r>
      <w:hyperlink r:id="rId22">
        <w:r>
          <w:rPr>
            <w:rStyle w:val="Hyperlink"/>
          </w:rPr>
          <w:t>10.1126/science.1202232</w:t>
        </w:r>
      </w:hyperlink>
      <w:r>
        <w:t>.</w:t>
      </w:r>
    </w:p>
    <w:p w14:paraId="6BCF4A7D" w14:textId="77777777" w:rsidR="00AF521D" w:rsidRDefault="00B61A0B">
      <w:pPr>
        <w:pStyle w:val="Bibliography"/>
      </w:pPr>
      <w:bookmarkStart w:id="35" w:name="ref-vollmer2016cyclic"/>
      <w:bookmarkEnd w:id="34"/>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hyperlink r:id="rId23">
        <w:r>
          <w:rPr>
            <w:rStyle w:val="Hyperlink"/>
          </w:rPr>
          <w:t>10.1016/j.scriptamat.2015.12.007</w:t>
        </w:r>
      </w:hyperlink>
      <w:r>
        <w:t>.</w:t>
      </w:r>
    </w:p>
    <w:p w14:paraId="0A69838B" w14:textId="77777777" w:rsidR="00AF521D" w:rsidRDefault="00B61A0B">
      <w:pPr>
        <w:pStyle w:val="Bibliography"/>
      </w:pPr>
      <w:bookmarkStart w:id="36" w:name="ref-abuzaid2019femnnial"/>
      <w:bookmarkEnd w:id="35"/>
      <w:r>
        <w:t xml:space="preserve">[14] </w:t>
      </w:r>
      <w:r>
        <w:tab/>
        <w:t>W. Abuzaid, Y. Wu, R. Sidharth, F. Brenne, S. Alkan, M. Vollmer, P. Krooß, T. Niendorf, H. Sehitoglu, FeMnNiAl iron-based shape memory alloy: Promises and challenges, Shape Memory and Superelasticity 5 (2019) 384–396. https://doi.org/</w:t>
      </w:r>
      <w:hyperlink r:id="rId24">
        <w:r>
          <w:rPr>
            <w:rStyle w:val="Hyperlink"/>
          </w:rPr>
          <w:t>10.1007/s40830-019-00230-9</w:t>
        </w:r>
      </w:hyperlink>
      <w:r>
        <w:t>.</w:t>
      </w:r>
    </w:p>
    <w:p w14:paraId="0CE80ECA" w14:textId="77777777" w:rsidR="00AF521D" w:rsidRDefault="00B61A0B">
      <w:pPr>
        <w:pStyle w:val="Bibliography"/>
      </w:pPr>
      <w:bookmarkStart w:id="37" w:name="ref-omori2017martensitic"/>
      <w:bookmarkEnd w:id="36"/>
      <w:r>
        <w:t xml:space="preserve">[15] </w:t>
      </w:r>
      <w:r>
        <w:tab/>
        <w:t>T. Omori, R. Kainuma, Martensitic transformation and superelasticity in fe-mn-al-based shape memory alloys, Shape Memory and Superelasticity 3 (2017) 322–334. https://doi.org/</w:t>
      </w:r>
      <w:hyperlink r:id="rId25">
        <w:r>
          <w:rPr>
            <w:rStyle w:val="Hyperlink"/>
          </w:rPr>
          <w:t>10.1007/s40830-017-0129-9</w:t>
        </w:r>
      </w:hyperlink>
      <w:r>
        <w:t>.</w:t>
      </w:r>
    </w:p>
    <w:p w14:paraId="3D8C2410" w14:textId="7E35FCE7" w:rsidR="00AF521D" w:rsidRDefault="00B61A0B">
      <w:pPr>
        <w:pStyle w:val="Bibliography"/>
      </w:pPr>
      <w:bookmarkStart w:id="38" w:name="ref-rahnama2017acta"/>
      <w:bookmarkEnd w:id="37"/>
      <w:r>
        <w:t xml:space="preserve">[16] </w:t>
      </w:r>
      <w:r>
        <w:tab/>
      </w:r>
      <w:r>
        <w:t>A. Rahnama</w:t>
      </w:r>
      <w:r>
        <w:t xml:space="preserve">, H. </w:t>
      </w:r>
      <w:r>
        <w:t xml:space="preserve">Kotadia, S. Sridhar, Effect of </w:t>
      </w:r>
      <w:r>
        <w:t xml:space="preserve">Ni </w:t>
      </w:r>
      <w:r>
        <w:t>alloying on the microstructural evolution and mechanical properties of two duplex light-weight steels during different annealing temperatures: Experiment and phase-field simulation, Acta Materialia 132 (2017) 627–643.</w:t>
      </w:r>
      <w:r>
        <w:t xml:space="preserve"> https://doi.org/</w:t>
      </w:r>
      <w:hyperlink r:id="rId26">
        <w:r>
          <w:rPr>
            <w:rStyle w:val="Hyperlink"/>
          </w:rPr>
          <w:t>10.1016/j.</w:t>
        </w:r>
        <w:r>
          <w:rPr>
            <w:rStyle w:val="Hyperlink"/>
          </w:rPr>
          <w:t>actamat.2017.03.043</w:t>
        </w:r>
      </w:hyperlink>
      <w:r>
        <w:t>.</w:t>
      </w:r>
    </w:p>
    <w:p w14:paraId="44505AFF" w14:textId="78341BE1" w:rsidR="00AF521D" w:rsidRDefault="00B61A0B">
      <w:pPr>
        <w:pStyle w:val="Bibliography"/>
      </w:pPr>
      <w:bookmarkStart w:id="39" w:name="ref-saha2022jom"/>
      <w:bookmarkEnd w:id="38"/>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hyperlink r:id="rId27">
        <w:r>
          <w:rPr>
            <w:rStyle w:val="Hyperlink"/>
          </w:rPr>
          <w:t>10.1007/s11837-022-05349-2</w:t>
        </w:r>
      </w:hyperlink>
      <w:r>
        <w:t>.</w:t>
      </w:r>
    </w:p>
    <w:p w14:paraId="59BFB2AA" w14:textId="77777777" w:rsidR="00AF521D" w:rsidRDefault="00B61A0B">
      <w:pPr>
        <w:pStyle w:val="Bibliography"/>
      </w:pPr>
      <w:bookmarkStart w:id="40" w:name="ref-omori2016agg"/>
      <w:bookmarkEnd w:id="39"/>
      <w:r>
        <w:t xml:space="preserve">[18] </w:t>
      </w:r>
      <w:r>
        <w:tab/>
        <w:t xml:space="preserve">T. Omori, H. Iwaizako, R. Kainuma, Abnormal grain growth induced by cyclic heat treatment in </w:t>
      </w:r>
      <w:r>
        <w:t>Fe-Mn-Al-Ni superelastic alloy, Materials &amp; Design 101 (2016) 263–269. https://doi.org/</w:t>
      </w:r>
      <w:hyperlink r:id="rId28">
        <w:r>
          <w:rPr>
            <w:rStyle w:val="Hyperlink"/>
          </w:rPr>
          <w:t>10.1016/j.matdes.2016.04.011</w:t>
        </w:r>
      </w:hyperlink>
      <w:r>
        <w:t>.</w:t>
      </w:r>
    </w:p>
    <w:p w14:paraId="2A360F48" w14:textId="77777777" w:rsidR="00AF521D" w:rsidRDefault="00B61A0B">
      <w:pPr>
        <w:pStyle w:val="Bibliography"/>
      </w:pPr>
      <w:bookmarkStart w:id="41" w:name="ref-tai2024ssrf"/>
      <w:bookmarkEnd w:id="40"/>
      <w:r>
        <w:t>[19</w:t>
      </w:r>
      <w:r>
        <w:t xml:space="preserve">] </w:t>
      </w:r>
      <w:r>
        <w:tab/>
        <w:t>R.Z. Tai, Z.T. Zhao, Overview of SSRF phase-II beamlines, Nuclear Science and Techniques 35 (2024) 137. https://doi.org/</w:t>
      </w:r>
      <w:hyperlink r:id="rId29">
        <w:r>
          <w:rPr>
            <w:rStyle w:val="Hyperlink"/>
          </w:rPr>
          <w:t>10.1007/s41365-024-01487-1</w:t>
        </w:r>
      </w:hyperlink>
      <w:r>
        <w:t>.</w:t>
      </w:r>
    </w:p>
    <w:p w14:paraId="76F509BB" w14:textId="021E9196" w:rsidR="00AF521D" w:rsidRDefault="00B61A0B">
      <w:pPr>
        <w:pStyle w:val="Bibliography"/>
      </w:pPr>
      <w:bookmarkStart w:id="42" w:name="ref-yang2024ssrf"/>
      <w:bookmarkEnd w:id="41"/>
      <w:r>
        <w:t>[</w:t>
      </w:r>
      <w:r>
        <w:t>20</w:t>
      </w:r>
      <w:r>
        <w:t xml:space="preserve">] </w:t>
      </w:r>
      <w:r>
        <w:tab/>
        <w:t xml:space="preserve">K. Yang, Z.-H. Dong, C.-Y. Zhou, Z.-L. Zhao, D.-X. Liang, S.-C. Cao, others, Ultrahard X-ray </w:t>
      </w:r>
      <w:r>
        <w:t>multifunctional application beamline at the SSRF, Nuclear Science and Techniques 35 (2024) 98. https://doi.org/</w:t>
      </w:r>
      <w:hyperlink r:id="rId30">
        <w:r>
          <w:rPr>
            <w:rStyle w:val="Hyperlink"/>
          </w:rPr>
          <w:t>10.1007/s41365-024-01468-4</w:t>
        </w:r>
      </w:hyperlink>
      <w:r>
        <w:t>.</w:t>
      </w:r>
    </w:p>
    <w:p w14:paraId="31833D33" w14:textId="69C3CAEE" w:rsidR="00AF521D" w:rsidRDefault="00B61A0B">
      <w:pPr>
        <w:pStyle w:val="Bibliography"/>
      </w:pPr>
      <w:bookmarkStart w:id="43" w:name="ref-hammersley1998fit2d"/>
      <w:bookmarkEnd w:id="42"/>
      <w:r>
        <w:t>[</w:t>
      </w:r>
      <w:r>
        <w:t>21</w:t>
      </w:r>
      <w:r>
        <w:t xml:space="preserve">] </w:t>
      </w:r>
      <w:r>
        <w:tab/>
        <w:t>A.P. Hammersley, FIT2D V9.129 reference manual V3.1, (1998).</w:t>
      </w:r>
    </w:p>
    <w:p w14:paraId="12CFA785" w14:textId="174D0972" w:rsidR="00AF521D" w:rsidRDefault="00B61A0B">
      <w:pPr>
        <w:pStyle w:val="Bibliography"/>
      </w:pPr>
      <w:bookmarkStart w:id="44" w:name="ref-rietveld1969"/>
      <w:bookmarkEnd w:id="43"/>
      <w:r>
        <w:t>[</w:t>
      </w:r>
      <w:r>
        <w:t>22</w:t>
      </w:r>
      <w:r>
        <w:t xml:space="preserve">] </w:t>
      </w:r>
      <w:r>
        <w:tab/>
        <w:t>H.M. Rietveld, A profile refinement method for nuclear and magnetic structures, Journal of Applied Crystallography 2 (1969) 65–71. https://doi.org/</w:t>
      </w:r>
      <w:hyperlink r:id="rId31">
        <w:r>
          <w:rPr>
            <w:rStyle w:val="Hyperlink"/>
          </w:rPr>
          <w:t>10.1107/S0021889869006558</w:t>
        </w:r>
      </w:hyperlink>
      <w:r>
        <w:t>.</w:t>
      </w:r>
    </w:p>
    <w:p w14:paraId="435A5290" w14:textId="017023FF" w:rsidR="00AF521D" w:rsidRDefault="00B61A0B">
      <w:pPr>
        <w:pStyle w:val="Bibliography"/>
      </w:pPr>
      <w:bookmarkStart w:id="45" w:name="ref-lutterotti1997maud"/>
      <w:bookmarkEnd w:id="44"/>
      <w:r>
        <w:t>[</w:t>
      </w:r>
      <w:r>
        <w:t>23</w:t>
      </w:r>
      <w:r>
        <w:t xml:space="preserve">] </w:t>
      </w:r>
      <w:r>
        <w:tab/>
        <w:t>L. Lutterotti, S. Matthies, H.R. Wenk, A.S. Schultz, J.W. Richardson, Combined texture and structure analysis of deformed limestone from time-of-flight neutron diffraction spectra, Journal of Applied Physics 81 (1997) 594–600. https://doi.org/</w:t>
      </w:r>
      <w:hyperlink r:id="rId32">
        <w:r>
          <w:rPr>
            <w:rStyle w:val="Hyperlink"/>
          </w:rPr>
          <w:t>10.1063/1.364220</w:t>
        </w:r>
      </w:hyperlink>
      <w:r>
        <w:t>.</w:t>
      </w:r>
    </w:p>
    <w:p w14:paraId="7B1E2F75" w14:textId="4621AF59" w:rsidR="00AF521D" w:rsidRDefault="00B61A0B">
      <w:pPr>
        <w:pStyle w:val="Bibliography"/>
      </w:pPr>
      <w:bookmarkStart w:id="46" w:name="ref-lukas2007calphad"/>
      <w:bookmarkEnd w:id="45"/>
      <w:r>
        <w:t xml:space="preserve">[24] </w:t>
      </w:r>
      <w:r>
        <w:tab/>
        <w:t>H.L. Lukas, S.G. Fries, B. Sundman, Computational thermodynamics: The calphad method, Cambridge University Press, Cambridge, 2007. https://doi.org/</w:t>
      </w:r>
      <w:hyperlink r:id="rId33">
        <w:r>
          <w:rPr>
            <w:rStyle w:val="Hyperlink"/>
          </w:rPr>
          <w:t>10.1017/CBO9780511804137</w:t>
        </w:r>
      </w:hyperlink>
      <w:r>
        <w:t>.</w:t>
      </w:r>
    </w:p>
    <w:p w14:paraId="500F90D7" w14:textId="77777777" w:rsidR="00AF521D" w:rsidRDefault="00B61A0B">
      <w:pPr>
        <w:pStyle w:val="Bibliography"/>
      </w:pPr>
      <w:bookmarkStart w:id="47" w:name="ref-otis2017pycalphad"/>
      <w:bookmarkEnd w:id="46"/>
      <w:r>
        <w:t xml:space="preserve">[25] </w:t>
      </w:r>
      <w:r>
        <w:tab/>
        <w:t>R. Otis, Z.-K. Liu, Pycalphad: CALPHAD-based computational thermodynamics in Python, Journal of Open Research Software 5 (2017) 1. https://doi.org/</w:t>
      </w:r>
      <w:hyperlink r:id="rId34">
        <w:r>
          <w:rPr>
            <w:rStyle w:val="Hyperlink"/>
          </w:rPr>
          <w:t>10.5334/jors.140</w:t>
        </w:r>
      </w:hyperlink>
      <w:r>
        <w:t>.</w:t>
      </w:r>
    </w:p>
    <w:p w14:paraId="00347355" w14:textId="77777777" w:rsidR="00AF521D" w:rsidRDefault="00B61A0B">
      <w:pPr>
        <w:pStyle w:val="Bibliography"/>
      </w:pPr>
      <w:bookmarkStart w:id="48" w:name="ref-hallstedt2017mpea"/>
      <w:bookmarkEnd w:id="47"/>
      <w:r>
        <w:t xml:space="preserve">[26] </w:t>
      </w:r>
      <w:r>
        <w:tab/>
        <w:t>B. Hallstedt, Database for high entropy alloys (mpea), version 2b, (2017).</w:t>
      </w:r>
    </w:p>
    <w:p w14:paraId="77393494" w14:textId="77777777" w:rsidR="00AF521D" w:rsidRDefault="00B61A0B">
      <w:pPr>
        <w:pStyle w:val="Bibliography"/>
      </w:pPr>
      <w:bookmarkStart w:id="49" w:name="ref-hallstedt2023mpea"/>
      <w:bookmarkEnd w:id="48"/>
      <w:r>
        <w:t xml:space="preserve">[27] </w:t>
      </w:r>
      <w:r>
        <w:tab/>
      </w:r>
      <w:r>
        <w:t>B. Hallstedt, M. Noori, F. Kies, F. Oppermann, C. Haase, Thermodynamic database for multi-principal element alloys within the system Al–Co–Cr–Fe–Mn–Ni–C, Calphad 83 (2023) 102644. https://doi.org/</w:t>
      </w:r>
      <w:hyperlink r:id="rId35">
        <w:r>
          <w:rPr>
            <w:rStyle w:val="Hyperlink"/>
          </w:rPr>
          <w:t>10.1016/j.calphad.2023.102644</w:t>
        </w:r>
      </w:hyperlink>
      <w:r>
        <w:t>.</w:t>
      </w:r>
    </w:p>
    <w:p w14:paraId="68A31484" w14:textId="77777777" w:rsidR="00AF521D" w:rsidRDefault="00B61A0B">
      <w:pPr>
        <w:pStyle w:val="Bibliography"/>
      </w:pPr>
      <w:bookmarkStart w:id="50" w:name="ref-prechimn04"/>
      <w:bookmarkEnd w:id="49"/>
      <w:r>
        <w:t xml:space="preserve">[28] </w:t>
      </w:r>
      <w:r>
        <w:tab/>
        <w:t>B. Hallstedt, A.V. Khvan, B.B. Lindahl, M. Selleby, S. Liu, PrecHiMn-4 — a thermodynamic database for high-Mn steels, Calphad 56 (2017) 49–57. https://doi.org/</w:t>
      </w:r>
      <w:hyperlink r:id="rId36">
        <w:r>
          <w:rPr>
            <w:rStyle w:val="Hyperlink"/>
          </w:rPr>
          <w:t>10.1016/j.calphad.2016.11.006</w:t>
        </w:r>
      </w:hyperlink>
      <w:r>
        <w:t>.</w:t>
      </w:r>
    </w:p>
    <w:p w14:paraId="5356F2D4" w14:textId="77777777" w:rsidR="00AF521D" w:rsidRDefault="00B61A0B">
      <w:pPr>
        <w:pStyle w:val="Bibliography"/>
      </w:pPr>
      <w:bookmarkStart w:id="51" w:name="ref-mcfe"/>
      <w:bookmarkEnd w:id="50"/>
      <w:r>
        <w:t xml:space="preserve">[29] </w:t>
      </w:r>
      <w:r>
        <w:tab/>
        <w:t>E. Povoden-Karadeniz, MatCalc thermodynamic steel database mc_fe, version 2.059, (2016).</w:t>
      </w:r>
    </w:p>
    <w:p w14:paraId="49AE97EA" w14:textId="77777777" w:rsidR="00AF521D" w:rsidRDefault="00B61A0B">
      <w:pPr>
        <w:pStyle w:val="Bibliography"/>
      </w:pPr>
      <w:bookmarkStart w:id="52" w:name="ref-tanaka2010science"/>
      <w:bookmarkEnd w:id="51"/>
      <w:r>
        <w:t>[30</w:t>
      </w:r>
      <w:r>
        <w:t xml:space="preserve">] </w:t>
      </w:r>
      <w:r>
        <w:tab/>
        <w:t>Y. Tanaka, Y. Himuro, R. Kainuma, Y. Sutou, T. Omori, K. Ishida, Ferrous polycrystalline shape-memory alloy showing huge superelasticity, Science 327 (2010) 1488–1490. https://doi.org/</w:t>
      </w:r>
      <w:hyperlink r:id="rId37">
        <w:r>
          <w:rPr>
            <w:rStyle w:val="Hyperlink"/>
          </w:rPr>
          <w:t>10.1126/science.1183169</w:t>
        </w:r>
      </w:hyperlink>
      <w:r>
        <w:t>.</w:t>
      </w:r>
    </w:p>
    <w:p w14:paraId="4A06D13C" w14:textId="1550CEA4" w:rsidR="00AF521D" w:rsidRDefault="00B61A0B">
      <w:pPr>
        <w:pStyle w:val="Bibliography"/>
      </w:pPr>
      <w:bookmarkStart w:id="53" w:name="ref-vollmer2019natcomm"/>
      <w:bookmarkEnd w:id="52"/>
      <w:r>
        <w:t>[</w:t>
      </w:r>
      <w:r>
        <w:t>31</w:t>
      </w:r>
      <w:r>
        <w:t xml:space="preserve">] </w:t>
      </w:r>
      <w:r>
        <w:tab/>
      </w:r>
      <w:r>
        <w:t>M. Vollmer, T. Arold, M.J. Kriegel, V. Klemm, S. Degener, J. Freudenberger, T. Niendorf, Promoting abnormal grain growth in Fe-based shape memory alloys through compositional adjustments, Nature Communications 10 (2019) 2337. https://doi.org/</w:t>
      </w:r>
      <w:hyperlink r:id="rId38">
        <w:r>
          <w:rPr>
            <w:rStyle w:val="Hyperlink"/>
          </w:rPr>
          <w:t>10.1038/s41467-019-10308-8</w:t>
        </w:r>
      </w:hyperlink>
      <w:r>
        <w:t>.</w:t>
      </w:r>
    </w:p>
    <w:p w14:paraId="0295D3DA" w14:textId="58141855" w:rsidR="00AF521D" w:rsidRDefault="00B61A0B">
      <w:pPr>
        <w:pStyle w:val="Bibliography"/>
      </w:pPr>
      <w:bookmarkStart w:id="54" w:name="ref-bhadeshia2010steels"/>
      <w:bookmarkEnd w:id="53"/>
      <w:r>
        <w:t>[</w:t>
      </w:r>
      <w:r>
        <w:t>32</w:t>
      </w:r>
      <w:r>
        <w:t xml:space="preserve">] </w:t>
      </w:r>
      <w:r>
        <w:tab/>
        <w:t>H.K.D.H. Bhadeshia, R.W.K. Honeycombe, Steels: Microstructure and properties, Fourth, Elsevier Butterworth-Heinemann, Oxford, 2017.</w:t>
      </w:r>
    </w:p>
    <w:p w14:paraId="48ECF8A2" w14:textId="77777777" w:rsidR="00AF521D" w:rsidRDefault="00B61A0B">
      <w:pPr>
        <w:pStyle w:val="Bibliography"/>
      </w:pPr>
      <w:bookmarkStart w:id="55" w:name="ref-omori2012apl"/>
      <w:bookmarkEnd w:id="54"/>
      <w:r>
        <w:t xml:space="preserve">[33] </w:t>
      </w:r>
      <w:r>
        <w:tab/>
      </w:r>
      <w:r>
        <w:t>T. Omori, M. Nagasako, M. Okano, K. Endo, R. Kainuma, Microstructure and martensitic transformation in the Fe-Mn-Al-Ni shape memory alloy with B2-type coherent fine particles, Applied Physics Letters 101 (2012) 231907. https://doi.org/</w:t>
      </w:r>
      <w:hyperlink r:id="rId39">
        <w:r>
          <w:rPr>
            <w:rStyle w:val="Hyperlink"/>
          </w:rPr>
          <w:t>10.1063/1.4769375</w:t>
        </w:r>
      </w:hyperlink>
      <w:r>
        <w:t>.</w:t>
      </w:r>
    </w:p>
    <w:p w14:paraId="460B3FA9" w14:textId="77777777" w:rsidR="00AF521D" w:rsidRDefault="00B61A0B">
      <w:pPr>
        <w:pStyle w:val="Bibliography"/>
      </w:pPr>
      <w:bookmarkStart w:id="56" w:name="ref-laroca2017jalcom"/>
      <w:bookmarkEnd w:id="55"/>
      <w:r>
        <w:t xml:space="preserve">[34] </w:t>
      </w:r>
      <w:r>
        <w:tab/>
        <w:t>P. La Roca, A. Baruj, C.E. Sobrero, J.A. Malarría, M. Sade, Nanoprecipitation effects on phase stability of Fe-Mn-Al-Ni alloys, Journal of Alloys and Compounds 708 (2017) 422–427. https://doi.org/</w:t>
      </w:r>
      <w:hyperlink r:id="rId40">
        <w:r>
          <w:rPr>
            <w:rStyle w:val="Hyperlink"/>
          </w:rPr>
          <w:t>10.1016/j.jallcom.2017.02.280</w:t>
        </w:r>
      </w:hyperlink>
      <w:r>
        <w:t>.</w:t>
      </w:r>
    </w:p>
    <w:p w14:paraId="38961AF3" w14:textId="77777777" w:rsidR="00AF521D" w:rsidRDefault="00B61A0B">
      <w:pPr>
        <w:pStyle w:val="Bibliography"/>
      </w:pPr>
      <w:bookmarkStart w:id="57" w:name="ref-heo2012mmta"/>
      <w:bookmarkEnd w:id="56"/>
      <w:r>
        <w:t xml:space="preserve">[35] </w:t>
      </w:r>
      <w:r>
        <w:tab/>
        <w:t>Y.-U. Heo, Y.-Y. Song, S.-J. Park, H.K.D.H. Bhadeshia, D.-W. Suh, Influence of silicon in low density Fe-C-Mn-Al steel, Metallurgical and Materials Transactions A 43 (2012) 1731–1735. https://doi.org/</w:t>
      </w:r>
      <w:hyperlink r:id="rId41">
        <w:r>
          <w:rPr>
            <w:rStyle w:val="Hyperlink"/>
          </w:rPr>
          <w:t>10.1007/s11661-012-1149-x</w:t>
        </w:r>
      </w:hyperlink>
      <w:r>
        <w:t>.</w:t>
      </w:r>
      <w:bookmarkEnd w:id="21"/>
      <w:bookmarkEnd w:id="23"/>
      <w:bookmarkEnd w:id="57"/>
    </w:p>
    <w:sectPr w:rsidR="00AF521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0259782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C7E0B"/>
    <w:rsid w:val="0015495A"/>
    <w:rsid w:val="002551FE"/>
    <w:rsid w:val="002C5EFD"/>
    <w:rsid w:val="0038224E"/>
    <w:rsid w:val="00654858"/>
    <w:rsid w:val="00AF521D"/>
    <w:rsid w:val="00B5240E"/>
    <w:rsid w:val="00B61A0B"/>
    <w:rsid w:val="00C42385"/>
    <w:rsid w:val="00DC3E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660D61B-05EC-4913-9851-E4B437ED3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38224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2507.06261" TargetMode="External"/><Relationship Id="rId18" Type="http://schemas.openxmlformats.org/officeDocument/2006/relationships/hyperlink" Target="https://doi.org/10.1007/978-0-387-47685-8" TargetMode="External"/><Relationship Id="rId26" Type="http://schemas.openxmlformats.org/officeDocument/2006/relationships/hyperlink" Target="https://doi.org/10.1016/j.actamat.2017.03.043" TargetMode="External"/><Relationship Id="rId39" Type="http://schemas.openxmlformats.org/officeDocument/2006/relationships/hyperlink" Target="https://doi.org/10.1063/1.4769375" TargetMode="External"/><Relationship Id="rId21" Type="http://schemas.openxmlformats.org/officeDocument/2006/relationships/hyperlink" Target="https://doi.org/10.1016/j.conbuildmat.2014.04.032" TargetMode="External"/><Relationship Id="rId34" Type="http://schemas.openxmlformats.org/officeDocument/2006/relationships/hyperlink" Target="https://doi.org/10.5334/jors.140" TargetMode="External"/><Relationship Id="rId42" Type="http://schemas.openxmlformats.org/officeDocument/2006/relationships/fontTable" Target="fontTable.xml"/><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hyperlink" Target="https://doi.org/10.1002/adfm.202527774" TargetMode="External"/><Relationship Id="rId20" Type="http://schemas.openxmlformats.org/officeDocument/2006/relationships/hyperlink" Target="https://doi.org/10.1016/j.matdes.2013.11.084" TargetMode="External"/><Relationship Id="rId29" Type="http://schemas.openxmlformats.org/officeDocument/2006/relationships/hyperlink" Target="https://doi.org/10.1007/s41365-024-01487-1" TargetMode="External"/><Relationship Id="rId41" Type="http://schemas.openxmlformats.org/officeDocument/2006/relationships/hyperlink" Target="https://doi.org/10.1007/s11661-012-1149-x"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hyperlink" Target="https://doi.org/10.1007/s40830-019-00230-9" TargetMode="External"/><Relationship Id="rId32" Type="http://schemas.openxmlformats.org/officeDocument/2006/relationships/hyperlink" Target="https://doi.org/10.1063/1.364220" TargetMode="External"/><Relationship Id="rId37" Type="http://schemas.openxmlformats.org/officeDocument/2006/relationships/hyperlink" Target="https://doi.org/10.1126/science.1183169" TargetMode="External"/><Relationship Id="rId40" Type="http://schemas.openxmlformats.org/officeDocument/2006/relationships/hyperlink" Target="https://doi.org/10.1016/j.jallcom.2017.02.280" TargetMode="External"/><Relationship Id="rId5" Type="http://schemas.openxmlformats.org/officeDocument/2006/relationships/image" Target="media/image1.jpg"/><Relationship Id="rId15" Type="http://schemas.openxmlformats.org/officeDocument/2006/relationships/hyperlink" Target="https://doi.org/10.1016/j.actamat.2022.117751" TargetMode="External"/><Relationship Id="rId23" Type="http://schemas.openxmlformats.org/officeDocument/2006/relationships/hyperlink" Target="https://doi.org/10.1016/j.scriptamat.2015.12.007" TargetMode="External"/><Relationship Id="rId28" Type="http://schemas.openxmlformats.org/officeDocument/2006/relationships/hyperlink" Target="https://doi.org/10.1016/j.matdes.2016.04.011" TargetMode="External"/><Relationship Id="rId36" Type="http://schemas.openxmlformats.org/officeDocument/2006/relationships/hyperlink" Target="https://doi.org/10.1016/j.calphad.2016.11.006" TargetMode="External"/><Relationship Id="rId10" Type="http://schemas.openxmlformats.org/officeDocument/2006/relationships/image" Target="media/image6.jpg"/><Relationship Id="rId19" Type="http://schemas.openxmlformats.org/officeDocument/2006/relationships/hyperlink" Target="https://doi.org/10.1016/S0921-5093(99)00294-4" TargetMode="External"/><Relationship Id="rId31" Type="http://schemas.openxmlformats.org/officeDocument/2006/relationships/hyperlink" Target="https://doi.org/10.1107/S0021889869006558"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hyperlink" Target="https://arxiv.org/abs/2506.12594" TargetMode="External"/><Relationship Id="rId22" Type="http://schemas.openxmlformats.org/officeDocument/2006/relationships/hyperlink" Target="https://doi.org/10.1126/science.1202232" TargetMode="External"/><Relationship Id="rId27" Type="http://schemas.openxmlformats.org/officeDocument/2006/relationships/hyperlink" Target="https://doi.org/10.1007/s11837-022-05349-2" TargetMode="External"/><Relationship Id="rId30" Type="http://schemas.openxmlformats.org/officeDocument/2006/relationships/hyperlink" Target="https://doi.org/10.1007/s41365-024-01468-4" TargetMode="External"/><Relationship Id="rId35" Type="http://schemas.openxmlformats.org/officeDocument/2006/relationships/hyperlink" Target="https://doi.org/10.1016/j.calphad.2023.102644" TargetMode="External"/><Relationship Id="rId43" Type="http://schemas.openxmlformats.org/officeDocument/2006/relationships/theme" Target="theme/theme1.xml"/><Relationship Id="rId8" Type="http://schemas.openxmlformats.org/officeDocument/2006/relationships/image" Target="media/image4.jpg"/><Relationship Id="rId3" Type="http://schemas.openxmlformats.org/officeDocument/2006/relationships/settings" Target="settings.xml"/><Relationship Id="rId12" Type="http://schemas.openxmlformats.org/officeDocument/2006/relationships/hyperlink" Target="https://doi.org/10.1038/s41586-023-06735-9" TargetMode="External"/><Relationship Id="rId17" Type="http://schemas.openxmlformats.org/officeDocument/2006/relationships/hyperlink" Target="https://arxiv.org/abs/2409.06756" TargetMode="External"/><Relationship Id="rId25" Type="http://schemas.openxmlformats.org/officeDocument/2006/relationships/hyperlink" Target="https://doi.org/10.1007/s40830-017-0129-9" TargetMode="External"/><Relationship Id="rId33" Type="http://schemas.openxmlformats.org/officeDocument/2006/relationships/hyperlink" Target="https://doi.org/10.1017/CBO9780511804137" TargetMode="External"/><Relationship Id="rId38" Type="http://schemas.openxmlformats.org/officeDocument/2006/relationships/hyperlink" Target="https://doi.org/10.1038/s41467-019-1030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14143</Words>
  <Characters>80621</Characters>
  <Application>Microsoft Office Word</Application>
  <DocSecurity>0</DocSecurity>
  <Lines>671</Lines>
  <Paragraphs>189</Paragraphs>
  <ScaleCrop>false</ScaleCrop>
  <Company/>
  <LinksUpToDate>false</LinksUpToDate>
  <CharactersWithSpaces>94575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Frank Cai</dc:creator>
  <cp:keywords/>
  <cp:lastModifiedBy>Frank Cai</cp:lastModifiedBy>
  <cp:revision>2</cp:revision>
  <dcterms:created xsi:type="dcterms:W3CDTF">2026-08-09T21:38:00Z</dcterms:created>
  <dcterms:modified xsi:type="dcterms:W3CDTF">2026-08-09T21:38:00Z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