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000000"/>
          <w:sz w:val="46"/>
        </w:rPr>
        <w:t>Fe-SMA Experimental Processing Summary</w:t>
      </w:r>
    </w:p>
    <w:p>
      <w:pPr>
        <w:spacing w:before="0" w:after="280"/>
      </w:pPr>
      <w:r>
        <w:rPr>
          <w:rFonts w:ascii="Calibri" w:hAnsi="Calibri"/>
          <w:color w:val="595959"/>
          <w:sz w:val="26"/>
        </w:rPr>
        <w:t>Procedures-focused briefing for Alem</w:t>
      </w:r>
    </w:p>
    <w:p>
      <w:pPr>
        <w:spacing w:before="0" w:after="40" w:line="264" w:lineRule="auto"/>
      </w:pPr>
      <w:r>
        <w:rPr>
          <w:rFonts w:ascii="Calibri" w:hAnsi="Calibri"/>
          <w:b/>
          <w:color w:val="000000"/>
          <w:sz w:val="21"/>
        </w:rPr>
        <w:t xml:space="preserve">Purpose: </w:t>
      </w:r>
      <w:r>
        <w:rPr>
          <w:rFonts w:ascii="Calibri" w:hAnsi="Calibri"/>
          <w:color w:val="000000"/>
          <w:sz w:val="21"/>
        </w:rPr>
        <w:t>Review the melting, hot-working, drawing, and heat-treatment routes used for the candidate and benchmark Fe-SMA wires.</w:t>
      </w:r>
    </w:p>
    <w:p>
      <w:pPr>
        <w:spacing w:before="0" w:after="40" w:line="264" w:lineRule="auto"/>
      </w:pPr>
      <w:r>
        <w:rPr>
          <w:rFonts w:ascii="Calibri" w:hAnsi="Calibri"/>
          <w:b/>
          <w:color w:val="000000"/>
          <w:sz w:val="21"/>
        </w:rPr>
        <w:t xml:space="preserve">Scope: </w:t>
      </w:r>
      <w:r>
        <w:rPr>
          <w:rFonts w:ascii="Calibri" w:hAnsi="Calibri"/>
          <w:color w:val="000000"/>
          <w:sz w:val="21"/>
        </w:rPr>
        <w:t>Experimental processing only; thermodynamic calculations, phase analysis, microscopy, and synchrotron measurements are intentionally excluded.</w:t>
      </w:r>
    </w:p>
    <w:p>
      <w:pPr>
        <w:spacing w:before="200" w:after="160"/>
        <w:pBdr>
          <w:bottom w:val="single" w:sz="8" w:space="1" w:color="A6A6A6"/>
        </w:pBdr>
      </w:pPr>
    </w:p>
    <w:p>
      <w:pPr>
        <w:pStyle w:val="Heading1"/>
      </w:pPr>
      <w:r>
        <w:t>1. Materials and processing objective</w:t>
      </w:r>
    </w:p>
    <w:p>
      <w:pPr>
        <w:spacing w:before="0" w:after="120" w:line="264" w:lineRule="auto"/>
      </w:pPr>
      <w:r>
        <w:rPr>
          <w:rFonts w:ascii="Calibri" w:hAnsi="Calibri"/>
          <w:color w:val="000000"/>
          <w:sz w:val="22"/>
        </w:rPr>
        <w:t>The candidate Fe-SMA was designed with a nominal composition of 50Fe-30Mn-12Al-4Ni-4Si (at%) with 1000 ppm C. The measured wire chemistry was 51.5Fe-29.8Mn-11.9Al-4.2Ni-2.0Si-0.45C (at%). A benchmark Fe-SMA, nominally 43.5Fe-34Mn-15Al-7.5Ni (at%), was processed in parallel as a reference route. Both routes were taken to fine wire through high-temperature deformation, cold work, and intermediate annealing.</w:t>
      </w:r>
    </w:p>
    <w:p>
      <w:pPr>
        <w:pStyle w:val="Heading1"/>
      </w:pPr>
      <w:r>
        <w:t>2. Route comparison</w:t>
      </w:r>
    </w:p>
    <w:p>
      <w:pPr>
        <w:spacing w:before="80" w:after="80"/>
      </w:pPr>
      <w:r>
        <w:rPr>
          <w:rFonts w:ascii="Calibri" w:hAnsi="Calibri"/>
          <w:i/>
          <w:color w:val="595959"/>
          <w:sz w:val="20"/>
        </w:rPr>
        <w:t>Table 1. Recorded processing routes used for the internal comparison.</w:t>
      </w:r>
    </w:p>
    <w:tbl>
      <w:tblPr>
        <w:tblW w:type="dxa" w:w="9360"/>
        <w:jc w:val="left"/>
        <w:tblLayout w:type="fixed"/>
        <w:tblLook w:firstColumn="1" w:firstRow="1" w:lastColumn="0" w:lastRow="0" w:noHBand="0" w:noVBand="1" w:val="04A0"/>
        <w:tblInd w:w="120" w:type="dxa"/>
      </w:tblPr>
      <w:tblGrid>
        <w:gridCol w:w="1940"/>
        <w:gridCol w:w="3710"/>
        <w:gridCol w:w="3710"/>
      </w:tblGrid>
      <w:tr>
        <w:tc>
          <w:tcPr>
            <w:tcW w:type="dxa" w:w="1940"/>
            <w:shd w:fill="F2F4F7"/>
          </w:tcPr>
          <w:p>
            <w:pPr>
              <w:spacing w:before="0" w:after="0" w:line="240" w:lineRule="auto"/>
            </w:pPr>
            <w:r>
              <w:rPr>
                <w:rFonts w:ascii="Calibri" w:hAnsi="Calibri"/>
                <w:b/>
                <w:color w:val="000000"/>
                <w:sz w:val="18"/>
              </w:rPr>
              <w:t>Step</w:t>
            </w:r>
          </w:p>
        </w:tc>
        <w:tc>
          <w:tcPr>
            <w:tcW w:type="dxa" w:w="3710"/>
            <w:shd w:fill="F2F4F7"/>
          </w:tcPr>
          <w:p>
            <w:pPr>
              <w:spacing w:before="0" w:after="0" w:line="240" w:lineRule="auto"/>
            </w:pPr>
            <w:r>
              <w:rPr>
                <w:rFonts w:ascii="Calibri" w:hAnsi="Calibri"/>
                <w:b/>
                <w:color w:val="000000"/>
                <w:sz w:val="18"/>
              </w:rPr>
              <w:t>Candidate Fe-SMA</w:t>
            </w:r>
          </w:p>
        </w:tc>
        <w:tc>
          <w:tcPr>
            <w:tcW w:type="dxa" w:w="3710"/>
            <w:shd w:fill="F2F4F7"/>
          </w:tcPr>
          <w:p>
            <w:pPr>
              <w:spacing w:before="0" w:after="0" w:line="240" w:lineRule="auto"/>
            </w:pPr>
            <w:r>
              <w:rPr>
                <w:rFonts w:ascii="Calibri" w:hAnsi="Calibri"/>
                <w:b/>
                <w:color w:val="000000"/>
                <w:sz w:val="18"/>
              </w:rPr>
              <w:t>Benchmark Fe-SMA</w:t>
            </w:r>
          </w:p>
        </w:tc>
      </w:tr>
      <w:tr>
        <w:tc>
          <w:tcPr>
            <w:tcW w:type="dxa" w:w="1940"/>
          </w:tcPr>
          <w:p>
            <w:pPr>
              <w:spacing w:before="0" w:after="0" w:line="240" w:lineRule="auto"/>
            </w:pPr>
            <w:r>
              <w:rPr>
                <w:rFonts w:ascii="Calibri" w:hAnsi="Calibri"/>
                <w:b/>
                <w:color w:val="000000"/>
                <w:sz w:val="18"/>
              </w:rPr>
              <w:t>Melt and cast</w:t>
            </w:r>
          </w:p>
        </w:tc>
        <w:tc>
          <w:tcPr>
            <w:tcW w:type="dxa" w:w="3710"/>
          </w:tcPr>
          <w:p>
            <w:pPr>
              <w:spacing w:before="0" w:after="0" w:line="240" w:lineRule="auto"/>
            </w:pPr>
            <w:r>
              <w:rPr>
                <w:rFonts w:ascii="Calibri" w:hAnsi="Calibri"/>
                <w:b w:val="0"/>
                <w:color w:val="000000"/>
                <w:sz w:val="18"/>
              </w:rPr>
              <w:t>Vacuum induction melt at 1650 °C for 30 min; poured into a water-cooled copper mould.</w:t>
            </w:r>
          </w:p>
        </w:tc>
        <w:tc>
          <w:tcPr>
            <w:tcW w:type="dxa" w:w="3710"/>
          </w:tcPr>
          <w:p>
            <w:pPr>
              <w:spacing w:before="0" w:after="0" w:line="240" w:lineRule="auto"/>
            </w:pPr>
            <w:r>
              <w:rPr>
                <w:rFonts w:ascii="Calibri" w:hAnsi="Calibri"/>
                <w:b w:val="0"/>
                <w:color w:val="000000"/>
                <w:sz w:val="18"/>
              </w:rPr>
              <w:t>Vacuum induction melt; remelted on an Arcast unit after voiding was observed; cast as a 0.600 in × 6 in rod.</w:t>
            </w:r>
          </w:p>
        </w:tc>
      </w:tr>
      <w:tr>
        <w:tc>
          <w:tcPr>
            <w:tcW w:type="dxa" w:w="1940"/>
          </w:tcPr>
          <w:p>
            <w:pPr>
              <w:spacing w:before="0" w:after="0" w:line="240" w:lineRule="auto"/>
            </w:pPr>
            <w:r>
              <w:rPr>
                <w:rFonts w:ascii="Calibri" w:hAnsi="Calibri"/>
                <w:b/>
                <w:color w:val="000000"/>
                <w:sz w:val="18"/>
              </w:rPr>
              <w:t>Stock and homogenization</w:t>
            </w:r>
          </w:p>
        </w:tc>
        <w:tc>
          <w:tcPr>
            <w:tcW w:type="dxa" w:w="3710"/>
          </w:tcPr>
          <w:p>
            <w:pPr>
              <w:spacing w:before="0" w:after="0" w:line="240" w:lineRule="auto"/>
            </w:pPr>
            <w:r>
              <w:rPr>
                <w:rFonts w:ascii="Calibri" w:hAnsi="Calibri"/>
                <w:b w:val="0"/>
                <w:color w:val="000000"/>
                <w:sz w:val="18"/>
              </w:rPr>
              <w:t>Two 0.500 in rods were cut by EDM. Tested wire was from the 1000 °C / 16 h argon-homogenized route.</w:t>
            </w:r>
          </w:p>
        </w:tc>
        <w:tc>
          <w:tcPr>
            <w:tcW w:type="dxa" w:w="3710"/>
          </w:tcPr>
          <w:p>
            <w:pPr>
              <w:spacing w:before="0" w:after="0" w:line="240" w:lineRule="auto"/>
            </w:pPr>
            <w:r>
              <w:rPr>
                <w:rFonts w:ascii="Calibri" w:hAnsi="Calibri"/>
                <w:b w:val="0"/>
                <w:color w:val="000000"/>
                <w:sz w:val="18"/>
              </w:rPr>
              <w:t>The benchmark was also confirmed to receive the 1000 °C / 16 h argon homogenization treatment.</w:t>
            </w:r>
          </w:p>
        </w:tc>
      </w:tr>
      <w:tr>
        <w:tc>
          <w:tcPr>
            <w:tcW w:type="dxa" w:w="1940"/>
          </w:tcPr>
          <w:p>
            <w:pPr>
              <w:spacing w:before="0" w:after="0" w:line="240" w:lineRule="auto"/>
            </w:pPr>
            <w:r>
              <w:rPr>
                <w:rFonts w:ascii="Calibri" w:hAnsi="Calibri"/>
                <w:b/>
                <w:color w:val="000000"/>
                <w:sz w:val="18"/>
              </w:rPr>
              <w:t>Hot deformation</w:t>
            </w:r>
          </w:p>
        </w:tc>
        <w:tc>
          <w:tcPr>
            <w:tcW w:type="dxa" w:w="3710"/>
          </w:tcPr>
          <w:p>
            <w:pPr>
              <w:spacing w:before="0" w:after="0" w:line="240" w:lineRule="auto"/>
            </w:pPr>
            <w:r>
              <w:rPr>
                <w:rFonts w:ascii="Calibri" w:hAnsi="Calibri"/>
                <w:b w:val="0"/>
                <w:color w:val="000000"/>
                <w:sz w:val="18"/>
              </w:rPr>
              <w:t>Hot rolled at 850 °C to approximately 0.175 in square section.</w:t>
            </w:r>
          </w:p>
        </w:tc>
        <w:tc>
          <w:tcPr>
            <w:tcW w:type="dxa" w:w="3710"/>
          </w:tcPr>
          <w:p>
            <w:pPr>
              <w:spacing w:before="0" w:after="0" w:line="240" w:lineRule="auto"/>
            </w:pPr>
            <w:r>
              <w:rPr>
                <w:rFonts w:ascii="Calibri" w:hAnsi="Calibri"/>
                <w:b w:val="0"/>
                <w:color w:val="000000"/>
                <w:sz w:val="18"/>
              </w:rPr>
              <w:t>Hot swaged at 900 °C to 0.475 in, then hot rolled at 900 °C to 0.210 in square section.</w:t>
            </w:r>
          </w:p>
        </w:tc>
      </w:tr>
      <w:tr>
        <w:tc>
          <w:tcPr>
            <w:tcW w:type="dxa" w:w="1940"/>
          </w:tcPr>
          <w:p>
            <w:pPr>
              <w:spacing w:before="0" w:after="0" w:line="240" w:lineRule="auto"/>
            </w:pPr>
            <w:r>
              <w:rPr>
                <w:rFonts w:ascii="Calibri" w:hAnsi="Calibri"/>
                <w:b/>
                <w:color w:val="000000"/>
                <w:sz w:val="18"/>
              </w:rPr>
              <w:t>Cold work and process annealing</w:t>
            </w:r>
          </w:p>
        </w:tc>
        <w:tc>
          <w:tcPr>
            <w:tcW w:type="dxa" w:w="3710"/>
          </w:tcPr>
          <w:p>
            <w:pPr>
              <w:spacing w:before="0" w:after="0" w:line="240" w:lineRule="auto"/>
            </w:pPr>
            <w:r>
              <w:rPr>
                <w:rFonts w:ascii="Calibri" w:hAnsi="Calibri"/>
                <w:b w:val="0"/>
                <w:color w:val="000000"/>
                <w:sz w:val="18"/>
              </w:rPr>
              <w:t>Cold swaged/drawn with 1000 °C argon process anneals to restore ductility; final wire 0.0142 in (0.36 mm).</w:t>
            </w:r>
          </w:p>
        </w:tc>
        <w:tc>
          <w:tcPr>
            <w:tcW w:type="dxa" w:w="3710"/>
          </w:tcPr>
          <w:p>
            <w:pPr>
              <w:spacing w:before="0" w:after="0" w:line="240" w:lineRule="auto"/>
            </w:pPr>
            <w:r>
              <w:rPr>
                <w:rFonts w:ascii="Calibri" w:hAnsi="Calibri"/>
                <w:b w:val="0"/>
                <w:color w:val="000000"/>
                <w:sz w:val="18"/>
              </w:rPr>
              <w:t>Cold swaged and drawn with a 900 °C / 1 min anneal, followed by 1000 °C process anneals in H₂ (F72) and argon; final wire 0.0253 in (0.64 mm).</w:t>
            </w:r>
          </w:p>
        </w:tc>
      </w:tr>
      <w:tr>
        <w:tc>
          <w:tcPr>
            <w:tcW w:type="dxa" w:w="1940"/>
          </w:tcPr>
          <w:p>
            <w:pPr>
              <w:spacing w:before="0" w:after="0" w:line="240" w:lineRule="auto"/>
            </w:pPr>
            <w:r>
              <w:rPr>
                <w:rFonts w:ascii="Calibri" w:hAnsi="Calibri"/>
                <w:b/>
                <w:color w:val="000000"/>
                <w:sz w:val="18"/>
              </w:rPr>
              <w:t>Shared final treatment</w:t>
            </w:r>
          </w:p>
        </w:tc>
        <w:tc>
          <w:tcPr>
            <w:tcW w:type="dxa" w:w="3710"/>
          </w:tcPr>
          <w:p>
            <w:pPr>
              <w:spacing w:before="0" w:after="0" w:line="240" w:lineRule="auto"/>
            </w:pPr>
            <w:r>
              <w:rPr>
                <w:rFonts w:ascii="Calibri" w:hAnsi="Calibri"/>
                <w:b w:val="0"/>
                <w:color w:val="000000"/>
                <w:sz w:val="18"/>
              </w:rPr>
              <w:t>Both alloys: sealed in quartz under argon; 1200 °C / 30 min cycles with 10 min cold-zone transfers, followed by water quench.</w:t>
            </w:r>
          </w:p>
        </w:tc>
        <w:tc>
          <w:tcPr>
            <w:tcW w:type="dxa" w:w="3710"/>
          </w:tcPr>
          <w:p>
            <w:pPr>
              <w:spacing w:before="0" w:after="0" w:line="240" w:lineRule="auto"/>
            </w:pPr>
            <w:r>
              <w:rPr>
                <w:rFonts w:ascii="Calibri" w:hAnsi="Calibri"/>
                <w:b w:val="0"/>
                <w:color w:val="000000"/>
                <w:sz w:val="18"/>
              </w:rPr>
              <w:t>Both alloys: sealed in quartz under argon; 1200 °C / 30 min cycles with 10 min cold-zone transfers, followed by water quench.</w:t>
            </w:r>
          </w:p>
        </w:tc>
      </w:tr>
    </w:tbl>
    <w:p>
      <w:pPr>
        <w:pStyle w:val="Heading1"/>
      </w:pPr>
      <w:r>
        <w:t>3. Candidate-alloy route in sequence</w:t>
      </w:r>
    </w:p>
    <w:p>
      <w:pPr>
        <w:spacing w:before="0" w:after="120" w:line="264" w:lineRule="auto"/>
      </w:pPr>
      <w:r>
        <w:rPr>
          <w:rFonts w:ascii="Calibri" w:hAnsi="Calibri"/>
          <w:color w:val="000000"/>
          <w:sz w:val="22"/>
        </w:rPr>
        <w:t>High-purity charge materials were vacuum-induction melted at 1650 °C for 30 min and poured into a water-cooled copper mould. Two 0.500 in rods were cut from the casting by EDM. The tested candidate wire came from the homogenized route: 1000 °C for 16 h in argon.</w:t>
      </w:r>
    </w:p>
    <w:p>
      <w:pPr>
        <w:spacing w:before="0" w:after="120" w:line="264" w:lineRule="auto"/>
      </w:pPr>
      <w:r>
        <w:rPr>
          <w:rFonts w:ascii="Calibri" w:hAnsi="Calibri"/>
          <w:color w:val="000000"/>
          <w:sz w:val="22"/>
        </w:rPr>
        <w:t>The homogenized stock was hot rolled at 850 °C in multiple passes to approximately 0.175 in square. It was then cold swaged and cold drawn. Work hardening during drawing was managed with 1000 °C argon process anneals, after which drawing continued to a final diameter of 0.0142 in (0.36 mm). The final cold-drawing reduction after the last process anneal was approximately 85% in area.</w:t>
      </w:r>
    </w:p>
    <w:p>
      <w:pPr>
        <w:pStyle w:val="Heading1"/>
      </w:pPr>
      <w:r>
        <w:t>4. Meeting checks</w:t>
      </w:r>
    </w:p>
    <w:p>
      <w:pPr>
        <w:spacing w:before="0" w:after="120" w:line="264" w:lineRule="auto"/>
      </w:pPr>
      <w:r>
        <w:rPr>
          <w:rFonts w:ascii="Calibri" w:hAnsi="Calibri"/>
          <w:color w:val="000000"/>
          <w:sz w:val="22"/>
        </w:rPr>
        <w:t>The final tested candidate wire is confirmed to be from the homogenized route. The side-by-side details above retain the process-log distinctions between the two materials, especially the 850 °C versus 900 °C hot-working temperatures, different final wire diameters, and benchmark use of hydrogen during part of the drawing route. These are the most useful items to confirm or refine during the next processing review.</w:t>
      </w:r>
    </w:p>
    <w:p>
      <w:pPr>
        <w:spacing w:before="160" w:after="0"/>
      </w:pPr>
      <w:r>
        <w:rPr>
          <w:rFonts w:ascii="Calibri" w:hAnsi="Calibri"/>
          <w:i/>
          <w:color w:val="595959"/>
          <w:sz w:val="18"/>
        </w:rPr>
        <w:t>Source basis: process-note-SCai; PROCESSING-AND-REPLICATES; current Fe-SMA manuscript experimental section.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95959"/>
        <w:sz w:val="17"/>
      </w:rPr>
      <w:t>Internal working summary | 26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95959"/>
        <w:sz w:val="17"/>
      </w:rPr>
      <w:t>Alem Meeting Brief | Experimental Processing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Fe-SMA Experimental Processing Summary</dc:title>
  <dc:subject>Procedures-focused meeting brief for Alem</dc:subject>
  <dc:creator>Frank Y. Cai</dc:creator>
  <cp:keywords/>
  <dc:description>generated by python-docx</dc:description>
  <cp:lastModifiedBy/>
  <cp:revision>1</cp:revision>
  <dcterms:created xsi:type="dcterms:W3CDTF">2013-12-23T23:15:00Z</dcterms:created>
  <dcterms:modified xsi:type="dcterms:W3CDTF">2013-12-23T23:15:00Z</dcterms:modified>
  <cp:category/>
</cp:coreProperties>
</file>