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ponse-to-reviewer-2"/>
    <w:p>
      <w:pPr>
        <w:pStyle w:val="Heading1"/>
      </w:pPr>
      <w:r>
        <w:t xml:space="preserve">Response to Reviewer 2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JMRT-D-26-06169R1</w:t>
      </w:r>
    </w:p>
    <w:p>
      <w:pPr>
        <w:pStyle w:val="BlockText"/>
      </w:pPr>
      <w:r>
        <w:t xml:space="preserve">I am pleased to state that the authors have comprehensively and satisfactorily addressed</w:t>
      </w:r>
      <w:r>
        <w:t xml:space="preserve"> </w:t>
      </w:r>
      <w:r>
        <w:t xml:space="preserve">all the points raised in my initial review. … I recommend acceptance of this paper in its</w:t>
      </w:r>
      <w:r>
        <w:t xml:space="preserve"> </w:t>
      </w:r>
      <w:r>
        <w:t xml:space="preserve">current form.</w:t>
      </w:r>
    </w:p>
    <w:p>
      <w:pPr>
        <w:pStyle w:val="FirstParagraph"/>
      </w:pPr>
      <w:r>
        <w:t xml:space="preserve">We thank Reviewer 2 for the careful reading of both versions and for the recommendation.</w:t>
      </w:r>
      <w:r>
        <w:t xml:space="preserve"> </w:t>
      </w:r>
      <w:r>
        <w:t xml:space="preserve">Since that review the manuscript has been revised once more in response to Reviewer 3 and to</w:t>
      </w:r>
      <w:r>
        <w:t xml:space="preserve"> </w:t>
      </w:r>
      <w:r>
        <w:t xml:space="preserve">correct two errors of our own: the liquid phase had been omitted from two of the three</w:t>
      </w:r>
      <w:r>
        <w:t xml:space="preserve"> </w:t>
      </w:r>
      <w:r>
        <w:t xml:space="preserve">databases in the CALPHAD calculations of Sec. 3.4, and one 40-minute-anneal elongation in</w:t>
      </w:r>
      <w:r>
        <w:t xml:space="preserve"> </w:t>
      </w:r>
      <w:r>
        <w:t xml:space="preserve">Sec. 3.5 had been taken from a benchmark test record. The first correction strengthens rather</w:t>
      </w:r>
      <w:r>
        <w:t xml:space="preserve"> </w:t>
      </w:r>
      <w:r>
        <w:t xml:space="preserve">than weakens the point Reviewer 2 asked us to support by calculation in Round 1: with the</w:t>
      </w:r>
      <w:r>
        <w:t xml:space="preserve"> </w:t>
      </w:r>
      <w:r>
        <w:t xml:space="preserve">liquid phase included, the LLM-alloy begins to melt before it is ever single-phase α in any of</w:t>
      </w:r>
      <w:r>
        <w:t xml:space="preserve"> </w:t>
      </w:r>
      <w:r>
        <w:t xml:space="preserve">the three databases, while the carbon-free control remains single-phase α at 1200 °C. The</w:t>
      </w:r>
      <w:r>
        <w:t xml:space="preserve"> </w:t>
      </w:r>
      <w:r>
        <w:t xml:space="preserve">second is replaced by the LLM-alloy’s own record, which supports the same conclusion, and a</w:t>
      </w:r>
      <w:r>
        <w:t xml:space="preserve"> </w:t>
      </w:r>
      <w:r>
        <w:t xml:space="preserve">new Fig. 10 presents every tensile record in those conditions directly. Every changed sentence</w:t>
      </w:r>
      <w:r>
        <w:t xml:space="preserve"> </w:t>
      </w:r>
      <w:r>
        <w:t xml:space="preserve">is marked in the tracked-changes file, and the full account is given in the response to</w:t>
      </w:r>
      <w:r>
        <w:t xml:space="preserve"> </w:t>
      </w:r>
      <w:r>
        <w:t xml:space="preserve">Reviewer 3, points 6 and 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2026-09-20T20:05:01Z</dcterms:created>
  <dcterms:modified xsi:type="dcterms:W3CDTF">2026-09-20T20:05:01Z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