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response-to-reviewer-3"/>
    <w:p>
      <w:pPr>
        <w:pStyle w:val="Heading1"/>
      </w:pPr>
      <w:r>
        <w:t xml:space="preserve">Response to Reviewer 3</w:t>
      </w:r>
    </w:p>
    <w:p>
      <w:pPr>
        <w:pStyle w:val="FirstParagraph"/>
      </w:pPr>
      <w:r>
        <w:rPr>
          <w:b/>
          <w:bCs/>
        </w:rPr>
        <w:t xml:space="preserve">Manuscript:</w:t>
      </w:r>
      <w:r>
        <w:t xml:space="preserve"> </w:t>
      </w:r>
      <w:r>
        <w:t xml:space="preserve">JMRT-D-26-06169R1,</w:t>
      </w:r>
      <w:r>
        <w:t xml:space="preserve"> </w:t>
      </w:r>
      <w:r>
        <w:rPr>
          <w:i/>
          <w:iCs/>
        </w:rPr>
        <w:t xml:space="preserve">Experimental Validation of an LLM-Hypothesized Fe-Mn-Al-Ni-Si-C Alloy: Phase Stability Governs the Absence of Super-elasticity</w:t>
      </w:r>
    </w:p>
    <w:p>
      <w:pPr>
        <w:pStyle w:val="BodyText"/>
      </w:pPr>
      <w:r>
        <w:t xml:space="preserve">We thank Reviewer 3 for a second careful reading. The eight points are answered in order below; section, figure and table numbers refer to the revised manuscript, in which</w:t>
      </w:r>
      <w:r>
        <w:t xml:space="preserve"> </w:t>
      </w:r>
      <w:r>
        <w:rPr>
          <w:b/>
          <w:bCs/>
        </w:rPr>
        <w:t xml:space="preserve">Fig. 10</w:t>
      </w:r>
      <w:r>
        <w:t xml:space="preserve"> </w:t>
      </w:r>
      <w:r>
        <w:t xml:space="preserve">and</w:t>
      </w:r>
      <w:r>
        <w:t xml:space="preserve"> </w:t>
      </w:r>
      <w:r>
        <w:rPr>
          <w:b/>
          <w:bCs/>
        </w:rPr>
        <w:t xml:space="preserve">Table 4</w:t>
      </w:r>
      <w:r>
        <w:t xml:space="preserve"> </w:t>
      </w:r>
      <w:r>
        <w:t xml:space="preserve">are new. Before the replies we report three things we found in preparing this revision, because each bears on one of the points and we would rather state them here than have them discovered.</w:t>
      </w:r>
    </w:p>
    <w:p>
      <w:pPr>
        <w:pStyle w:val="Compact"/>
        <w:numPr>
          <w:ilvl w:val="0"/>
          <w:numId w:val="1001"/>
        </w:numPr>
      </w:pPr>
      <w:r>
        <w:t xml:space="preserve">The CALPHAD scripts used for Revision 1 had silently omitted the liquid phase from two of the three databases. The α-solvus temperatures quoted in Revision 1 were therefore wrong. Every calculation has been re-run with the liquid phase present; the corrected results are described under point 6 and every affected sentence is marked in the tracked-changes file. The correction removes the inconsistency the Reviewer identified and strengthens the conclusion drawn from it.</w:t>
      </w:r>
    </w:p>
    <w:p>
      <w:pPr>
        <w:pStyle w:val="Compact"/>
        <w:numPr>
          <w:ilvl w:val="0"/>
          <w:numId w:val="1001"/>
        </w:numPr>
      </w:pPr>
      <w:r>
        <w:t xml:space="preserve">The 40-minute-anneal elongation quoted in Sec. 3.5 of Revision 1 (11.0% falling to 1.4%) came from a rod test record that, on re-examination of the raw files, belongs to the benchmark heat rather than to the LLM-alloy. Those numbers are withdrawn and replaced by the LLM-alloy’s own record for that condition (point 7).</w:t>
      </w:r>
    </w:p>
    <w:p>
      <w:pPr>
        <w:pStyle w:val="Compact"/>
        <w:numPr>
          <w:ilvl w:val="0"/>
          <w:numId w:val="1001"/>
        </w:numPr>
      </w:pPr>
      <w:r>
        <w:t xml:space="preserve">The load-frame record of the Fig. 3 tests has been located, and it settles the gauge question directly (point 4).</w:t>
      </w:r>
    </w:p>
    <w:p>
      <w:r>
        <w:pict>
          <v:rect style="width:0;height:1.5pt" o:hralign="center" o:hrstd="t" o:hr="t"/>
        </w:pict>
      </w:r>
    </w:p>
    <w:bookmarkStart w:id="9" w:name="point-1-rigor-of-the-revised-conclusions"/>
    <w:p>
      <w:pPr>
        <w:pStyle w:val="Heading2"/>
      </w:pPr>
      <w:r>
        <w:t xml:space="preserve">Point 1 — rigor of the revised conclusions</w:t>
      </w:r>
    </w:p>
    <w:p>
      <w:pPr>
        <w:pStyle w:val="BlockText"/>
      </w:pPr>
      <w:r>
        <w:rPr>
          <w:i/>
          <w:iCs/>
        </w:rPr>
        <w:t xml:space="preserve">The revised manuscript has substantially changed the core conclusions and scientific interpretation of the original manuscript, going beyond ordinary supplementation and refinement. Although revising conclusions in light of new evidence is a normal scientific process, such a marked change also indicates that the original manuscript drew overly definitive conclusions on the basis of insufficient evidence, raising concerns about the rigor of the scientific argument. The authors should clearly state whether the original conclusions still hold and demonstrate that the revised core conclusions are supported by sufficiently reliable experimental evidence.</w:t>
      </w:r>
    </w:p>
    <w:p>
      <w:pPr>
        <w:pStyle w:val="FirstParagraph"/>
      </w:pPr>
      <w:r>
        <w:t xml:space="preserve">We accept the characterization. The original manuscript stated a mechanism more definitely than the two-heat comparison could support, and the revision replaced it. The table below states, for each conclusion of the submitted manuscript, whether it holds, was corrected, or was withdrawn and replaced, and why. Sec. 5 of the revised manuscript now carries the same account in two paragraphs, so that a reader of the paper alone sees the order in which the evidence arrived.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Conclusion as submitted (15 July 2026)</w:t>
            </w:r>
          </w:p>
        </w:tc>
        <w:tc>
          <w:tcPr/>
          <w:p>
            <w:pPr>
              <w:pStyle w:val="Compact"/>
            </w:pPr>
            <w:r>
              <w:t xml:space="preserve">Status</w:t>
            </w:r>
          </w:p>
        </w:tc>
        <w:tc>
          <w:tcPr/>
          <w:p>
            <w:pPr>
              <w:pStyle w:val="Compact"/>
            </w:pPr>
            <w:r>
              <w:t xml:space="preserve">Revised statement and reason</w:t>
            </w:r>
          </w:p>
        </w:tc>
      </w:tr>
      <w:tr>
        <w:tc>
          <w:tcPr/>
          <w:p>
            <w:pPr>
              <w:pStyle w:val="Compact"/>
            </w:pPr>
            <w:r>
              <w:t xml:space="preserve">The alloy is readily castable and draws to wire</w:t>
            </w:r>
          </w:p>
        </w:tc>
        <w:tc>
          <w:tcPr/>
          <w:p>
            <w:pPr>
              <w:pStyle w:val="Compact"/>
            </w:pPr>
            <w:r>
              <w:rPr>
                <w:b/>
                <w:bCs/>
              </w:rPr>
              <w:t xml:space="preserve">Held</w:t>
            </w:r>
          </w:p>
        </w:tc>
        <w:tc>
          <w:tcPr/>
          <w:p>
            <w:pPr>
              <w:pStyle w:val="Compact"/>
            </w:pPr>
            <w:r>
              <w:t xml:space="preserve">Unchanged (Sec. 5).</w:t>
            </w:r>
          </w:p>
        </w:tc>
      </w:tr>
      <w:tr>
        <w:tc>
          <w:tcPr/>
          <w:p>
            <w:pPr>
              <w:pStyle w:val="Compact"/>
            </w:pPr>
            <w:r>
              <w:t xml:space="preserve">No super-elasticity under any condition tested; unloading indistinguishable from an elastic metal</w:t>
            </w:r>
          </w:p>
        </w:tc>
        <w:tc>
          <w:tcPr/>
          <w:p>
            <w:pPr>
              <w:pStyle w:val="Compact"/>
            </w:pPr>
            <w:r>
              <w:rPr>
                <w:b/>
                <w:bCs/>
              </w:rPr>
              <w:t xml:space="preserve">Held as an observation; scope bounded</w:t>
            </w:r>
          </w:p>
        </w:tc>
        <w:tc>
          <w:tcPr/>
          <w:p>
            <w:pPr>
              <w:pStyle w:val="Compact"/>
            </w:pPr>
            <w:r>
              <w:t xml:space="preserve">The measurement is unchanged (recovery ≤ σ/E in every recorded unloading). The conditions are now enumerated wherever the conclusion is drawn (Secs. 3.2, 3.3, 3.5, 4.1; point 5), and the shape-memory test is stated to cover one condition (Fig. 3a).</w:t>
            </w:r>
          </w:p>
        </w:tc>
      </w:tr>
      <w:tr>
        <w:tc>
          <w:tcPr/>
          <w:p>
            <w:pPr>
              <w:pStyle w:val="Compact"/>
            </w:pPr>
            <w:r>
              <w:t xml:space="preserve">Benchmark transforms under the same protocol</w:t>
            </w:r>
          </w:p>
        </w:tc>
        <w:tc>
          <w:tcPr/>
          <w:p>
            <w:pPr>
              <w:pStyle w:val="Compact"/>
            </w:pPr>
            <w:r>
              <w:rPr>
                <w:b/>
                <w:bCs/>
              </w:rPr>
              <w:t xml:space="preserve">Held</w:t>
            </w:r>
          </w:p>
        </w:tc>
        <w:tc>
          <w:tcPr/>
          <w:p>
            <w:pPr>
              <w:pStyle w:val="Compact"/>
            </w:pPr>
            <w:r>
              <w:t xml:space="preserve">Fig. 3b, ≈0.5% recovery on heating; unchanged.</w:t>
            </w:r>
          </w:p>
        </w:tc>
      </w:tr>
      <w:tr>
        <w:tc>
          <w:tcPr/>
          <w:p>
            <w:pPr>
              <w:pStyle w:val="Compact"/>
            </w:pPr>
            <w:r>
              <w:t xml:space="preserve">Duplex γ + α with a minor ordered Fe-Al phase, unchanged by deformation</w:t>
            </w:r>
          </w:p>
        </w:tc>
        <w:tc>
          <w:tcPr/>
          <w:p>
            <w:pPr>
              <w:pStyle w:val="Compact"/>
            </w:pPr>
            <w:r>
              <w:rPr>
                <w:b/>
                <w:bCs/>
              </w:rPr>
              <w:t xml:space="preserve">Held</w:t>
            </w:r>
          </w:p>
        </w:tc>
        <w:tc>
          <w:tcPr/>
          <w:p>
            <w:pPr>
              <w:pStyle w:val="Compact"/>
            </w:pPr>
            <w:r>
              <w:t xml:space="preserve">Now documented (MAUD 2.33, three-phase model, E-WIMV texture, residuals in Sec. 2.5 and Fig. 5).</w:t>
            </w:r>
          </w:p>
        </w:tc>
      </w:tr>
      <w:tr>
        <w:tc>
          <w:tcPr/>
          <w:p>
            <w:pPr>
              <w:pStyle w:val="Compact"/>
            </w:pPr>
            <w:r>
              <w:t xml:space="preserve">Both alloys</w:t>
            </w:r>
            <w:r>
              <w:t xml:space="preserve"> </w:t>
            </w:r>
            <w:r>
              <w:t xml:space="preserve">“processed under identical conditions”</w:t>
            </w:r>
            <w:r>
              <w:t xml:space="preserve">; composition the sole variable</w:t>
            </w:r>
          </w:p>
        </w:tc>
        <w:tc>
          <w:tcPr/>
          <w:p>
            <w:pPr>
              <w:pStyle w:val="Compact"/>
            </w:pPr>
            <w:r>
              <w:rPr>
                <w:b/>
                <w:bCs/>
              </w:rPr>
              <w:t xml:space="preserve">Corrected</w:t>
            </w:r>
          </w:p>
        </w:tc>
        <w:tc>
          <w:tcPr/>
          <w:p>
            <w:pPr>
              <w:pStyle w:val="Compact"/>
            </w:pPr>
            <w:r>
              <w:t xml:space="preserve">The routes were the same</w:t>
            </w:r>
            <w:r>
              <w:t xml:space="preserve"> </w:t>
            </w:r>
            <w:r>
              <w:rPr>
                <w:i/>
                <w:iCs/>
              </w:rPr>
              <w:t xml:space="preserve">nominally</w:t>
            </w:r>
            <w:r>
              <w:t xml:space="preserve"> </w:t>
            </w:r>
            <w:r>
              <w:t xml:space="preserve">(Sec. 1); the claim that composition was isolated is withdrawn (Round-1 point 1).</w:t>
            </w:r>
          </w:p>
        </w:tc>
      </w:tr>
      <w:tr>
        <w:tc>
          <w:tcPr/>
          <w:p>
            <w:pPr>
              <w:pStyle w:val="Compact"/>
            </w:pPr>
            <w:r>
              <w:t xml:space="preserve">α ≈37%</w:t>
            </w:r>
          </w:p>
        </w:tc>
        <w:tc>
          <w:tcPr/>
          <w:p>
            <w:pPr>
              <w:pStyle w:val="Compact"/>
            </w:pPr>
            <w:r>
              <w:rPr>
                <w:b/>
                <w:bCs/>
              </w:rPr>
              <w:t xml:space="preserve">Corrected</w:t>
            </w:r>
          </w:p>
        </w:tc>
        <w:tc>
          <w:tcPr/>
          <w:p>
            <w:pPr>
              <w:pStyle w:val="Compact"/>
            </w:pPr>
            <w:r>
              <w:t xml:space="preserve">34% (Sec. 3.3 always read 62/34/4; the 37% was an arithmetic slip).</w:t>
            </w:r>
          </w:p>
        </w:tc>
      </w:tr>
      <w:tr>
        <w:tc>
          <w:tcPr/>
          <w:p>
            <w:pPr>
              <w:pStyle w:val="Compact"/>
            </w:pPr>
            <w:r>
              <w:t xml:space="preserve">Gauge length 13 mm; strain rate 1 × 10⁻³ s⁻¹</w:t>
            </w:r>
          </w:p>
        </w:tc>
        <w:tc>
          <w:tcPr/>
          <w:p>
            <w:pPr>
              <w:pStyle w:val="Compact"/>
            </w:pPr>
            <w:r>
              <w:rPr>
                <w:b/>
                <w:bCs/>
              </w:rPr>
              <w:t xml:space="preserve">Corrected</w:t>
            </w:r>
          </w:p>
        </w:tc>
        <w:tc>
          <w:tcPr/>
          <w:p>
            <w:pPr>
              <w:pStyle w:val="Compact"/>
            </w:pPr>
            <w:r>
              <w:t xml:space="preserve">127 mm and 8.3 × 10⁻⁴ s⁻¹ from the instrument records (point 4).</w:t>
            </w:r>
          </w:p>
        </w:tc>
      </w:tr>
      <w:tr>
        <w:tc>
          <w:tcPr/>
          <w:p>
            <w:pPr>
              <w:pStyle w:val="Compact"/>
            </w:pPr>
            <w:r>
              <w:t xml:space="preserve">Table 2 from single specimens</w:t>
            </w:r>
          </w:p>
        </w:tc>
        <w:tc>
          <w:tcPr/>
          <w:p>
            <w:pPr>
              <w:pStyle w:val="Compact"/>
            </w:pPr>
            <w:r>
              <w:rPr>
                <w:b/>
                <w:bCs/>
              </w:rPr>
              <w:t xml:space="preserve">Corrected by experiment</w:t>
            </w:r>
          </w:p>
        </w:tc>
        <w:tc>
          <w:tcPr/>
          <w:p>
            <w:pPr>
              <w:pStyle w:val="Compact"/>
            </w:pPr>
            <w:r>
              <w:t xml:space="preserve">n = 3 per condition (August 2026 replicates); σ₀.₂ across the sweep 1948 → 502 became 1908 → 519 MPa; no trend changed.</w:t>
            </w:r>
          </w:p>
        </w:tc>
      </w:tr>
      <w:tr>
        <w:tc>
          <w:tcPr/>
          <w:p>
            <w:pPr>
              <w:pStyle w:val="Compact"/>
            </w:pPr>
            <w:r>
              <w:t xml:space="preserve">Silicon</w:t>
            </w:r>
            <w:r>
              <w:t xml:space="preserve"> </w:t>
            </w:r>
            <w:r>
              <w:t xml:space="preserve">“very close to nominal”</w:t>
            </w:r>
            <w:r>
              <w:t xml:space="preserve">; composition</w:t>
            </w:r>
            <w:r>
              <w:t xml:space="preserve"> </w:t>
            </w:r>
            <w:r>
              <w:t xml:space="preserve">“within one of the AI-suggested ranges”</w:t>
            </w:r>
          </w:p>
        </w:tc>
        <w:tc>
          <w:tcPr/>
          <w:p>
            <w:pPr>
              <w:pStyle w:val="Compact"/>
            </w:pPr>
            <w:r>
              <w:rPr>
                <w:b/>
                <w:bCs/>
              </w:rPr>
              <w:t xml:space="preserve">Corrected</w:t>
            </w:r>
          </w:p>
        </w:tc>
        <w:tc>
          <w:tcPr/>
          <w:p>
            <w:pPr>
              <w:pStyle w:val="Compact"/>
            </w:pPr>
            <w:r>
              <w:t xml:space="preserve">Si recovered at ≈50%; the melt lies inside the agent’s range on Si, Ni and C and outside it on Mn and Al (Sec. 2.1).</w:t>
            </w:r>
          </w:p>
        </w:tc>
      </w:tr>
      <w:tr>
        <w:tc>
          <w:tcPr/>
          <w:p>
            <w:pPr>
              <w:pStyle w:val="Compact"/>
            </w:pPr>
            <w:r>
              <w:t xml:space="preserve">Absence of transformation caused by carbon stabilising γ and lowering the</w:t>
            </w:r>
            <w:r>
              <w:t xml:space="preserve"> </w:t>
            </w:r>
            <w:r>
              <w:rPr>
                <w:i/>
                <w:iCs/>
              </w:rPr>
              <w:t xml:space="preserve">driving force</w:t>
            </w:r>
            <w:r>
              <w:t xml:space="preserve"> </w:t>
            </w:r>
            <w:r>
              <w:t xml:space="preserve">(abstract, Sec. 4.1)</w:t>
            </w:r>
          </w:p>
        </w:tc>
        <w:tc>
          <w:tcPr/>
          <w:p>
            <w:pPr>
              <w:pStyle w:val="Compact"/>
            </w:pPr>
            <w:r>
              <w:rPr>
                <w:b/>
                <w:bCs/>
              </w:rPr>
              <w:t xml:space="preserve">Withdrawn and replaced</w:t>
            </w:r>
          </w:p>
        </w:tc>
        <w:tc>
          <w:tcPr/>
          <w:p>
            <w:pPr>
              <w:pStyle w:val="Compact"/>
            </w:pPr>
            <w:r>
              <w:t xml:space="preserve">The two-heat comparison cannot isolate one of five differing elements (Sec. 4.2). Replaced by the calculated closure of the single-phase α field at any accessible temperature, with an in-silico carbon-free control and a benchmark reproduced without fitting (Secs. 3.4, 4.1, 4.2). Carbon remains the element implicated, by a different argument.</w:t>
            </w:r>
          </w:p>
        </w:tc>
      </w:tr>
      <w:tr>
        <w:tc>
          <w:tcPr/>
          <w:p>
            <w:pPr>
              <w:pStyle w:val="Compact"/>
            </w:pPr>
            <w:r>
              <w:t xml:space="preserve">Fe₃Al</w:t>
            </w:r>
            <w:r>
              <w:t xml:space="preserve"> </w:t>
            </w:r>
            <w:r>
              <w:t xml:space="preserve">“extracts Fe and Al and could further decrease α stability”</w:t>
            </w:r>
          </w:p>
        </w:tc>
        <w:tc>
          <w:tcPr/>
          <w:p>
            <w:pPr>
              <w:pStyle w:val="Compact"/>
            </w:pPr>
            <w:r>
              <w:rPr>
                <w:b/>
                <w:bCs/>
              </w:rPr>
              <w:t xml:space="preserve">Withdrawn and replaced</w:t>
            </w:r>
          </w:p>
        </w:tc>
        <w:tc>
          <w:tcPr/>
          <w:p>
            <w:pPr>
              <w:pStyle w:val="Compact"/>
            </w:pPr>
            <w:r>
              <w:t xml:space="preserve">D0₃ read as a metastable ordering product characteristic of the Fe-Mn-Al-C field (Round-1 point 2).</w:t>
            </w:r>
          </w:p>
        </w:tc>
      </w:tr>
      <w:tr>
        <w:tc>
          <w:tcPr/>
          <w:p>
            <w:pPr>
              <w:pStyle w:val="Compact"/>
            </w:pPr>
            <w:r>
              <w:t xml:space="preserve">Benchmark</w:t>
            </w:r>
            <w:r>
              <w:t xml:space="preserve"> </w:t>
            </w:r>
            <w:r>
              <w:t xml:space="preserve">“relies on”</w:t>
            </w:r>
            <w:r>
              <w:t xml:space="preserve"> </w:t>
            </w:r>
            <w:r>
              <w:t xml:space="preserve">coherent B2</w:t>
            </w:r>
          </w:p>
        </w:tc>
        <w:tc>
          <w:tcPr/>
          <w:p>
            <w:pPr>
              <w:pStyle w:val="Compact"/>
            </w:pPr>
            <w:r>
              <w:rPr>
                <w:b/>
                <w:bCs/>
              </w:rPr>
              <w:t xml:space="preserve">Corrected</w:t>
            </w:r>
          </w:p>
        </w:tc>
        <w:tc>
          <w:tcPr/>
          <w:p>
            <w:pPr>
              <w:pStyle w:val="Compact"/>
            </w:pPr>
            <w:r>
              <w:t xml:space="preserve">B2 contributes to, rather than solely determines, reversibility (Round-1 points 8, 10).</w:t>
            </w:r>
          </w:p>
        </w:tc>
      </w:tr>
      <w:tr>
        <w:tc>
          <w:tcPr/>
          <w:p>
            <w:pPr>
              <w:pStyle w:val="Compact"/>
            </w:pPr>
            <w:r>
              <w:t xml:space="preserve">Ms above room temperature (added in Revision 1)</w:t>
            </w:r>
          </w:p>
        </w:tc>
        <w:tc>
          <w:tcPr/>
          <w:p>
            <w:pPr>
              <w:pStyle w:val="Compact"/>
            </w:pPr>
            <w:r>
              <w:rPr>
                <w:b/>
                <w:bCs/>
              </w:rPr>
              <w:t xml:space="preserve">Demoted</w:t>
            </w:r>
          </w:p>
        </w:tc>
        <w:tc>
          <w:tcPr/>
          <w:p>
            <w:pPr>
              <w:pStyle w:val="Compact"/>
            </w:pPr>
            <w:r>
              <w:t xml:space="preserve">Now one of two open readings of the γ/α inversion, with the test named (point 8).</w:t>
            </w:r>
          </w:p>
        </w:tc>
      </w:tr>
      <w:tr>
        <w:tc>
          <w:tcPr/>
          <w:p>
            <w:pPr>
              <w:pStyle w:val="Compact"/>
            </w:pPr>
            <w:r>
              <w:t xml:space="preserve">α solvus ≈1340 °C (Revision 1)</w:t>
            </w:r>
          </w:p>
        </w:tc>
        <w:tc>
          <w:tcPr/>
          <w:p>
            <w:pPr>
              <w:pStyle w:val="Compact"/>
            </w:pPr>
            <w:r>
              <w:rPr>
                <w:b/>
                <w:bCs/>
              </w:rPr>
              <w:t xml:space="preserve">Corrected</w:t>
            </w:r>
          </w:p>
        </w:tc>
        <w:tc>
          <w:tcPr/>
          <w:p>
            <w:pPr>
              <w:pStyle w:val="Compact"/>
            </w:pPr>
            <w:r>
              <w:t xml:space="preserve">An artifact of the omitted liquid phase; no single-phase α field exists in the solid state (point 6).</w:t>
            </w:r>
          </w:p>
        </w:tc>
      </w:tr>
      <w:tr>
        <w:tc>
          <w:tcPr/>
          <w:p>
            <w:pPr>
              <w:pStyle w:val="Compact"/>
            </w:pPr>
            <w:r>
              <w:t xml:space="preserve">Agent</w:t>
            </w:r>
            <w:r>
              <w:t xml:space="preserve"> </w:t>
            </w:r>
            <w:r>
              <w:t xml:space="preserve">“trained on over 200 papers”</w:t>
            </w:r>
          </w:p>
        </w:tc>
        <w:tc>
          <w:tcPr/>
          <w:p>
            <w:pPr>
              <w:pStyle w:val="Compact"/>
            </w:pPr>
            <w:r>
              <w:rPr>
                <w:b/>
                <w:bCs/>
              </w:rPr>
              <w:t xml:space="preserve">Corrected</w:t>
            </w:r>
          </w:p>
        </w:tc>
        <w:tc>
          <w:tcPr/>
          <w:p>
            <w:pPr>
              <w:pStyle w:val="Compact"/>
            </w:pPr>
            <w:r>
              <w:t xml:space="preserve">The agent retrieves sources at query time; its report cites 76 (Sec. 1).</w:t>
            </w:r>
          </w:p>
        </w:tc>
      </w:tr>
      <w:tr>
        <w:tc>
          <w:tcPr/>
          <w:p>
            <w:pPr>
              <w:pStyle w:val="Compact"/>
            </w:pPr>
            <w:r>
              <w:t xml:space="preserve">“An important limitation of current AI-assisted alloy design”</w:t>
            </w:r>
          </w:p>
        </w:tc>
        <w:tc>
          <w:tcPr/>
          <w:p>
            <w:pPr>
              <w:pStyle w:val="Compact"/>
            </w:pPr>
            <w:r>
              <w:rPr>
                <w:b/>
                <w:bCs/>
              </w:rPr>
              <w:t xml:space="preserve">Withdrawn and replaced</w:t>
            </w:r>
          </w:p>
        </w:tc>
        <w:tc>
          <w:tcPr/>
          <w:p>
            <w:pPr>
              <w:pStyle w:val="Compact"/>
            </w:pPr>
            <w:r>
              <w:t xml:space="preserve">A limitation of the workflow as run, not a demonstrated limit on what an LLM can propose (point 2).</w:t>
            </w:r>
          </w:p>
        </w:tc>
      </w:tr>
      <w:tr>
        <w:tc>
          <w:tcPr/>
          <w:p>
            <w:pPr>
              <w:pStyle w:val="Compact"/>
            </w:pPr>
            <w:r>
              <w:t xml:space="preserve">Value of experimentally validating AI-generated hypotheses</w:t>
            </w:r>
          </w:p>
        </w:tc>
        <w:tc>
          <w:tcPr/>
          <w:p>
            <w:pPr>
              <w:pStyle w:val="Compact"/>
            </w:pPr>
            <w:r>
              <w:rPr>
                <w:b/>
                <w:bCs/>
              </w:rPr>
              <w:t xml:space="preserve">Held</w:t>
            </w:r>
          </w:p>
        </w:tc>
        <w:tc>
          <w:tcPr/>
          <w:p>
            <w:pPr>
              <w:pStyle w:val="Compact"/>
            </w:pPr>
            <w:r>
              <w:t xml:space="preserve">Unchanged (Sec. 5).</w:t>
            </w:r>
          </w:p>
        </w:tc>
      </w:tr>
    </w:tbl>
    <w:p>
      <w:pPr>
        <w:pStyle w:val="BodyText"/>
      </w:pPr>
      <w:r>
        <w:t xml:space="preserve">On the reliability of the revised core conclusion: it now rests on three separable levels of evidence, and Sec. 4.1 opens by keeping them apart.</w:t>
      </w:r>
      <w:r>
        <w:t xml:space="preserve"> </w:t>
      </w:r>
      <w:r>
        <w:rPr>
          <w:i/>
          <w:iCs/>
        </w:rPr>
        <w:t xml:space="preserve">Measured:</w:t>
      </w:r>
      <w:r>
        <w:t xml:space="preserve"> </w:t>
      </w:r>
      <w:r>
        <w:t xml:space="preserve">no strain recovered beyond σ/E in any recorded unloading (Figs. 2 and 10), none on heating in the one condition given that test (Fig. 3a), and a diffraction pattern unchanged by 10% strain (Fig. 4).</w:t>
      </w:r>
      <w:r>
        <w:t xml:space="preserve"> </w:t>
      </w:r>
      <w:r>
        <w:rPr>
          <w:i/>
          <w:iCs/>
        </w:rPr>
        <w:t xml:space="preserve">Calculated:</w:t>
      </w:r>
      <w:r>
        <w:t xml:space="preserve"> </w:t>
      </w:r>
      <w:r>
        <w:t xml:space="preserve">no single-phase α field within the 1200 °C ceiling, and none in the solid state, in three independent databases that reproduce the benchmark’s single-phase field without fitting (Table 4).</w:t>
      </w:r>
      <w:r>
        <w:t xml:space="preserve"> </w:t>
      </w:r>
      <w:r>
        <w:rPr>
          <w:i/>
          <w:iCs/>
        </w:rPr>
        <w:t xml:space="preserve">Not claimed:</w:t>
      </w:r>
      <w:r>
        <w:t xml:space="preserve"> </w:t>
      </w:r>
      <w:r>
        <w:t xml:space="preserve">that the composition is incapable of super-elasticity under any processing. The interpretation changed between versions; the observations did not, and every number that moved (Table 2, α fraction, gauge, solvus) moved without changing a sign or a trend.</w:t>
      </w:r>
    </w:p>
    <w:bookmarkEnd w:id="9"/>
    <w:bookmarkStart w:id="10" w:name="point-2-contribution-and-novelty"/>
    <w:p>
      <w:pPr>
        <w:pStyle w:val="Heading2"/>
      </w:pPr>
      <w:r>
        <w:t xml:space="preserve">Point 2 — contribution and novelty</w:t>
      </w:r>
    </w:p>
    <w:p>
      <w:pPr>
        <w:pStyle w:val="BlockText"/>
      </w:pPr>
      <w:r>
        <w:rPr>
          <w:i/>
          <w:iCs/>
        </w:rPr>
        <w:t xml:space="preserve">The three limitations listed by the authors in the Conclusions actually further weaken the current core conclusions regarding AI-guided alloy design and the scientific contribution of the manuscript. […] If the problem arises mainly because the design workflow did not incorporate phase-diagram information, processing temperature, and equipment constraints, rather than because AI itself is unable to propose a candidate with super-elasticity, then what this study actually demonstrates is closer to an incomplete AI prompting and subsequent human-screening workflow, rather than a new scientific limitation of AI-guided alloy design itself. […] The authors therefore need to clarify what the actual scientific contribution of this study is. If the core contribution is only that</w:t>
      </w:r>
      <w:r>
        <w:rPr>
          <w:i/>
          <w:iCs/>
        </w:rPr>
        <w:t xml:space="preserve"> </w:t>
      </w:r>
      <w:r>
        <w:rPr>
          <w:i/>
          <w:iCs/>
        </w:rPr>
        <w:t xml:space="preserve">“AI-proposed candidates should undergo CALPHAD and processing-window screening before experiments,”</w:t>
      </w:r>
      <w:r>
        <w:rPr>
          <w:i/>
          <w:iCs/>
        </w:rPr>
        <w:t xml:space="preserve"> </w:t>
      </w:r>
      <w:r>
        <w:rPr>
          <w:i/>
          <w:iCs/>
        </w:rPr>
        <w:t xml:space="preserve">the authors should explain the novelty of this conclusion relative to conventional alloy-design workflows.</w:t>
      </w:r>
    </w:p>
    <w:p>
      <w:pPr>
        <w:pStyle w:val="FirstParagraph"/>
      </w:pPr>
      <w:r>
        <w:t xml:space="preserve">The Reviewer’s reading is correct, and the revision adopts it: what the study demonstrates is a limitation of the workflow as it was run — a composition-level rationale carried to the furnace without a phase-stability and processing-window check — and not a limit on what an LLM can propose, which one candidate cannot establish. The sentences that claimed the latter (Sec. 4.4 first and last paragraphs, Sec. 5) are rewritten, and the abstract and Sec. 5 no longer say the calculations</w:t>
      </w:r>
      <w:r>
        <w:t xml:space="preserve"> </w:t>
      </w:r>
      <w:r>
        <w:t xml:space="preserve">“locate”</w:t>
      </w:r>
      <w:r>
        <w:t xml:space="preserve"> </w:t>
      </w:r>
      <w:r>
        <w:t xml:space="preserve">or</w:t>
      </w:r>
      <w:r>
        <w:t xml:space="preserve"> </w:t>
      </w:r>
      <w:r>
        <w:t xml:space="preserve">“identify”</w:t>
      </w:r>
      <w:r>
        <w:t xml:space="preserve"> </w:t>
      </w:r>
      <w:r>
        <w:t xml:space="preserve">the cause but that they</w:t>
      </w:r>
      <w:r>
        <w:t xml:space="preserve"> </w:t>
      </w:r>
      <w:r>
        <w:t xml:space="preserve">“indicate”</w:t>
      </w:r>
      <w:r>
        <w:t xml:space="preserve"> </w:t>
      </w:r>
      <w:r>
        <w:t xml:space="preserve">it.</w:t>
      </w:r>
    </w:p>
    <w:p>
      <w:pPr>
        <w:pStyle w:val="BodyText"/>
      </w:pPr>
      <w:r>
        <w:t xml:space="preserve">Sec. 4.4 now states the contribution as three things, and states what is not claimed. (i) To our knowledge this is the first LLM-hypothesized shape-memory composition carried physically from proposal through melting, processing and heat treatment to mechanical and synchrotron characterization, and published though negative. (ii) The failure has a diagnosed mechanism with a control: duplex α + γ at the solution-treatment temperature in three databases, single-phase α in all three once carbon is removed, and the benchmark’s field reproduced without fitting in the two databases able to carry it. The failure mode is therefore documented rather than surmised — a required phase field in the wrong place relative to the processing window, at a carbon content inside the range the agent’s own hypothesis specified. (iii) The record shows where the workflow stopped: the agent’s report itself recommended a CALPHAD check, and the melt proceeded without one.</w:t>
      </w:r>
      <w:r>
        <w:t xml:space="preserve"> </w:t>
      </w:r>
      <w:r>
        <w:rPr>
          <w:b/>
          <w:bCs/>
        </w:rPr>
        <w:t xml:space="preserve">Not claimed as new is the check.</w:t>
      </w:r>
      <w:r>
        <w:t xml:space="preserve"> </w:t>
      </w:r>
      <w:r>
        <w:t xml:space="preserve">Screening a candidate against its intended processing window by equilibrium calculation is an established step in conventional alloy design, and the report’s own recommendation shows the agent treated it as one; the finding is that an LLM-assisted workflow omitted that established step and that the omission was diagnosable before melting from the nominal composition and the processing ceiling alone.</w:t>
      </w:r>
    </w:p>
    <w:p>
      <w:pPr>
        <w:pStyle w:val="BodyText"/>
      </w:pPr>
      <w:r>
        <w:t xml:space="preserve">On the test the Reviewer describes — re-prompting with the single-phase α field, transformation temperatures, CALPHAD results and processing temperatures supplied — we considered running it and decided not to, and Sec. 4.4 says so with the reason. A candidate that passes an equilibrium screen has met a necessary condition, not shown that it transforms; the D0₃ that formed here is not an equilibrium prediction either. The Reviewer’s question would be answered only once such a candidate is melted and tested, which is a further study rather than an addition to this one.</w:t>
      </w:r>
    </w:p>
    <w:p>
      <w:pPr>
        <w:pStyle w:val="BodyText"/>
      </w:pPr>
      <w:r>
        <w:t xml:space="preserve">Two related corrections were made while doing this. Sec. 1 said the agent had been</w:t>
      </w:r>
      <w:r>
        <w:t xml:space="preserve"> </w:t>
      </w:r>
      <w:r>
        <w:t xml:space="preserve">“trained on over 200 published papers”</w:t>
      </w:r>
      <w:r>
        <w:t xml:space="preserve">; the agent retrieves sources at query time, and its report cites 76, so the sentence now says that. Limitation 2 of Sec. 5 said the agent had been instructed to consult thermodynamic data; the verbatim prompt was not preserved (Sec. 2.1), so that cannot be established, and the limitation is restated in terms of what the record shows — that the report recommended the calculation and did not perform it, and that whether a request supplying the processing ceiling would have produced a viable candidate was not tested.</w:t>
      </w:r>
    </w:p>
    <w:bookmarkEnd w:id="10"/>
    <w:bookmarkStart w:id="11" w:name="point-3-the-cyclic-heat-treatment-route"/>
    <w:p>
      <w:pPr>
        <w:pStyle w:val="Heading2"/>
      </w:pPr>
      <w:r>
        <w:t xml:space="preserve">Point 3 — the cyclic heat-treatment route</w:t>
      </w:r>
    </w:p>
    <w:p>
      <w:pPr>
        <w:pStyle w:val="BlockText"/>
      </w:pPr>
      <w:r>
        <w:rPr>
          <w:i/>
          <w:iCs/>
        </w:rPr>
        <w:t xml:space="preserve">The cyclic heat-treatment route in Section 2.2 requires further clarification. The Methods state that the specimen was held at 1200 °C, water quenched, and then reheated to 900 °C. The authors should clarify whether this was the actual experimental route and whether it is consistent with the Omori-type cyclic heat treatment in Ref. 18 that traverses the α/α+γ phase fields. Since the revised manuscript argues that the LLM-alloy cannot obtain a single-phase α parent phase at 1200 °C, the authors should also explain why a cyclic heat-treatment schedule close to that of the benchmark alloy was still adopted and what this treatment was expected to achieve in the LLM-alloy.</w:t>
      </w:r>
    </w:p>
    <w:p>
      <w:pPr>
        <w:pStyle w:val="FirstParagraph"/>
      </w:pPr>
      <w:r>
        <w:t xml:space="preserve">Sec. 2.2 stated one schedule where the processing log records more than one, and it is rewritten to state each schedule with the stock it was applied to. The 1200 °C/30 min → water quench → 900 °C/15 min cycle was the actual route for the LLM-alloy</w:t>
      </w:r>
      <w:r>
        <w:t xml:space="preserve"> </w:t>
      </w:r>
      <w:r>
        <w:rPr>
          <w:i/>
          <w:iCs/>
        </w:rPr>
        <w:t xml:space="preserve">rod</w:t>
      </w:r>
      <w:r>
        <w:t xml:space="preserve"> </w:t>
      </w:r>
      <w:r>
        <w:t xml:space="preserve">(≈1–1.3 mm): applied twice with a final 1200 °C/30 min, or three times with a final 1200 °C/60 min, water quenched in both cases. The 0.36 mm LLM-alloy wire shown in Fig. 1d was cycled in a separate run, sealed in a quartz tube under argon together with the benchmark wire: four 30-minute holds at 1200 °C, the first three each followed by 10 minutes in the cold zone of the furnace, then a water quench — a run with no 900 °C step. The benchmark wire was additionally cycled under argon between 1200 °C (30 min) and 900 °C (10 min) five times with a final 60-minute hold. Sec. 3.5 now attributes each result to its schedule.</w:t>
      </w:r>
    </w:p>
    <w:p>
      <w:pPr>
        <w:pStyle w:val="BodyText"/>
      </w:pPr>
      <w:r>
        <w:t xml:space="preserve">On Ref. 18: the treatments are of the same type as Omori</w:t>
      </w:r>
      <w:r>
        <w:t xml:space="preserve"> </w:t>
      </w:r>
      <w:r>
        <w:rPr>
          <w:i/>
          <w:iCs/>
        </w:rPr>
        <w:t xml:space="preserve">et al.</w:t>
      </w:r>
      <w:r>
        <w:t xml:space="preserve">’s, which carries the alloy repeatedly between the single-phase α field and the α + γ field; the rod schedule shares its 900 °C lower step and three cycles with the schedule of Viebranz</w:t>
      </w:r>
      <w:r>
        <w:t xml:space="preserve"> </w:t>
      </w:r>
      <w:r>
        <w:rPr>
          <w:i/>
          <w:iCs/>
        </w:rPr>
        <w:t xml:space="preserve">et al.</w:t>
      </w:r>
      <w:r>
        <w:t xml:space="preserve"> </w:t>
      </w:r>
      <w:r>
        <w:t xml:space="preserve">(Metall. Mater. Trans. A 55 (2024) 1065), which is now cited. We no longer write that</w:t>
      </w:r>
      <w:r>
        <w:t xml:space="preserve"> </w:t>
      </w:r>
      <w:r>
        <w:t xml:space="preserve">“the same heat treatment”</w:t>
      </w:r>
      <w:r>
        <w:t xml:space="preserve"> </w:t>
      </w:r>
      <w:r>
        <w:t xml:space="preserve">as Ref. 18 was used.</w:t>
      </w:r>
    </w:p>
    <w:p>
      <w:pPr>
        <w:pStyle w:val="BodyText"/>
      </w:pPr>
      <w:r>
        <w:t xml:space="preserve">On why it was applied and what was expected. The cyclic treatments and the tests on the treated material were completed in 2025; the equilibrium calculations were first made for Revision 1 in 2026. The treatment was therefore chosen without knowledge that no single-phase α state was reachable — that is a result of this study, not a premise of its design — and it was applied because the comparison required the LLM-alloy to see the benchmark’s full route, of which this treatment is the grain-structure step. With an α parent assumed, it was expected to coarsen the alloy toward bamboo as it does the benchmark, so its outcome was also a test of that assumption; the hypothesis under test held that bamboo would be unnecessary, and the treatment showed what the alloy does instead. Sec. 3.5 now says this in its first paragraph, and its mechanism paragraph is reworded in the Reviewer’s terms: in an alloy calculated to be α + γ at 1200 °C and fully γ at 900 °C (primary database), no leg of the cycle places it in a single-phase α field, so the condition the benchmark’s cycle exploits does not arise.</w:t>
      </w:r>
    </w:p>
    <w:bookmarkEnd w:id="11"/>
    <w:bookmarkStart w:id="12" w:name="point-4-gauge-length"/>
    <w:p>
      <w:pPr>
        <w:pStyle w:val="Heading2"/>
      </w:pPr>
      <w:r>
        <w:t xml:space="preserve">Point 4 — gauge length</w:t>
      </w:r>
    </w:p>
    <w:p>
      <w:pPr>
        <w:pStyle w:val="BlockText"/>
      </w:pPr>
      <w:r>
        <w:rPr>
          <w:i/>
          <w:iCs/>
        </w:rPr>
        <w:t xml:space="preserve">There is a clear inconsistency in the gauge length reported for the mechanical testing in Section 2.4. The original manuscript stated 13 mm, whereas the revised manuscript changes this to 127 mm and states that strain was calculated as crosshead extension/127 mm. The two values differ by nearly a factor of ten, yet Fig. 3 still uses the original curves. The authors must clarify whether 13 mm was a typographical error in the original manuscript, what gauge length was actually used for each figure, and which tests were repeated or which data were reprocessed. This issue directly affects the reliability of the strain, recoverable strain, and related conclusions.</w:t>
      </w:r>
    </w:p>
    <w:p>
      <w:pPr>
        <w:pStyle w:val="FirstParagraph"/>
      </w:pPr>
      <w:r>
        <w:t xml:space="preserve">13 mm was a typographical error in the original manuscript. The instrument records for the tests behind Table 2, Fig. 2 and Fig. 3 all print a gauge length of 5.000 in = 127 mm, and the curves reproduce the tabulated elongations only on that gauge; no curve in the paper was ever computed at 13 mm. Fig. 3</w:t>
      </w:r>
      <w:r>
        <w:t xml:space="preserve"> </w:t>
      </w:r>
      <w:r>
        <w:t xml:space="preserve">“still uses the original curves”</w:t>
      </w:r>
      <w:r>
        <w:t xml:space="preserve"> </w:t>
      </w:r>
      <w:r>
        <w:t xml:space="preserve">because its curves were recorded at 127 mm and needed no change: the load-frame record of those two tests (20 January 2026, method</w:t>
      </w:r>
      <w:r>
        <w:t xml:space="preserve"> </w:t>
      </w:r>
      <w:r>
        <w:t xml:space="preserve">“6% strain, 3% measured”</w:t>
      </w:r>
      <w:r>
        <w:t xml:space="preserve">, gauge 5.000 in; wire diameters 0.352 mm for the LLM-alloy and 0.536 mm for the benchmark, both strand-annealed at 1200 °C) has been located and its traces reproduce both panels, including the benchmark’s return to ≈2.1% residual strain and its reload rise on heating. The Fig. 3 caption now gives the diameters and the gauge.</w:t>
      </w:r>
    </w:p>
    <w:p>
      <w:pPr>
        <w:pStyle w:val="BodyText"/>
      </w:pPr>
      <w:r>
        <w:t xml:space="preserve">Sec. 2.4 now gives the gauge per dataset, because it was not the same for every test: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Specimen</w:t>
            </w:r>
          </w:p>
        </w:tc>
        <w:tc>
          <w:tcPr/>
          <w:p>
            <w:pPr>
              <w:pStyle w:val="Compact"/>
            </w:pPr>
            <w:r>
              <w:t xml:space="preserve">Gauge</w:t>
            </w:r>
          </w:p>
        </w:tc>
        <w:tc>
          <w:tcPr/>
          <w:p>
            <w:pPr>
              <w:pStyle w:val="Compact"/>
            </w:pPr>
            <w:r>
              <w:t xml:space="preserve">Note</w:t>
            </w:r>
          </w:p>
        </w:tc>
      </w:tr>
      <w:tr>
        <w:tc>
          <w:tcPr/>
          <w:p>
            <w:pPr>
              <w:pStyle w:val="Compact"/>
            </w:pPr>
            <w:r>
              <w:t xml:space="preserve">Table 2, Fig. 2 (anneal sweep, seven 1-minute conditions + age)</w:t>
            </w:r>
          </w:p>
        </w:tc>
        <w:tc>
          <w:tcPr/>
          <w:p>
            <w:pPr>
              <w:pStyle w:val="Compact"/>
            </w:pPr>
            <w:r>
              <w:t xml:space="preserve">0.36 mm wire (0.348–0.359 mm measured)</w:t>
            </w:r>
          </w:p>
        </w:tc>
        <w:tc>
          <w:tcPr/>
          <w:p>
            <w:pPr>
              <w:pStyle w:val="Compact"/>
            </w:pPr>
            <w:r>
              <w:t xml:space="preserve">127 mm</w:t>
            </w:r>
          </w:p>
        </w:tc>
        <w:tc>
          <w:tcPr/>
          <w:p>
            <w:pPr>
              <w:pStyle w:val="Compact"/>
            </w:pPr>
            <w:r>
              <w:t xml:space="preserve">n = 3 per condition</w:t>
            </w:r>
          </w:p>
        </w:tc>
      </w:tr>
      <w:tr>
        <w:tc>
          <w:tcPr/>
          <w:p>
            <w:pPr>
              <w:pStyle w:val="Compact"/>
            </w:pPr>
            <w:r>
              <w:t xml:space="preserve">Fig. 3 (loading–unloading–heating)</w:t>
            </w:r>
          </w:p>
        </w:tc>
        <w:tc>
          <w:tcPr/>
          <w:p>
            <w:pPr>
              <w:pStyle w:val="Compact"/>
            </w:pPr>
            <w:r>
              <w:t xml:space="preserve">0.352 mm LLM-alloy; 0.536 mm benchmark</w:t>
            </w:r>
          </w:p>
        </w:tc>
        <w:tc>
          <w:tcPr/>
          <w:p>
            <w:pPr>
              <w:pStyle w:val="Compact"/>
            </w:pPr>
            <w:r>
              <w:t xml:space="preserve">127 mm</w:t>
            </w:r>
          </w:p>
        </w:tc>
        <w:tc>
          <w:tcPr/>
          <w:p>
            <w:pPr>
              <w:pStyle w:val="Compact"/>
            </w:pPr>
            <w:r>
              <w:t xml:space="preserve">one condition per alloy</w:t>
            </w:r>
          </w:p>
        </w:tc>
      </w:tr>
      <w:tr>
        <w:tc>
          <w:tcPr/>
          <w:p>
            <w:pPr>
              <w:pStyle w:val="Compact"/>
            </w:pPr>
            <w:r>
              <w:t xml:space="preserve">Fig. 10a, b (1200 °C/40 min + age; 1200 °C/80 min)</w:t>
            </w:r>
          </w:p>
        </w:tc>
        <w:tc>
          <w:tcPr/>
          <w:p>
            <w:pPr>
              <w:pStyle w:val="Compact"/>
            </w:pPr>
            <w:r>
              <w:t xml:space="preserve">0.36 mm wire</w:t>
            </w:r>
          </w:p>
        </w:tc>
        <w:tc>
          <w:tcPr/>
          <w:p>
            <w:pPr>
              <w:pStyle w:val="Compact"/>
            </w:pPr>
            <w:r>
              <w:t xml:space="preserve">127 mm</w:t>
            </w:r>
          </w:p>
        </w:tc>
        <w:tc>
          <w:tcPr/>
          <w:p>
            <w:pPr>
              <w:pStyle w:val="Compact"/>
            </w:pPr>
            <w:r>
              <w:t xml:space="preserve">one specimen each</w:t>
            </w:r>
          </w:p>
        </w:tc>
      </w:tr>
      <w:tr>
        <w:tc>
          <w:tcPr/>
          <w:p>
            <w:pPr>
              <w:pStyle w:val="Compact"/>
            </w:pPr>
            <w:r>
              <w:t xml:space="preserve">Fig. 10c, d (two-cycle rods; three-cycle + age rod)</w:t>
            </w:r>
          </w:p>
        </w:tc>
        <w:tc>
          <w:tcPr/>
          <w:p>
            <w:pPr>
              <w:pStyle w:val="Compact"/>
            </w:pPr>
            <w:r>
              <w:t xml:space="preserve">≈1.3 mm and 1.06 mm rod</w:t>
            </w:r>
          </w:p>
        </w:tc>
        <w:tc>
          <w:tcPr/>
          <w:p>
            <w:pPr>
              <w:pStyle w:val="Compact"/>
            </w:pPr>
            <w:r>
              <w:t xml:space="preserve">127 mm</w:t>
            </w:r>
          </w:p>
        </w:tc>
        <w:tc>
          <w:tcPr/>
          <w:p>
            <w:pPr>
              <w:pStyle w:val="Compact"/>
            </w:pPr>
            <w:r>
              <w:t xml:space="preserve">n = 2 and 1</w:t>
            </w:r>
          </w:p>
        </w:tc>
      </w:tr>
      <w:tr>
        <w:tc>
          <w:tcPr/>
          <w:p>
            <w:pPr>
              <w:pStyle w:val="Compact"/>
            </w:pPr>
            <w:r>
              <w:t xml:space="preserve">Fig. 10e (three-cycle + age rod, second specimen)</w:t>
            </w:r>
          </w:p>
        </w:tc>
        <w:tc>
          <w:tcPr/>
          <w:p>
            <w:pPr>
              <w:pStyle w:val="Compact"/>
            </w:pPr>
            <w:r>
              <w:t xml:space="preserve">1.06 mm rod</w:t>
            </w:r>
          </w:p>
        </w:tc>
        <w:tc>
          <w:tcPr/>
          <w:p>
            <w:pPr>
              <w:pStyle w:val="Compact"/>
            </w:pPr>
            <w:r>
              <w:t xml:space="preserve">6.0 mm</w:t>
            </w:r>
          </w:p>
        </w:tc>
        <w:tc>
          <w:tcPr/>
          <w:p>
            <w:pPr>
              <w:pStyle w:val="Compact"/>
            </w:pPr>
            <w:r>
              <w:t xml:space="preserve">disclosed; not compared with 127 mm strains</w:t>
            </w:r>
          </w:p>
        </w:tc>
      </w:tr>
      <w:tr>
        <w:tc>
          <w:tcPr/>
          <w:p>
            <w:pPr>
              <w:pStyle w:val="Compact"/>
            </w:pPr>
            <w:r>
              <w:t xml:space="preserve">Fig. 10f (quartz-tube-cycled wire)</w:t>
            </w:r>
          </w:p>
        </w:tc>
        <w:tc>
          <w:tcPr/>
          <w:p>
            <w:pPr>
              <w:pStyle w:val="Compact"/>
            </w:pPr>
            <w:r>
              <w:t xml:space="preserve">0.36 mm wire</w:t>
            </w:r>
          </w:p>
        </w:tc>
        <w:tc>
          <w:tcPr/>
          <w:p>
            <w:pPr>
              <w:pStyle w:val="Compact"/>
            </w:pPr>
            <w:r>
              <w:t xml:space="preserve">25.4 mm</w:t>
            </w:r>
          </w:p>
        </w:tc>
        <w:tc>
          <w:tcPr/>
          <w:p>
            <w:pPr>
              <w:pStyle w:val="Compact"/>
            </w:pPr>
            <w:r>
              <w:t xml:space="preserve">disclosed; not compared with 127 mm strains</w:t>
            </w:r>
          </w:p>
        </w:tc>
      </w:tr>
    </w:tbl>
    <w:p>
      <w:pPr>
        <w:pStyle w:val="BodyText"/>
      </w:pPr>
      <w:r>
        <w:t xml:space="preserve">Because crosshead strain over a short gauge is dominated by load-train and grip compliance, Sec. 2.4 now states that elongations on different gauges are not compared as strains anywhere in the paper; the one Revision-1 sentence that did so implicitly — the</w:t>
      </w:r>
      <w:r>
        <w:t xml:space="preserve"> </w:t>
      </w:r>
      <w:r>
        <w:t xml:space="preserve">“1006 MPa at 11.9%”</w:t>
      </w:r>
      <w:r>
        <w:t xml:space="preserve"> </w:t>
      </w:r>
      <w:r>
        <w:t xml:space="preserve">specimen, which was tested on the 6.0 mm gauge — now carries its gauge and the caveat.</w:t>
      </w:r>
    </w:p>
    <w:p>
      <w:pPr>
        <w:pStyle w:val="BodyText"/>
      </w:pPr>
      <w:r>
        <w:t xml:space="preserve">Which tests were repeated, and which data reprocessed: the Table 2 conditions were repeated in August 2026 so that each is the mean of three specimens (Revision 1, Reviewer 2’s request); that is the only repeat testing in the paper. The only reprocessing was the re-plotting of Fig. 2 from the raw load–extension exports at the instrument’s 127 mm gauge, which extended the figure from six panels to all eight heat-treated conditions; the traces reproduce the tabulated values to three significant figures. No strain data were rescaled, Fig. 3 is unchanged, and the new Fig. 10 is plotted from the raw exports in the same way with each test’s own gauge. The moduli in Table 2 are stated to be apparent, since strain is from crosshead extension without extensometry.</w:t>
      </w:r>
    </w:p>
    <w:bookmarkEnd w:id="12"/>
    <w:bookmarkStart w:id="13" w:name="point-5-scope-of-fig.-3a"/>
    <w:p>
      <w:pPr>
        <w:pStyle w:val="Heading2"/>
      </w:pPr>
      <w:r>
        <w:t xml:space="preserve">Point 5 — scope of Fig. 3a</w:t>
      </w:r>
    </w:p>
    <w:p>
      <w:pPr>
        <w:pStyle w:val="BlockText"/>
      </w:pPr>
      <w:r>
        <w:rPr>
          <w:i/>
          <w:iCs/>
        </w:rPr>
        <w:t xml:space="preserve">Fig. 3a tests the LLM-alloy after treatment at 1200 °C × 1 min. At this point, the material is already a γ-majority FCC/BCC duplex microstructure, and the fraction of BCC parent phase available for the stress-induced α→γ transformation is clearly insufficient. Therefore, Fig. 3a can only demonstrate, in the first instance, that this specific microstructural state does not exhibit obvious super-elasticity; it cannot directly prove that the composition itself is incapable of exhibiting super-elasticity. The relevant conclusions should be strictly limited to the microstructural and processing conditions that were actually tested in this study.</w:t>
      </w:r>
    </w:p>
    <w:p>
      <w:pPr>
        <w:pStyle w:val="FirstParagraph"/>
      </w:pPr>
      <w:r>
        <w:t xml:space="preserve">We agree, and the sentences that generalised beyond the tested conditions are rewritten. Sec. 3.2 no longer concludes from Fig. 3a that the alloy has no pseudo-elasticity</w:t>
      </w:r>
      <w:r>
        <w:t xml:space="preserve"> </w:t>
      </w:r>
      <w:r>
        <w:t xml:space="preserve">“regardless of heat-treating condition”</w:t>
      </w:r>
      <w:r>
        <w:t xml:space="preserve">; it states that the heating test is reported for one condition, 1200 °C/1 min — the γ-majority duplex quantified in Sec. 3.3, in which the α parent is the minority constituent — and that what the test establishes is confined to that state. The broader unloading evidence is enumerated where it is used (Secs. 3.2, 3.3, 3.5, 4.1): the seven 1-minute anneals of Fig. 2, the 1200 °C anneal with the 200 °C/3 h age, and the cyclically treated conditions of the new Fig. 10 in which an unloading segment was recorded. The abstract and Sec. 5 enumerate the conditions in the same way.</w:t>
      </w:r>
    </w:p>
    <w:p>
      <w:pPr>
        <w:pStyle w:val="BodyText"/>
      </w:pPr>
      <w:r>
        <w:t xml:space="preserve">Sec. 4.1 now opens with a statement that keeps the three levels of evidence apart — what was measured, in which conditions; what is calculated, and that the calculated statement reaches beyond the tested conditions to the composition only on the strength of equilibrium calculation in three databases; and what is not claimed, namely that the composition is incapable of super-elasticity under any processing. The sentence in Sec. 4.1 that said the benchmark’s microstructure is</w:t>
      </w:r>
      <w:r>
        <w:t xml:space="preserve"> </w:t>
      </w:r>
      <w:r>
        <w:t xml:space="preserve">“unavailable to this composition at any temperature”</w:t>
      </w:r>
      <w:r>
        <w:t xml:space="preserve"> </w:t>
      </w:r>
      <w:r>
        <w:t xml:space="preserve">is now qualified as a statement on the equilibrium calculation, in the solid state. Sec. 4.4 and Sec. 5 already named an optimised solution-and-ageing window as an untested route; they still do.</w:t>
      </w:r>
    </w:p>
    <w:bookmarkEnd w:id="13"/>
    <w:bookmarkStart w:id="14" w:name="point-6-solvus-solidus-and-the-databases"/>
    <w:p>
      <w:pPr>
        <w:pStyle w:val="Heading2"/>
      </w:pPr>
      <w:r>
        <w:t xml:space="preserve">Point 6 — solvus, solidus and the databases</w:t>
      </w:r>
    </w:p>
    <w:p>
      <w:pPr>
        <w:pStyle w:val="BlockText"/>
      </w:pPr>
      <w:r>
        <w:rPr>
          <w:i/>
          <w:iCs/>
        </w:rPr>
        <w:t xml:space="preserve">In Section 3.4, the authors rely mainly on CALPHAD calculations to conclude that the single-phase α field of the LLM-alloy lies above approximately 1340 °C, while also citing an incipient melting temperature of approximately 1240 °C, and on this basis conclude that the single-phase α state is experimentally inaccessible. However, the former is an equilibrium thermodynamic prediction, whereas the latter is derived mainly from a single database, and different databases do not give consistent solidus predictions. These temperatures therefore should not be treated directly as established material properties. High-temperature DSC/DTA is recommended to verify the incipient melting temperature.</w:t>
      </w:r>
    </w:p>
    <w:p>
      <w:pPr>
        <w:pStyle w:val="FirstParagraph"/>
      </w:pPr>
      <w:r>
        <w:t xml:space="preserve">The Reviewer is right that the two temperatures quoted in Revision 1 could not both be treated as material properties, and the reason is more serious than a difference between databases: the 1340 °C figure was wrong. In preparing this response we found that the scripts used for the mpea-02b and PrecHiMn-04 calculations had requested the liquid phase under a name the software does not recognise (the database type suffix had been carried into the phase name), and that the unknown name had been dropped silently. Those two databases were therefore evaluated for an alloy that could not melt, which is why one of them appeared to place a single-phase α field at 1340 °C and to</w:t>
      </w:r>
      <w:r>
        <w:t xml:space="preserve"> </w:t>
      </w:r>
      <w:r>
        <w:t xml:space="preserve">“return no liquid below 1400 °C”</w:t>
      </w:r>
      <w:r>
        <w:t xml:space="preserve"> </w:t>
      </w:r>
      <w:r>
        <w:t xml:space="preserve">while the third, correctly configured, database placed the solidus at 1240 °C. The apparent disagreement between databases on the solidus was an artifact of that omission. We have corrected the scripts, re-run every calculation in the paper with the liquid phase present, archived the superseded results, and rewritten every sentence that quoted a solvus or solidus (abstract; Secs. 2.6, 3.4, 4.1, 4.2, 4.4 and 5; Table 3 is unchanged; a new Table 4 gives the solid-state α field and solidus per database; Fig. 9 is redrawn with the liquid fraction).</w:t>
      </w:r>
    </w:p>
    <w:p>
      <w:pPr>
        <w:pStyle w:val="BodyText"/>
      </w:pPr>
      <w:r>
        <w:t xml:space="preserve">With the liquid phase included the three databases agree on the point that matters. In mpea-02b the LLM-alloy is still 7.4% γ at 1290 °C and the first liquid appears at 1300 °C, so the alloy passes from α + γ directly to α + liquid; in PrecHiMn-04 it is two-phase at 1250 °C and melts from ≈1295 °C; in mc_fe it is two-phase at 1230 °C and melts from ≈1240 °C.</w:t>
      </w:r>
      <w:r>
        <w:t xml:space="preserve"> </w:t>
      </w:r>
      <w:r>
        <w:rPr>
          <w:b/>
          <w:bCs/>
        </w:rPr>
        <w:t xml:space="preserve">In none of the three does a single-phase α field open before melting begins.</w:t>
      </w:r>
      <w:r>
        <w:t xml:space="preserve"> </w:t>
      </w:r>
      <w:r>
        <w:t xml:space="preserve">The carbon-free control, by contrast, is single-phase α from ≈1130–1160 °C up to its solidus in all three (Table 4). The revised argument therefore no longer rests on a solidus value at all: it rests on the absence of a single-phase α field anywhere in the solid state, which the three assessments return unanimously even though they differ on where melting starts (≈1240 versus ≈1295 °C). That difference is now reported as such in Sec. 3.4 and nothing depends on it.</w:t>
      </w:r>
    </w:p>
    <w:p>
      <w:pPr>
        <w:pStyle w:val="BodyText"/>
      </w:pPr>
      <w:r>
        <w:t xml:space="preserve">We also disclose, in Sec. 2.6, one numerical subtlety the re-run exposed, because it bears on the reliability the Reviewer asks about. Near the solidus of this alloy the global Gibbs-energy minimisation converged to different states from different starting grids, and the denser grid was not always the lower-energy one; for those temperatures the state of lowest Gibbs energy across a ladder of grid densities was retained, and every arbitration is logged with the archived scripts. The 1200 °C constitutions of Table 3 were confirmed to be the lowest-energy states in every database.</w:t>
      </w:r>
    </w:p>
    <w:p>
      <w:pPr>
        <w:pStyle w:val="BodyText"/>
      </w:pPr>
      <w:r>
        <w:t xml:space="preserve">On high-temperature DSC/DTA: we agree it is the direct measurement of the incipient melting temperature, and we name it as such in the text. We have not performed it for this revision, because the corrected argument does not use the solidus as a number — only the fact, common to all three databases, that the alloy is still two-phase when it starts to melt — and because no instrument was available to us within the revision period. We would be glad to add the measurement should the editor consider it necessary.</w:t>
      </w:r>
    </w:p>
    <w:bookmarkEnd w:id="14"/>
    <w:bookmarkStart w:id="15" w:name="Xec15dd5d80c9949e4af41872de256c7d3a78a0e"/>
    <w:p>
      <w:pPr>
        <w:pStyle w:val="Heading2"/>
      </w:pPr>
      <w:r>
        <w:t xml:space="preserve">Point 7 — the 40-minute and cyclically treated conditions</w:t>
      </w:r>
    </w:p>
    <w:p>
      <w:pPr>
        <w:pStyle w:val="BlockText"/>
      </w:pPr>
      <w:r>
        <w:rPr>
          <w:i/>
          <w:iCs/>
        </w:rPr>
        <w:t xml:space="preserve">In Section 3.5, the evidence that the 1200 °C × 40 min condition and the AGG condition show</w:t>
      </w:r>
      <w:r>
        <w:rPr>
          <w:i/>
          <w:iCs/>
        </w:rPr>
        <w:t xml:space="preserve"> </w:t>
      </w:r>
      <w:r>
        <w:rPr>
          <w:i/>
          <w:iCs/>
        </w:rPr>
        <w:t xml:space="preserve">“no phase transformation”</w:t>
      </w:r>
      <w:r>
        <w:rPr>
          <w:i/>
          <w:iCs/>
        </w:rPr>
        <w:t xml:space="preserve"> </w:t>
      </w:r>
      <w:r>
        <w:rPr>
          <w:i/>
          <w:iCs/>
        </w:rPr>
        <w:t xml:space="preserve">remains insufficient. The authors report only that the elongation of the condition corresponding to Fig. 1c decreases to 1.4%, but do not present the complete cyclic stress–strain curves, loading–unloading–heating curves, recoverable strain or residual strain data for this condition, nor do they quantitatively compare the α/γ phase fractions in Fig. 1a and Fig. 1c. The authors further use the absence of transformation in the 1 min and 40 min conditions to infer that the AGG condition would likewise show no transformation, but the AGG condition itself was not subjected to the same cyclic super-elasticity testing. The authors are advised to provide directly the complete cyclic mechanical results and phase-constitution data for both the 1200 °C × 40 min condition and the AGG condition, rather than using the results from two conventionally annealed conditions as a substitute for direct experimental evidence from the AGG condition.</w:t>
      </w:r>
    </w:p>
    <w:p>
      <w:pPr>
        <w:pStyle w:val="FirstParagraph"/>
      </w:pPr>
      <w:r>
        <w:t xml:space="preserve">The bracketing argument is withdrawn; the paragraph that made it is replaced by a statement of what the record contains and what it does not. What it contains is now presented directly as the new</w:t>
      </w:r>
      <w:r>
        <w:t xml:space="preserve"> </w:t>
      </w:r>
      <w:r>
        <w:rPr>
          <w:b/>
          <w:bCs/>
        </w:rPr>
        <w:t xml:space="preserve">Fig. 10</w:t>
      </w:r>
      <w:r>
        <w:t xml:space="preserve">, which plots every tensile record of the LLM-alloy in the prolonged-anneal and cyclically treated conditions from the raw load–extension exports, each with its own gauge: (a) 0.36 mm wire, 1200 °C/40 min + 200 °C/3 h; (b) 0.36 mm wire, 1200 °C/80 min; (c) two ≈1.3 mm rod specimens after the two-cycle schedule; (d) a 1.06 mm rod after the three-cycle schedule and age, 127 mm gauge; (e) a second specimen of that condition on a 6.0 mm gauge; (f) the 0.36 mm wire of the quartz-tube cycle — the stock of Fig. 1d — on a 25.4 mm gauge.</w:t>
      </w:r>
    </w:p>
    <w:p>
      <w:pPr>
        <w:pStyle w:val="BodyText"/>
      </w:pPr>
      <w:r>
        <w:t xml:space="preserve">First, a correction. The elongation loss the Reviewer quotes (11.0% to 1.4%) was taken from a rod test record that, on re-examination of the raw files for this revision, is tagged with the benchmark heat number and has the benchmark’s rod diameter; we cannot attribute it to the LLM-alloy and have withdrawn it. The LLM-alloy’s own record for the 40-minute condition of Fig. 1c is the wire of Fig. 10a: with the same age and the same 127 mm gauge as the 1-minute condition of Fig. 2h, elongation falls from 25.5% to 0.8%, and to 0.5% after 80 minutes (Fig. 10b), one specimen each. The conclusion drawn from the withdrawn numbers — that coarsening embrittles this alloy long before bamboo dimensions are approached — is unchanged and is now supported by the alloy’s own data.</w:t>
      </w:r>
    </w:p>
    <w:p>
      <w:pPr>
        <w:pStyle w:val="BodyText"/>
      </w:pPr>
      <w:r>
        <w:t xml:space="preserve">On the cyclic curves and the recoverable and residual strains. The 40-minute and 80-minute wires and the 127 mm three-cycle rod fracture within their first loading segment, below 1% strain, before the first unloading point of the 1% protocol; there is no unloading segment for them to show, and Fig. 10 shows the fracture instead. Where unloading was recorded — one cycle in each two-cycle rod (Fig. 10c), eight in the rod tested on the 6.0 mm gauge (Fig. 10e) and eight in the quartz-tube-cycled wire (Fig. 10f) — every unloading segment is straight, parallel to the preceding loading line, and returns no strain beyond σ/E, which is the geometry of Fig. 2. Fig. 10f is also the only cyclically treated LLM-alloy specimen that retained ductility (fracture at ≈26% on the 25.4 mm gauge); it is the wire that did not coarsen (Fig. 1d), so Sec. 3.5 now states that the loss of ductility follows the coarsening rather than the treatment as such.</w:t>
      </w:r>
    </w:p>
    <w:p>
      <w:pPr>
        <w:pStyle w:val="BodyText"/>
      </w:pPr>
      <w:r>
        <w:t xml:space="preserve">On the loading–unloading–heating test: it has not been run on a cyclically treated specimen of either alloy, and Sec. 3.5 now says so in those words. The rod specimens fracture at 0.5–1.0%, below the 3% strain of the heating protocol, so the test cannot be run on them; the cyclically treated 0.36 mm wire can carry it and has not been given it. We have asked for that test to be run on a wire put through the Sec. 2.2 quartz-tube cycle, and we state in the cover letter that it is outstanding rather than imply that Fig. 10 replaces it; the unloading records of Fig. 10 bound what that test could show but do not replace it (Sec. 4.4).</w:t>
      </w:r>
    </w:p>
    <w:p>
      <w:pPr>
        <w:pStyle w:val="BodyText"/>
      </w:pPr>
      <w:r>
        <w:t xml:space="preserve">On phase fractions: none were refined for the 40-minute condition, which was examined optically only, or for the cyclically treated wire, whose diffraction pattern (Fig. 8) was not refined. The manuscript now says this plainly (Secs. 3.3, 3.5, 4.1); the comparison between Fig. 1a and Fig. 1c is qualitative — both duplex — and is stated as such, and Sec. 4.1 notes that the untested sub-reading of the γ/α discrepancy (point 8) is exactly the one that phase fractions for the 40-minute mount would test. An SEM-BSE areal fraction on the 40-minute mount has been requested and will be reported if it can be obtained.</w:t>
      </w:r>
    </w:p>
    <w:bookmarkEnd w:id="15"/>
    <w:bookmarkStart w:id="16" w:name="point-8-measure-ms-directly"/>
    <w:p>
      <w:pPr>
        <w:pStyle w:val="Heading2"/>
      </w:pPr>
      <w:r>
        <w:t xml:space="preserve">Point 8 — measure Ms directly</w:t>
      </w:r>
    </w:p>
    <w:p>
      <w:pPr>
        <w:pStyle w:val="BlockText"/>
      </w:pPr>
      <w:r>
        <w:rPr>
          <w:i/>
          <w:iCs/>
        </w:rPr>
        <w:t xml:space="preserve">Section 4.1 proposes that the α→γ transformation may already have occurred during cooling and further speculates that Ms may be above room temperature. Since this explanation has become an important mechanism used to account for the γ-majority phase constitution at room temperature and the absence of super-elasticity, Ms should be measured directly.</w:t>
      </w:r>
    </w:p>
    <w:p>
      <w:pPr>
        <w:pStyle w:val="FirstParagraph"/>
      </w:pPr>
      <w:r>
        <w:t xml:space="preserve">We agree that the martensite-start temperature should be measured rather than inferred. It has not been measured for this revision: the measurement requires a calorimetric scan of the strand-annealed wire from well below room temperature to above 500 °C with the benchmark wire as the control, and we were not able to complete it within the revision period. The revision therefore stops treating the cooling-transformation reading as the one the data favour, and it stops using it as a mechanism for the absence of super-elasticity.</w:t>
      </w:r>
    </w:p>
    <w:p>
      <w:pPr>
        <w:pStyle w:val="BodyText"/>
      </w:pPr>
      <w:r>
        <w:t xml:space="preserve">Sec. 4.1 now states the discrepancy in full — ≈62% γ refined against 29–38% calculated, reproduced by the pattern after deformation — and sets out two readings that the present data cannot separate: that γ was present at 1200 °C in more than the calculated amount (database error, or a wire not carried to equilibrium in the strand pass; this sub-reading is untested, since no phase fractions exist for the 40-minute or cyclically treated conditions), or that part of the α transformed to γ on the quench, which would put Ms above room temperature. Revision 1 offered the EDS partitioning of Fig. 1b as support for the second reading; it is not, and the text now says why: Al-rich and Mn-rich constituents are the partitioning expected between α and γ at 1200 °C under either reading, and a martensitic γ formed from α on the quench would inherit that α’s Al-rich composition, so chemistry alone cannot separate it from α. The microstructural test (EBSD with EDS on one area, or an areal fraction of the Mn-rich constituent on the same mount) is named and has not been performed. The lath-like appearance of Fig. 1d is stated to be consistent with either reading, and Sec. 3.1 no longer presents the quench-transformation reading as the one it supports.</w:t>
      </w:r>
    </w:p>
    <w:p>
      <w:pPr>
        <w:pStyle w:val="BodyText"/>
      </w:pPr>
      <w:r>
        <w:t xml:space="preserve">Three sentences elsewhere that described the room-temperature duplex as</w:t>
      </w:r>
      <w:r>
        <w:t xml:space="preserve"> </w:t>
      </w:r>
      <w:r>
        <w:t xml:space="preserve">“the equilibrium state”</w:t>
      </w:r>
      <w:r>
        <w:t xml:space="preserve"> </w:t>
      </w:r>
      <w:r>
        <w:t xml:space="preserve">rather than</w:t>
      </w:r>
      <w:r>
        <w:t xml:space="preserve"> </w:t>
      </w:r>
      <w:r>
        <w:t xml:space="preserve">“an incompletely transformed one”</w:t>
      </w:r>
      <w:r>
        <w:t xml:space="preserve"> </w:t>
      </w:r>
      <w:r>
        <w:t xml:space="preserve">(Secs. 3.3, 3.5, 4.1) are reworded, since the second reading is precisely that part of the structure formed on cooling: they now say that both phases are calculated to be in equilibrium at 1200 °C, that the duplex is observed after quenching from it, and that the proportion is the open question. The conclusion of Sec. 4.1 does not depend on which reading is right — it rests on the measured unloading and heating behaviour and on the duplex constitution calculated for 1200 °C and observed after quenching from it, not on when the γ formed — and the text says so.</w:t>
      </w:r>
    </w:p>
    <w:p>
      <w:pPr>
        <w:pStyle w:val="BodyText"/>
      </w:pPr>
      <w:r>
        <w:t xml:space="preserve">DSC is named in Secs. 4.1 and 4.4 as the direct test, with its limit stated: it would establish whether a transformation event occurs on heating or cooling within the range scanned, which is the point on which the two readings differ, but would not by itself assign the event to α → γ or quantify the γ formed. Should the measurement be obtained, we would report it strictly as a bound in the same terms.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2026-09-20T20:05:01Z</dcterms:created>
  <dcterms:modified xsi:type="dcterms:W3CDTF">2026-09-20T20:05:01Z</dcterms:modified>
</cp:coreProperties>
</file>

<file path=docProps/custom.xml><?xml version="1.0" encoding="utf-8"?>
<Properties xmlns="http://schemas.openxmlformats.org/officeDocument/2006/custom-properties" xmlns:vt="http://schemas.openxmlformats.org/officeDocument/2006/docPropsVTypes"/>
</file>