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find enclosed our second revision of JMRT-D-26-06169R1,</w:t>
      </w:r>
      <w:r>
        <w:t xml:space="preserve"> </w:t>
      </w:r>
      <w:r>
        <w:rPr>
          <w:i/>
          <w:iCs/>
        </w:rPr>
        <w:t xml:space="preserve">Experimental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of an LLM-Hypothesized Fe-Mn-Al-Ni-Si-C Alloy: Phase Stability Governs</w:t>
      </w:r>
      <w:r>
        <w:rPr>
          <w:i/>
          <w:iCs/>
        </w:rPr>
        <w:t xml:space="preserve"> </w:t>
      </w:r>
      <w:r>
        <w:rPr>
          <w:i/>
          <w:iCs/>
        </w:rPr>
        <w:t xml:space="preserve">the Absence of Super-elasticity</w:t>
      </w:r>
      <w:r>
        <w:t xml:space="preserve">. Reviewers 1 and 2 closed their reviews (Reviewer 2</w:t>
      </w:r>
      <w:r>
        <w:t xml:space="preserve"> </w:t>
      </w:r>
      <w:r>
        <w:t xml:space="preserve">recommending acceptance); Reviewer 3 raised eight further points, and this revision</w:t>
      </w:r>
      <w:r>
        <w:t xml:space="preserve"> </w:t>
      </w:r>
      <w:r>
        <w:t xml:space="preserve">answers each of them. The response to Reviewer 3 quotes every point verbatim and</w:t>
      </w:r>
      <w:r>
        <w:t xml:space="preserve"> </w:t>
      </w:r>
      <w:r>
        <w:t xml:space="preserve">states where the manuscript changed.</w:t>
      </w:r>
    </w:p>
    <w:p>
      <w:pPr>
        <w:pStyle w:val="BodyText"/>
      </w:pPr>
      <w:r>
        <w:t xml:space="preserve">Three things we should draw to your attention directly.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correction of our own.</w:t>
      </w:r>
      <w:r>
        <w:t xml:space="preserve"> </w:t>
      </w:r>
      <w:r>
        <w:t xml:space="preserve">In preparing this revision we found that the CALPHAD</w:t>
      </w:r>
      <w:r>
        <w:t xml:space="preserve"> </w:t>
      </w:r>
      <w:r>
        <w:t xml:space="preserve">scripts used for Revision 1 had silently omitted the liquid phase from two of the</w:t>
      </w:r>
      <w:r>
        <w:t xml:space="preserve"> </w:t>
      </w:r>
      <w:r>
        <w:t xml:space="preserve">three thermodynamic databases, so the α-solvus temperatures quoted in Revision 1</w:t>
      </w:r>
      <w:r>
        <w:t xml:space="preserve"> </w:t>
      </w:r>
      <w:r>
        <w:t xml:space="preserve">(≈1340 and ≈1390 °C) were artifacts. Every calculation has been re-run with the</w:t>
      </w:r>
      <w:r>
        <w:t xml:space="preserve"> </w:t>
      </w:r>
      <w:r>
        <w:t xml:space="preserve">liquid phase present, the superseded results archived, and every affected sentence</w:t>
      </w:r>
      <w:r>
        <w:t xml:space="preserve"> </w:t>
      </w:r>
      <w:r>
        <w:t xml:space="preserve">rewritten (abstract; Secs. 2.6, 3.4, 4.1, 4.2, 4.4, 5; Fig. 9 redrawn; new Table 4).</w:t>
      </w:r>
      <w:r>
        <w:t xml:space="preserve"> </w:t>
      </w:r>
      <w:r>
        <w:t xml:space="preserve">The corrected result is stronger and simpler — in all three databases the LLM-alloy</w:t>
      </w:r>
      <w:r>
        <w:t xml:space="preserve"> </w:t>
      </w:r>
      <w:r>
        <w:t xml:space="preserve">begins to melt before any single-phase α field opens — but the numbers in Revision 1</w:t>
      </w:r>
      <w:r>
        <w:t xml:space="preserve"> </w:t>
      </w:r>
      <w:r>
        <w:t xml:space="preserve">were wrong, and we say so in the response (Reviewer 3, point 6).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attribution corrected in Sec. 3.5.</w:t>
      </w:r>
      <w:r>
        <w:t xml:space="preserve"> </w:t>
      </w:r>
      <w:r>
        <w:t xml:space="preserve">The 40-minute-anneal elongation quoted in</w:t>
      </w:r>
      <w:r>
        <w:t xml:space="preserve"> </w:t>
      </w:r>
      <w:r>
        <w:t xml:space="preserve">Revision 1 (11.0% falling to 1.4%) came from a rod test record that, on re-examination</w:t>
      </w:r>
      <w:r>
        <w:t xml:space="preserve"> </w:t>
      </w:r>
      <w:r>
        <w:t xml:space="preserve">of the raw files, belongs to the benchmark heat. It is withdrawn and replaced by the</w:t>
      </w:r>
      <w:r>
        <w:t xml:space="preserve"> </w:t>
      </w:r>
      <w:r>
        <w:t xml:space="preserve">LLM-alloy’s own record for that condition (25.5% falling to 0.8%), which supports the</w:t>
      </w:r>
      <w:r>
        <w:t xml:space="preserve"> </w:t>
      </w:r>
      <w:r>
        <w:t xml:space="preserve">same conclusion. Every tensile record of the LLM-alloy in the prolonged-anneal and</w:t>
      </w:r>
      <w:r>
        <w:t xml:space="preserve"> </w:t>
      </w:r>
      <w:r>
        <w:t xml:space="preserve">cyclically treated conditions is now presented directly in a new</w:t>
      </w:r>
      <w:r>
        <w:t xml:space="preserve"> </w:t>
      </w:r>
      <w:r>
        <w:rPr>
          <w:b/>
          <w:bCs/>
        </w:rPr>
        <w:t xml:space="preserve">Fig. 10</w:t>
      </w:r>
      <w:r>
        <w:t xml:space="preserve">, plotted</w:t>
      </w:r>
      <w:r>
        <w:t xml:space="preserve"> </w:t>
      </w:r>
      <w:r>
        <w:t xml:space="preserve">from the raw load–extension exports with each test’s gauge stated (Reviewer 3,</w:t>
      </w:r>
      <w:r>
        <w:t xml:space="preserve"> </w:t>
      </w:r>
      <w:r>
        <w:t xml:space="preserve">point 7).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Two measurements requested by Reviewer 3 are outstanding.</w:t>
      </w:r>
      <w:r>
        <w:t xml:space="preserve"> </w:t>
      </w:r>
      <w:r>
        <w:t xml:space="preserve">Reviewer 3 asks for a</w:t>
      </w:r>
      <w:r>
        <w:t xml:space="preserve"> </w:t>
      </w:r>
      <w:r>
        <w:t xml:space="preserve">loading–unloading–heating test on the cyclically treated condition (point 7) and a</w:t>
      </w:r>
      <w:r>
        <w:t xml:space="preserve"> </w:t>
      </w:r>
      <w:r>
        <w:t xml:space="preserve">direct measurement of the martensite-start temperature (point 8). Neither could be</w:t>
      </w:r>
      <w:r>
        <w:t xml:space="preserve"> </w:t>
      </w:r>
      <w:r>
        <w:t xml:space="preserve">completed within the revision period. The manuscript states plainly that neither has</w:t>
      </w:r>
      <w:r>
        <w:t xml:space="preserve"> </w:t>
      </w:r>
      <w:r>
        <w:t xml:space="preserve">been performed, and it no longer uses the untested condition or the inferred Ms to</w:t>
      </w:r>
      <w:r>
        <w:t xml:space="preserve"> </w:t>
      </w:r>
      <w:r>
        <w:t xml:space="preserve">carry any conclusion. Both measurements have been requested at Fort Wayne Metals.</w:t>
      </w:r>
      <w:r>
        <w:t xml:space="preserve"> </w:t>
      </w:r>
      <w:r>
        <w:t xml:space="preserve">Should you consider either necessary for a decision, we would ask for a short</w:t>
      </w:r>
      <w:r>
        <w:t xml:space="preserve"> </w:t>
      </w:r>
      <w:r>
        <w:t xml:space="preserve">extension for that item alone, and would report the result as a bound in the terms</w:t>
      </w:r>
      <w:r>
        <w:t xml:space="preserve"> </w:t>
      </w:r>
      <w:r>
        <w:t xml:space="preserve">set out in the response.</w:t>
      </w:r>
    </w:p>
    <w:p>
      <w:pPr>
        <w:pStyle w:val="FirstParagraph"/>
      </w:pPr>
      <w:r>
        <w:t xml:space="preserve">The other changes are textual: the conclusions of the submitted manuscript are tabulated</w:t>
      </w:r>
      <w:r>
        <w:t xml:space="preserve"> </w:t>
      </w:r>
      <w:r>
        <w:t xml:space="preserve">as held, corrected, or withdrawn and replaced (point 1); the contribution is stated as</w:t>
      </w:r>
      <w:r>
        <w:t xml:space="preserve"> </w:t>
      </w:r>
      <w:r>
        <w:t xml:space="preserve">three specific claims and the pre-screening check is explicitly not claimed as new</w:t>
      </w:r>
      <w:r>
        <w:t xml:space="preserve"> </w:t>
      </w:r>
      <w:r>
        <w:t xml:space="preserve">(point 2); the cyclic heat-treatment schedules are stated per specimen, with the</w:t>
      </w:r>
      <w:r>
        <w:t xml:space="preserve"> </w:t>
      </w:r>
      <w:r>
        <w:t xml:space="preserve">chronology and the intent (point 3); the gauge length is given per dataset from the</w:t>
      </w:r>
      <w:r>
        <w:t xml:space="preserve"> </w:t>
      </w:r>
      <w:r>
        <w:t xml:space="preserve">instrument records, and the load-frame record of the Fig. 3 tests has been located</w:t>
      </w:r>
      <w:r>
        <w:t xml:space="preserve"> </w:t>
      </w:r>
      <w:r>
        <w:t xml:space="preserve">(point 4); and every conclusion is bounded to the conditions reported, with a</w:t>
      </w:r>
      <w:r>
        <w:t xml:space="preserve"> </w:t>
      </w:r>
      <w:r>
        <w:t xml:space="preserve">three-level statement of what was measured, what is calculated, and what is not</w:t>
      </w:r>
      <w:r>
        <w:t xml:space="preserve"> </w:t>
      </w:r>
      <w:r>
        <w:t xml:space="preserve">claimed (point 5).</w:t>
      </w:r>
    </w:p>
    <w:p>
      <w:pPr>
        <w:pStyle w:val="BodyText"/>
      </w:pPr>
      <w:r>
        <w:t xml:space="preserve">We upload three response documents, one per reviewer. The marked-up manuscript shows</w:t>
      </w:r>
      <w:r>
        <w:t xml:space="preserve"> </w:t>
      </w:r>
      <w:r>
        <w:t xml:space="preserve">every change against the Revision-1 file the reviewers read.</w:t>
      </w:r>
    </w:p>
    <w:p>
      <w:pPr>
        <w:pStyle w:val="BodyText"/>
      </w:pPr>
      <w:r>
        <w:t xml:space="preserve">This work is original, is not under consideration elsewhere, and all authors have</w:t>
      </w:r>
      <w:r>
        <w:t xml:space="preserve"> </w:t>
      </w:r>
      <w:r>
        <w:t xml:space="preserve">approved the revised version.</w:t>
      </w:r>
    </w:p>
    <w:p>
      <w:pPr>
        <w:pStyle w:val="BodyText"/>
      </w:pPr>
      <w:r>
        <w:t xml:space="preserve">Sincerely, on behalf of all authors,</w:t>
      </w:r>
    </w:p>
    <w:p>
      <w:pPr>
        <w:pStyle w:val="BodyText"/>
      </w:pPr>
      <w:r>
        <w:t xml:space="preserve">Frank Y. Cai</w:t>
      </w:r>
      <w:r>
        <w:t xml:space="preserve"> </w:t>
      </w:r>
      <w:r>
        <w:t xml:space="preserve">School of Engineering Technologies, Purdue University</w:t>
      </w:r>
      <w:r>
        <w:t xml:space="preserve"> </w:t>
      </w:r>
      <w:r>
        <w:t xml:space="preserve">West Lafayette, Indiana 47907, USA</w:t>
      </w:r>
      <w:r>
        <w:t xml:space="preserve"> </w:t>
      </w:r>
      <w:r>
        <w:t xml:space="preserve">cai485@purdue.edu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2026-09-20T20:05:01Z</dcterms:created>
  <dcterms:modified xsi:type="dcterms:W3CDTF">2026-09-20T20:05:01Z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