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Iron-based shape memory alloys (Fe-SMAs) offer a low-cost alternative to Nitinol, but their superelastic response is sensitive to composition and processing. Large language model (LLM) deep-research agents can propose alloy compositions in seconds, but whether such proposals work once synthesized is rarely tested. We synthesized and tested one Fe-Mn-Al-Ni-Si-C composition drawn from an LLM proposal, alongside an Fe-Mn-Al-Ni reference alloy of established superelastic composition, processed in parallel. The LLM-hypothesized alloy showed no superelasticity where unloading was recorded and no shape-memory recovery on heating in the one condition tested, whereas the reference alloy recovered ≈0.5%. After a 1200 °C anneal, ex-situ synchrotron X-ray diffraction with semi-quantitative Rietveld refinement indicates a γ-majority FCC γ + BCC α structure with a minor ordered phase indexed as D0₃ Fe₃Al, unchanged after 10% strain. Equilibrium calculations in three CALPHAD databases find no single-phase α field below the alloy’s melting point; one opens when its 0.1 wt% carbon is removed, making carbon a plausible contributor rather than a demonstrated cause. The workflow omitted the phase-stability check its own report recommended. This single-composition case study does not evaluate LLM alloy design in general; proposed compositions should be screened for competing-phase stability before synthesis.</w:t>
      </w:r>
    </w:p>
    <w:p>
      <w:pPr>
        <w:pStyle w:val="BodyText"/>
      </w:pPr>
      <w:r>
        <w:rPr>
          <w:b/>
          <w:bCs/>
        </w:rPr>
        <w:t xml:space="preserve">Keywords:</w:t>
      </w:r>
      <w:r>
        <w:t xml:space="preserve"> </w:t>
      </w:r>
      <w:r>
        <w:t xml:space="preserve">abnormal grain growth; alloy design; CALPHAD; Fe-based shape memory alloy; large language model; superelasticity;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Deep-learning models trained on first-principles thermodynamics have advanced materials discovery. For example, DeepMind’s GNoME predicted more than 2.2 million previously unreported crystal structures with high precision against DFT validation</w:t>
      </w:r>
      <w:r>
        <w:t xml:space="preserve"> </w:t>
      </w:r>
      <w:r>
        <w:t xml:space="preserve">(Ref 1)</w:t>
      </w:r>
      <w:r>
        <w:t xml:space="preserve">. In addition, agentic large language models (LLMs)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machine-proposed candidates: some screened against first-principles thermodynamics, as GNoME’s are against DFT, and others, like the LLM proposal examined here, screened by no calculation at all (Sec. 2.1). Recent studies have begun applying such AI methods specifically to shape memory alloys (SMAs), including data-driven composition screening</w:t>
      </w:r>
      <w:r>
        <w:t xml:space="preserve"> </w:t>
      </w:r>
      <w:r>
        <w:t xml:space="preserve">(Ref 4)</w:t>
      </w:r>
      <w:r>
        <w:t xml:space="preserve">, generative inverse design</w:t>
      </w:r>
      <w:r>
        <w:t xml:space="preserve"> </w:t>
      </w:r>
      <w:r>
        <w:t xml:space="preserve">(Ref 5)</w:t>
      </w:r>
      <w:r>
        <w:t xml:space="preserve">, and LLM-based hypothesis generation</w:t>
      </w:r>
      <w:r>
        <w:t xml:space="preserve"> </w:t>
      </w:r>
      <w:r>
        <w:t xml:space="preserve">(Ref 6)</w:t>
      </w:r>
      <w:r>
        <w:t xml:space="preserve">. However, experimental tests of such proposals, and of LLM-generated ones in particular, remain few. Current generative materials models typically optimize for thermodynamic stability (formation energy, convex-hull distance) but may not, in general, explicitly consider the kinetic barriers that govern microstructure evolution during processing</w:t>
      </w:r>
      <w:r>
        <w:t xml:space="preserve"> </w:t>
      </w:r>
      <w:r>
        <w:t xml:space="preserve">(Ref 1)</w:t>
      </w:r>
      <w:r>
        <w:t xml:space="preserve">. A composition whose target phase lies on the DFT convex hull might still be difficult to realize in practice. This study examines an LLM-hypothesized SMA. To the best of our knowledge, experimental validation of such alloys remains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properties that have led to its wide use in medical devices, aerospace actuators, and damping applications</w:t>
      </w:r>
      <w:r>
        <w:t xml:space="preserve"> </w:t>
      </w:r>
      <w:r>
        <w:t xml:space="preserve">(Ref 9,10)</w:t>
      </w:r>
      <w:r>
        <w:t xml:space="preserve">. However, because of its relatively high manufacturing cost, the use of Nitinol in structural engineering applications, such as prestressing tendons for concrete and seismic dampers, remains very limited.</w:t>
      </w:r>
    </w:p>
    <w:p>
      <w:pPr>
        <w:pStyle w:val="BodyText"/>
      </w:pPr>
      <w:r>
        <w:t xml:space="preserve">Fe-based SMAs offer a path to lower cost</w:t>
      </w:r>
      <w:r>
        <w:t xml:space="preserve"> </w:t>
      </w:r>
      <w:r>
        <w:t xml:space="preserve">(Ref 11)</w:t>
      </w:r>
      <w:r>
        <w:t xml:space="preserve">.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in which cyclic heat treatments across the FCC γ ↔ BCC α phase boundary produce a bamboo-like grain structure, with individual grains spanning the whole wire cross-section.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took this alloy system as the starting point and asked an LLM deep-research agent for lower-cost alternatives with the potential to exhibit superelasticity. The agent retrieves and reads published and web sources at query time rather than being trained on a curated corpus; its report draws on 76 sources (Sec. 2.1). We processed one of the LLM-hypothesized compositions alongside the alloy reported by Omori</w:t>
      </w:r>
      <w:r>
        <w:t xml:space="preserve"> </w:t>
      </w:r>
      <w:r>
        <w:rPr>
          <w:i/>
          <w:iCs/>
        </w:rPr>
        <w:t xml:space="preserve">et al.</w:t>
      </w:r>
      <w:r>
        <w:t xml:space="preserve"> </w:t>
      </w:r>
      <w:r>
        <w:t xml:space="preserve">(Ref 12)</w:t>
      </w:r>
      <w:r>
        <w:t xml:space="preserve">; preliminary results were reported at SMST 2026</w:t>
      </w:r>
      <w:r>
        <w:t xml:space="preserve"> </w:t>
      </w:r>
      <w:r>
        <w:t xml:space="preserve">(Ref 15)</w:t>
      </w:r>
      <w:r>
        <w:t xml:space="preserve">. Both alloys followed the same nominal processing route. Identical nominal parameters do not guarantee identical recrystallization, grain size, texture or precipitation in two different compositions, so what follows compares how each alloy responds to a common route rather than isolating composition as the only variable (Sec. 4.1). This work is an exploratory case study of one LLM-assisted hypothesis, not an evaluation of LLM alloy design as a class.</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2.5 Deep Research session</w:t>
      </w:r>
      <w:r>
        <w:t xml:space="preserve"> </w:t>
      </w:r>
      <w:r>
        <w:t xml:space="preserve">(Ref 2)</w:t>
      </w:r>
      <w:r>
        <w:t xml:space="preserve">, in which the agent searched for and read sources at query time; no model was trained or fine-tuned for this work. The agent was asked for iron-based compositions that might approach Nitinol-like pseudoelasticity at substantially lower cost, reasoning from the Fe-Mn-Al-Ni family established by Omori and co-workers</w:t>
      </w:r>
      <w:r>
        <w:t xml:space="preserve"> </w:t>
      </w:r>
      <w:r>
        <w:t xml:space="preserve">(Ref 12,16)</w:t>
      </w:r>
      <w:r>
        <w:t xml:space="preserve"> </w:t>
      </w:r>
      <w:r>
        <w:t xml:space="preserve">and excluding expensive additions such as cobalt and tantalum. Its report,</w:t>
      </w:r>
      <w:r>
        <w:t xml:space="preserve"> </w:t>
      </w:r>
      <w:r>
        <w:rPr>
          <w:i/>
          <w:iCs/>
        </w:rPr>
        <w:t xml:space="preserve">New Fe-SMA Alloy Hypotheses</w:t>
      </w:r>
      <w:r>
        <w:t xml:space="preserve"> </w:t>
      </w:r>
      <w:r>
        <w:t xml:space="preserve">(41 pages drawing on 76 sources, all accessed on 19 May 2025; exported on 4 June 2025), is supplied unedited as Online Resource 1. The verbatim prompt was not preserved, and the report does not include it; the report is therefore the complete surviving record of the session. The request was made in this single session and was not repeated. The agent ran no thermodynamic or first-principles calculation; its report recommends CALPHAD and DFT calculations as future steps (Sec. 4.3). The report proposes six candidate families and ranks them by experimental priority: three Fe-Mn-Al-(Ni) variants, two Fe-Mn-Si-Cr variants, and one Fe-Al-Cr-Mn interstitial alloy.</w:t>
      </w:r>
    </w:p>
    <w:p>
      <w:pPr>
        <w:pStyle w:val="BodyText"/>
      </w:pPr>
      <w:r>
        <w:t xml:space="preserve">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w:t>
      </w:r>
      <w:r>
        <w:t xml:space="preserve"> </w:t>
      </w:r>
      <w:r>
        <w:t xml:space="preserve">(Ref 12,16)</w:t>
      </w:r>
      <w:r>
        <w:t xml:space="preserve">. An alloy of established composition 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composition in atomic percent, the basis on which the Fe-Mn-Al-Ni alloys of that earlier work are reported, and took A2’s carbon option rather than its boron one: 50Fe-30Mn-12Al-4Ni-4Si (at%) with an additional 1000 ppm C, 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actually observed. The experiments thus test the composition that was made, not Hypothesis A2 as a whole; the A2 range is examined only by calculation (Sec. 3.4).</w:t>
      </w:r>
    </w:p>
    <w:p>
      <w:pPr>
        <w:pStyle w:val="BodyText"/>
      </w:pPr>
      <w:r>
        <w:t xml:space="preserve">In the report’s rationale for A2, Fe, Mn, Al, and Ni are intended to form a BCC parent phase and β (NiAl-type) precipitates, with Ni kept moderate to lower cost. Si is added for solid-solution strengthening of the parent BCC matrix; it is also known to increase slip resistance in ferritic structures and could potentially modify the stability or morphology of β precipitates or influence the stacking-fault energy. C is added for interstitial strengthening of the parent phase and for the possible formation of very fine, dispersed carbides. The report’s stated performance target for A2 is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in parallel. These alloys are hereafter referred to as the LLM alloy and the Omori alloy, respectively.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w:t>
      </w:r>
      <w:r>
        <w:t xml:space="preserve"> </w:t>
      </w:r>
      <w:r>
        <w:t xml:space="preserve">(Ref 12)</w:t>
      </w:r>
      <w:r>
        <w:t xml:space="preserve">. The transformation it showed under the common route (Sec. 3.2) is used as evidence that the route and the tests can detect one, not as a demonstration of that superelasticity.</w:t>
      </w:r>
    </w:p>
    <w:p>
      <w:pPr>
        <w:pStyle w:val="BodyText"/>
      </w:pPr>
      <w:r>
        <w:t xml:space="preserve">About 2 kg of each alloy was melted from high-purity raw elements in a vacuum induction furnace and cast into ø50 mm ingots. The alloy chemistries, measured by inductively coupled plasma atomic emission spectroscopy (ICP-AES), with carbon determined by ASTM E1019, are listed in wt% and at% in</w:t>
      </w:r>
      <w:r>
        <w:t xml:space="preserve"> </w:t>
      </w:r>
      <w:r>
        <w:rPr>
          <w:b/>
          <w:bCs/>
        </w:rPr>
        <w:t xml:space="preserve">Table 1</w:t>
      </w:r>
      <w:r>
        <w:t xml:space="preserve">. The measured composition of the Omori alloy, 42.7Fe-34.1Mn-15.2Al-7.8Ni (at%), was close to 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Resource 2), so chemical homogeneity within a heat was not checked. The Omori alloy also contains 0.06 wt% (≈0.10 at%) phosphorus of unknown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 Several ø13 mm rods were cut from the cast ingots by electrical discharge machining (EDM). The rods were homogenized at 1000 °C for 16 hours in an argon atmosphere, hot-rolled at 850 °C in multiple passes to reduce their thickness, and then cold-drawn to wire 0.36 mm in diameter for the LLM alloy and 0.64 mm for the Omori alloy (the test record of the Omori alloy’s heating-test specimen gives a diameter of 0.54 mm). Severe work hardening during cold drawing necessitated intermediate annealing at 1000 °C under argon between drawing passes to restore ductility. The cold-drawing reduction after the last process anneal was ≈85% in area.</w:t>
      </w:r>
    </w:p>
    <w:bookmarkEnd w:id="11"/>
    <w:bookmarkStart w:id="12" w:name="heat-treatments"/>
    <w:p>
      <w:pPr>
        <w:pStyle w:val="Heading2"/>
      </w:pPr>
      <w:r>
        <w:t xml:space="preserve">2.2 Heat treatments</w:t>
      </w:r>
    </w:p>
    <w:p>
      <w:pPr>
        <w:pStyle w:val="FirstParagraph"/>
      </w:pPr>
      <w:r>
        <w:t xml:space="preserve">To test the effect of heat-treatment temperature on mechanical properties, cold-drawn 0.36 mm LLM-alloy wires were heat treated in an argon-filled strand furnace at temperatures between 600 and 1200 °C for a nominal dwell of 1 minute and then cooled rapidly to room temperature; the cooling rate on leaving the furnace was not measured. The 1-minute treatments were strand passes through the hot zone, made at 4 ft min⁻¹ for the specimens whose records give the pass speed; the remaining specimens in Table 2 are recorded as having received the same 1-minute treatment (Table S1).</w:t>
      </w:r>
      <w:r>
        <w:t xml:space="preserve"> </w:t>
      </w:r>
      <w:r>
        <w:t xml:space="preserve">“1 minute”</w:t>
      </w:r>
      <w:r>
        <w:t xml:space="preserve"> </w:t>
      </w:r>
      <w:r>
        <w:t xml:space="preserve">is the nominal dwell: the time at temperature, which is set by the pass speed and the hot-zone length, was not measured separately. The Omori alloy wire used in Figs. 3, 4 and 6 received the same 1200 °C/1 min treatment. Static holds of 40 and 80 minutes at 1200 °C were also applied to the LLM-alloy wire. The aged condition of</w:t>
      </w:r>
      <w:r>
        <w:t xml:space="preserve"> </w:t>
      </w:r>
      <w:r>
        <w:rPr>
          <w:b/>
          <w:bCs/>
        </w:rPr>
        <w:t xml:space="preserve">Fig. 2f</w:t>
      </w:r>
      <w:r>
        <w:t xml:space="preserve"> </w:t>
      </w:r>
      <w:r>
        <w:t xml:space="preserve">was produced by aging the 1200 °C/1 min wire at 200 °C for 3 hours. Heat treatments above 1200 °C (static holds at 1250 °C and a cyclic exposure at 1300 °C) caused severe oxidation or furnace contamination and are not reported further; 1200 °C was therefore the practical upper limit of the processing window. Surface oxidation and decarburization during the treatments at or below 1200 °C were not measured.</w:t>
      </w:r>
    </w:p>
    <w:p>
      <w:pPr>
        <w:pStyle w:val="BodyText"/>
      </w:pPr>
      <w:r>
        <w:t xml:space="preserve">Cyclic heat treatments of the type used to produce abnormal grain growth and a bamboo-like grain structure in this alloy family</w:t>
      </w:r>
      <w:r>
        <w:t xml:space="preserve"> </w:t>
      </w:r>
      <w:r>
        <w:t xml:space="preserve">(Ref 17)</w:t>
      </w:r>
      <w:r>
        <w:t xml:space="preserve">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°C, each of the first three followed by 10 minutes in the cold zone of the furnace and the fourth by a water quench.</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to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X-ray spectroscopy (EDS) were used to study the microstructure and local chemistry; EDS was used qualitatively (Sec. 3.1).</w:t>
      </w:r>
    </w:p>
    <w:bookmarkEnd w:id="13"/>
    <w:bookmarkStart w:id="14" w:name="mechanical-testing"/>
    <w:p>
      <w:pPr>
        <w:pStyle w:val="Heading2"/>
      </w:pPr>
      <w:r>
        <w:t xml:space="preserve">2.4 Mechanical testing</w:t>
      </w:r>
    </w:p>
    <w:p>
      <w:pPr>
        <w:pStyle w:val="FirstParagraph"/>
      </w:pPr>
      <w:r>
        <w:t xml:space="preserve">Room-temperature cyclic tensile tests were performed on an Instron testing machine in displacement control. Each specimen was loaded in successive increments of nominally 1% strain and unloaded after each increment until ≈8–12% strain was reached, unless it fractured earlier, and was then loaded to fracture. Specimen handling and the monotonic-tension elements of the procedure broadly followed ASTM E8/E8M. The cyclic protocol itself is not a standardized test but a purpose-designed method, used in our previous work</w:t>
      </w:r>
      <w:r>
        <w:t xml:space="preserve"> </w:t>
      </w:r>
      <w:r>
        <w:t xml:space="preserve">(Ref 18)</w:t>
      </w:r>
      <w:r>
        <w:t xml:space="preserve">, for evaluating reversible transformation and strain recovery in fine superelastic wire. Unless stated otherwise, the gauge length was 127 mm (5.000 in), and the crosshead speed, where recorded (Table S1), was 0.25 in min⁻¹, corresponding to a nominal strain rate of 8.3 × 10⁻⁴ s⁻¹. Engineering stress was computed from the specimen diameter entered in the instrument record, and engineering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 xml:space="preserve">Table 2</w:t>
      </w:r>
      <w:r>
        <w:t xml:space="preserve"> </w:t>
      </w:r>
      <w:r>
        <w:t xml:space="preserve">are apparent rather than true. The protocol is designed to reveal superelasticity, which appears as strain recovered on unloading beyond the elastic springback. Three specimens were tested for each condition in</w:t>
      </w:r>
      <w:r>
        <w:t xml:space="preserve"> </w:t>
      </w:r>
      <w:r>
        <w:rPr>
          <w:b/>
          <w:bCs/>
        </w:rPr>
        <w:t xml:space="preserve">Table 2</w:t>
      </w:r>
      <w:r>
        <w:t xml:space="preserve">;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 xml:space="preserve">Fig. 2f</w:t>
      </w:r>
      <w:r>
        <w:t xml:space="preserve">) was tested on a single specimen, and each prolonged-anneal and cyclically treated condition was tested on one or two specimens (Table S1).</w:t>
      </w:r>
    </w:p>
    <w:p>
      <w:pPr>
        <w:pStyle w:val="BodyText"/>
      </w:pPr>
      <w:r>
        <w:t xml:space="preserve">This strain rate is quasi-static. Superelastic alloys are rate-sensitive chiefly because the latent heat of transformation, when it cannot be conducted away fast enough, warms the specimen and raises the stress needed to continue the transformation</w:t>
      </w:r>
      <w:r>
        <w:t xml:space="preserve"> </w:t>
      </w:r>
      <w:r>
        <w:t xml:space="preserve">(Ref 19)</w:t>
      </w:r>
      <w:r>
        <w:t xml:space="preserve">. This self-heating effect alters the stress–strain response of a transforming alloy rather than suppressing the transformation, and it is expected to be weaker in Fe-Mn-Al-Ni, whose transformation stress depends only weakly on temperature (0.53 MPa °C⁻¹</w:t>
      </w:r>
      <w:r>
        <w:t xml:space="preserve"> </w:t>
      </w:r>
      <w:r>
        <w:t xml:space="preserve">(Ref 12)</w:t>
      </w:r>
      <w:r>
        <w:t xml:space="preserve">). The strain rate is therefore not expected to bear on the absence of transformation reported here.</w:t>
      </w:r>
    </w:p>
    <w:p>
      <w:pPr>
        <w:pStyle w:val="BodyText"/>
      </w:pPr>
      <w:r>
        <w:t xml:space="preserve">A dedicated loading–unloading–heating test was also conducted on one specimen of each alloy in the 1200 °C/1 min condition to evaluate any shape-memory response. Each specimen was loaded to 3% strain and unloaded to zero stress, after which the crosshead was returned to its starting position (nominal zero strain). At the same time, the specimen was heated to ≈200 °C at ≈50 °C s⁻¹ and held for ≈10 s to trigger any reverse transformation of martensite to austenite; it was then reloaded. Any shape-memory effect would be revealed during the heating stage: it would cause the stress on reloading to rise at a strain lower than the residual strain after unloading.</w:t>
      </w:r>
    </w:p>
    <w:bookmarkEnd w:id="14"/>
    <w:bookmarkStart w:id="15" w:name="synchrotron-x-ray-diffraction"/>
    <w:p>
      <w:pPr>
        <w:pStyle w:val="Heading2"/>
      </w:pPr>
      <w:r>
        <w:t xml:space="preserve">2.5 Synchrotron X-ray diffraction</w:t>
      </w:r>
    </w:p>
    <w:p>
      <w:pPr>
        <w:pStyle w:val="FirstParagraph"/>
      </w:pPr>
      <w:r>
        <w:t xml:space="preserve">To identify the phase constitution and any phase change, synchrotron X-ray diffraction (XRD) measurements were performed at the ultra-hard X-ray multifunctional application beamline BL12SW of the Shanghai Synchrotron Radiation Facility (SSRF)</w:t>
      </w:r>
      <w:r>
        <w:t xml:space="preserve"> </w:t>
      </w:r>
      <w:r>
        <w:t xml:space="preserve">(Ref 20,21)</w:t>
      </w:r>
      <w:r>
        <w:t xml:space="preserve">. The incident wavelength was λ = 0.12587 Å, and the beam size was 0.5 × 0.5 mm². 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Two-dimensional Debye–Scherrer patterns, one or two frames per specimen, were collected from separate specimens of each alloy before and after tensile deformation (10% strain for the LLM alloy, 8% for the Omori alloy) and from the cyclically treated LLM-alloy rod (Sec. 3.3). The deformed specimens were measured after unloading, at zero load. One specimen was measured per alloy and condition (Table S1). The 2D images were processed in FIT2D</w:t>
      </w:r>
      <w:r>
        <w:t xml:space="preserve"> </w:t>
      </w:r>
      <w:r>
        <w:t xml:space="preserve">(Ref 22)</w:t>
      </w:r>
      <w:r>
        <w:t xml:space="preserve">: the diffraction data were sliced at 5° intervals around the 360° azimuth and integrated to give 72 diffraction spectra, which were then fitted by Rietveld refinement</w:t>
      </w:r>
      <w:r>
        <w:t xml:space="preserve"> </w:t>
      </w:r>
      <w:r>
        <w:t xml:space="preserve">(Ref 23)</w:t>
      </w:r>
      <w:r>
        <w:t xml:space="preserve"> </w:t>
      </w:r>
      <w:r>
        <w:t xml:space="preserve">in MAUD version 2.33</w:t>
      </w:r>
      <w:r>
        <w:t xml:space="preserve"> </w:t>
      </w:r>
      <w:r>
        <w:t xml:space="preserve">(Ref 24)</w:t>
      </w:r>
      <w:r>
        <w:t xml:space="preserve">.</w:t>
      </w:r>
    </w:p>
    <w:p>
      <w:pPr>
        <w:pStyle w:val="BodyText"/>
      </w:pPr>
      <w:r>
        <w:t xml:space="preserve">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 phase fractions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and phase compositions were computed with the CALPHAD method</w:t>
      </w:r>
      <w:r>
        <w:t xml:space="preserve"> </w:t>
      </w:r>
      <w:r>
        <w:t xml:space="preserve">(Ref 25)</w:t>
      </w:r>
      <w:r>
        <w:t xml:space="preserve"> </w:t>
      </w:r>
      <w:r>
        <w:t xml:space="preserve">using pycalphad 0.11.2</w:t>
      </w:r>
      <w:r>
        <w:t xml:space="preserve"> </w:t>
      </w:r>
      <w:r>
        <w:t xml:space="preserve">(Ref 26)</w:t>
      </w:r>
      <w:r>
        <w:t xml:space="preserve"> </w:t>
      </w:r>
      <w:r>
        <w:t xml:space="preserve">at 1 atm over 400–1400 °C (temperature grids in Table S2). The inputs were the measured chemistries of</w:t>
      </w:r>
      <w:r>
        <w:t xml:space="preserve"> </w:t>
      </w:r>
      <w:r>
        <w:rPr>
          <w:b/>
          <w:bCs/>
        </w:rPr>
        <w:t xml:space="preserve">Table 1</w:t>
      </w:r>
      <w:r>
        <w:t xml:space="preserve"> </w:t>
      </w:r>
      <w:r>
        <w:t xml:space="preserve">converted to atomic percent: Fe–29.8Mn–11.9Al–4.2Ni–2.04Si–0.45C for the LLM alloy and Fe–34.1Mn–15.2Al–7.8Ni–0.10P–0.04C–0.02Si for the Omori alloy. No single open database assesses Fe–Mn–Al–Ni–Si–C and also models the B2, D0₃ and κ ordered phases, so three independently assessed databases were used: mpea-02b</w:t>
      </w:r>
      <w:r>
        <w:t xml:space="preserve"> </w:t>
      </w:r>
      <w:r>
        <w:t xml:space="preserve">(Ref 27,28)</w:t>
      </w:r>
      <w:r>
        <w:t xml:space="preserve">, which carries Fe–Mn–Al–Ni–C but not Si; PrecHiMn-04</w:t>
      </w:r>
      <w:r>
        <w:t xml:space="preserve"> </w:t>
      </w:r>
      <w:r>
        <w:t xml:space="preserve">(Ref 29)</w:t>
      </w:r>
      <w:r>
        <w:t xml:space="preserve">, which carries Si and models D0₃ and κ-carbide but contains no Ni; and mc_fe v2.059</w:t>
      </w:r>
      <w:r>
        <w:t xml:space="preserve"> </w:t>
      </w:r>
      <w:r>
        <w:t xml:space="preserve">(Ref 30)</w:t>
      </w:r>
      <w:r>
        <w:t xml:space="preserve">,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p>
    <w:p>
      <w:r>
        <w:pict>
          <v:rect style="width:0;height:1.5pt" o:hralign="center" o:hrstd="t" o:hr="t"/>
        </w:pict>
      </w:r>
    </w:p>
    <w:bookmarkEnd w:id="16"/>
    <w:bookmarkEnd w:id="17"/>
    <w:bookmarkStart w:id="22" w:name="experimental-results"/>
    <w:p>
      <w:pPr>
        <w:pStyle w:val="Heading1"/>
      </w:pPr>
      <w:r>
        <w:t xml:space="preserve">3. Experimental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 alloy after heat treatment at 1200 °C for 1 minute. The alloy has a fine-grained, equiaxed microstructure with grain diameters well under 20 µm; this and the other grain sizes quoted here are visual estimates from the micrographs, not stereological measurements. Scanning electron microscopy (</w:t>
      </w:r>
      <w:r>
        <w:rPr>
          <w:b/>
          <w:bCs/>
        </w:rPr>
        <w:t xml:space="preserve">Fig. 1b</w:t>
      </w:r>
      <w:r>
        <w:t xml:space="preserve">) resolves this morphology into an intimately interlocked mixture of a darker gray constituent and brighter, blocky islands. EDS detected a higher Al content in the darker constituent and a higher Mn content in the brighter one, consistent with a dual-phase structure in which the Al-rich regions are BCC α-phase and the Mn-rich regions are FCC γ-phase. 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 to 40 minutes at the same temperature (</w:t>
      </w:r>
      <w:r>
        <w:rPr>
          <w:b/>
          <w:bCs/>
        </w:rPr>
        <w:t xml:space="preserve">Fig. 1c</w:t>
      </w:r>
      <w:r>
        <w:t xml:space="preserve">) caused severe coarsening: the initial fine structure was replaced by a coarse one with individual grains exceeding 100 µm in width, in which two constituents remain visible. After the quartz-tube cyclic treatment of Sec. 2.2, the 0.36 mm wire (</w:t>
      </w:r>
      <w:r>
        <w:rPr>
          <w:b/>
          <w:bCs/>
        </w:rPr>
        <w:t xml:space="preserve">Fig. 1d</w:t>
      </w:r>
      <w:r>
        <w:t xml:space="preserve">)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p>
    <w:bookmarkEnd w:id="18"/>
    <w:bookmarkStart w:id="19" w:name="cyclic-stressstrain-response"/>
    <w:p>
      <w:pPr>
        <w:pStyle w:val="Heading2"/>
      </w:pPr>
      <w:r>
        <w:t xml:space="preserve">3.2 Cyclic stress–strain response</w:t>
      </w:r>
    </w:p>
    <w:p>
      <w:pPr>
        <w:pStyle w:val="FirstParagraph"/>
      </w:pPr>
      <w:r>
        <w:rPr>
          <w:b/>
          <w:bCs/>
        </w:rPr>
        <w:t xml:space="preserve">Fig. 2</w:t>
      </w:r>
      <w:r>
        <w:t xml:space="preserve"> </w:t>
      </w:r>
      <w:r>
        <w:t xml:space="preserve">shows cyclic tensile stress–strain curves of the LLM alloy after heat treatment at different temperatures, and</w:t>
      </w:r>
      <w:r>
        <w:t xml:space="preserve"> </w:t>
      </w:r>
      <w:r>
        <w:rPr>
          <w:b/>
          <w:bCs/>
        </w:rPr>
        <w:t xml:space="preserve">Table 2</w:t>
      </w:r>
      <w:r>
        <w:t xml:space="preserve"> </w:t>
      </w:r>
      <w:r>
        <w:t xml:space="preserve">lists the corresponding data. Together, they give a broad picture of how heat treatment governs the mechanical properties of the alloy. The response depends strongly on the annealing temperature: low strand-anneal temperatures (600–700 °C) left the wire with high strength but little ductility (tensile strengths of ≈1876–2254 MPa and yield strengths of ≈1635–1908 MPa, with elongation of only ≈2%), consistent with incomplete recrystallization of the cold-drawn wire. Annealing at 800–1200 °C, by contrast, progressively softened the wire and restored ductility, with elongation peaking near 33% at 1000 °C. The apparent elastic modulus, E, remained within ≈150–162 GPa across the annealed conditions. In the recrystallized conditions (800–1200 °C,</w:t>
      </w:r>
      <w:r>
        <w:t xml:space="preserve"> </w:t>
      </w:r>
      <w:r>
        <w:rPr>
          <w:b/>
          <w:bCs/>
        </w:rPr>
        <w:t xml:space="preserve">Fig. 2c–e</w:t>
      </w:r>
      <w:r>
        <w:t xml:space="preserve">), the unloading segments are straight and parallel to the initial loading line, and they return no strain beyond the elastic strain (σ/E) expected at the unloading stress: the strain recovery is consistent with elastic springback alone, with no pseudoelastic contribution resolvable at the scale of</w:t>
      </w:r>
      <w:r>
        <w:t xml:space="preserve"> </w:t>
      </w:r>
      <w:r>
        <w:rPr>
          <w:b/>
          <w:bCs/>
        </w:rPr>
        <w:t xml:space="preserve">Fig. 2</w:t>
      </w:r>
      <w:r>
        <w:t xml:space="preserve">. The flat part of the curve that follows yielding at 800 °C (</w:t>
      </w:r>
      <w:r>
        <w:rPr>
          <w:b/>
          <w:bCs/>
        </w:rPr>
        <w:t xml:space="preserve">Fig. 2c</w:t>
      </w:r>
      <w:r>
        <w:t xml:space="preserve">) is therefore plastic flow without work hardening rather than a transformation plateau, since no strain is recovered on unloading from it. In the unrecrystallized wire (as drawn and 600 °C,</w:t>
      </w:r>
      <w:r>
        <w:t xml:space="preserve"> </w:t>
      </w:r>
      <w:r>
        <w:rPr>
          <w:b/>
          <w:bCs/>
        </w:rPr>
        <w:t xml:space="preserve">Fig. 2a, b</w:t>
      </w:r>
      <w:r>
        <w:t xml:space="preserve">),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 limits. It has been reported that aging at 200 °C can improve the pseudoelasticity of Fe-Mn-Al-Ni alloys</w:t>
      </w:r>
      <w:r>
        <w:t xml:space="preserve"> </w:t>
      </w:r>
      <w:r>
        <w:t xml:space="preserve">(Ref 31,32)</w:t>
      </w:r>
      <w:r>
        <w:t xml:space="preserve">; this was not the case for the LLM alloy (</w:t>
      </w:r>
      <w:r>
        <w:rPr>
          <w:b/>
          <w:bCs/>
        </w:rPr>
        <w:t xml:space="preserve">Fig. 2f</w:t>
      </w:r>
      <w:r>
        <w:t xml:space="preserve">).</w:t>
      </w:r>
    </w:p>
    <w:p>
      <w:pPr>
        <w:pStyle w:val="BodyText"/>
      </w:pPr>
      <w:r>
        <w:rPr>
          <w:b/>
          <w:bCs/>
        </w:rPr>
        <w:t xml:space="preserve">Fig. 3</w:t>
      </w:r>
      <w:r>
        <w:t xml:space="preserve"> </w:t>
      </w:r>
      <w:r>
        <w:t xml:space="preserve">compares the stress–strain behavior of the LLM and Omori alloys in the loading–unloading–heating test. In this test, any stress-induced martensite remaining at zero stress should transform back to austenite on heating, causing the reloading stress to rise at a strain lower than the residual strain after unloading. This occurred in the Omori alloy in the single test performed on it:</w:t>
      </w:r>
      <w:r>
        <w:t xml:space="preserve"> </w:t>
      </w:r>
      <w:r>
        <w:rPr>
          <w:b/>
          <w:bCs/>
        </w:rPr>
        <w:t xml:space="preserve">Fig. 3b</w:t>
      </w:r>
      <w:r>
        <w:t xml:space="preserve"> </w:t>
      </w:r>
      <w:r>
        <w:t xml:space="preserve">shows that its residual strain after unloading from 3% strain is ≈2.2%, and that on reloading the stress rises at a strain of ≈1.7%. This 0.5% heating-induced (shape-memory) recovery, a single observation, is evidence of stress-induced martensite in the Omori alloy that was stable enough to survive unloading but transformed back to austenite upon heating. By contrast,</w:t>
      </w:r>
      <w:r>
        <w:t xml:space="preserve"> </w:t>
      </w:r>
      <w:r>
        <w:rPr>
          <w:b/>
          <w:bCs/>
        </w:rPr>
        <w:t xml:space="preserve">Fig. 3a</w:t>
      </w:r>
      <w:r>
        <w:t xml:space="preserve"> </w:t>
      </w:r>
      <w:r>
        <w:t xml:space="preserve">shows no strain recovery for the LLM alloy in this test.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w:t>
      </w:r>
      <w:r>
        <w:t xml:space="preserve"> </w:t>
      </w:r>
      <w:r>
        <w:rPr>
          <w:b/>
          <w:bCs/>
        </w:rPr>
        <w:t xml:space="preserve">Fig. 2</w:t>
      </w:r>
      <w:r>
        <w:t xml:space="preserve"> </w:t>
      </w:r>
      <w:r>
        <w:t xml:space="preserve">shows a transformation plateau or recovery beyond σ/E. Within the conditions reported here, no stress-induced phase transformation was detected in the LLM alloy.</w:t>
      </w:r>
    </w:p>
    <w:p>
      <w:pPr>
        <w:pStyle w:val="BodyText"/>
      </w:pPr>
      <w:r>
        <w:t xml:space="preserve">The longer and cyclic treatments of Sec. 2.2 did not change this result, and the coarsened conditions were brittle. After the 40-minute hold at 1200 °C (</w:t>
      </w:r>
      <w:r>
        <w:rPr>
          <w:b/>
          <w:bCs/>
        </w:rPr>
        <w:t xml:space="preserve">Fig. 1c</w:t>
      </w:r>
      <w:r>
        <w:t xml:space="preserve">)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 and eight in the quartz-tube wire of</w:t>
      </w:r>
      <w:r>
        <w:t xml:space="preserve"> </w:t>
      </w:r>
      <w:r>
        <w:rPr>
          <w:b/>
          <w:bCs/>
        </w:rPr>
        <w:t xml:space="preserve">Fig. 1d</w:t>
      </w:r>
      <w:r>
        <w:t xml:space="preserve">,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quartz-tube wire was not given that test.</w:t>
      </w:r>
    </w:p>
    <w:bookmarkEnd w:id="19"/>
    <w:bookmarkStart w:id="20" w:name="X7b0047580ff68e3c8823c4535b0eba55ad6dd86"/>
    <w:p>
      <w:pPr>
        <w:pStyle w:val="Heading2"/>
      </w:pPr>
      <w:r>
        <w:t xml:space="preserve">3.3 Synchrotron diffraction and phase identification</w:t>
      </w:r>
    </w:p>
    <w:p>
      <w:pPr>
        <w:pStyle w:val="FirstParagraph"/>
      </w:pPr>
      <w:r>
        <w:rPr>
          <w:b/>
          <w:bCs/>
        </w:rPr>
        <w:t xml:space="preserve">Fig. 4</w:t>
      </w:r>
      <w:r>
        <w:t xml:space="preserve"> </w:t>
      </w:r>
      <w:r>
        <w:t xml:space="preserve">shows synchrotron XRD patterns of samples before and after deformation.</w:t>
      </w:r>
      <w:r>
        <w:t xml:space="preserve"> </w:t>
      </w:r>
      <w:r>
        <w:rPr>
          <w:b/>
          <w:bCs/>
        </w:rPr>
        <w:t xml:space="preserve">Fig. 5</w:t>
      </w:r>
      <w:r>
        <w:t xml:space="preserve"> </w:t>
      </w:r>
      <w:r>
        <w:t xml:space="preserve">compares the experimental data (lower half of each panel) with the results of Rietveld refinement (upper half) for the LLM alloy before deformation (</w:t>
      </w:r>
      <w:r>
        <w:rPr>
          <w:b/>
          <w:bCs/>
        </w:rPr>
        <w:t xml:space="preserve">Fig. 5a</w:t>
      </w:r>
      <w:r>
        <w:t xml:space="preserve">, R_wp = 21.4%, R_p = 8.7%) and after unloading from 10% strain (</w:t>
      </w:r>
      <w:r>
        <w:rPr>
          <w:b/>
          <w:bCs/>
        </w:rPr>
        <w:t xml:space="preserve">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on which powder averaging depends. The refinement of the undeformed pattern is therefore limited by grain statistics as well as by the strong drawing texture. The orientation distribution obtained from the refinement shows this texture along the wire axis: {111} and {100} fiber components in γ and a {110} fiber component in α, the components characteristic of cold-drawn FCC and BCC metals</w:t>
      </w:r>
      <w:r>
        <w:t xml:space="preserve"> </w:t>
      </w:r>
      <w:r>
        <w:t xml:space="preserve">(Ref 33)</w:t>
      </w:r>
      <w:r>
        <w:t xml:space="preserve">. Subject to these limitations, the volume fractions of the LLM alloy estimated from the undeformed pattern (</w:t>
      </w:r>
      <w:r>
        <w:rPr>
          <w:b/>
          <w:bCs/>
        </w:rPr>
        <w:t xml:space="preserve">Fig. 5a</w:t>
      </w:r>
      <w:r>
        <w:t xml:space="preserve">) are ≈62% FCC γ-phase, ≈34% BCC α-phase and ≈4% of an ordered phase indexed as D0₃ Fe₃Al; these fractions are semi-quantitative, were held fixed in the final refinement (Sec. 2.5) and carry no uncertainty. The fractions were also held fixed in the refinement of the deformed pattern (</w:t>
      </w:r>
      <w:r>
        <w:rPr>
          <w:b/>
          <w:bCs/>
        </w:rPr>
        <w:t xml:space="preserve">Fig. 5b</w:t>
      </w:r>
      <w:r>
        <w:t xml:space="preserve">), so no fraction is reported as a measurement for that specimen. The diffraction patterns of the LLM alloy before and after deformation are essentially the same (</w:t>
      </w:r>
      <w:r>
        <w:rPr>
          <w:b/>
          <w:bCs/>
        </w:rPr>
        <w:t xml:space="preserve">Fig. 4a, b</w:t>
      </w:r>
      <w:r>
        <w:t xml:space="preserve">), and the relative peak intensities (</w:t>
      </w:r>
      <w:r>
        <w:rPr>
          <w:b/>
          <w:bCs/>
        </w:rPr>
        <w:t xml:space="preserve">Fig. 6a</w:t>
      </w:r>
      <w:r>
        <w:t xml:space="preserve">) are essentially unchanged: no new diffraction peaks appear, and none disappear.</w:t>
      </w:r>
    </w:p>
    <w:p>
      <w:pPr>
        <w:pStyle w:val="BodyText"/>
      </w:pPr>
      <w:r>
        <w:t xml:space="preserve">An ex-situ measurement made after unloading cannot, on its own, exclude a fully reversible transformation that reverts as the load is removed; the diffraction data are therefore not the primary evidence here. A transformation reversible enough to leave no diffraction signature after unloading would still have had to produce recoverable strain during that unloading, and the unloading segments of the 1200 °C/1 min condition (</w:t>
      </w:r>
      <w:r>
        <w:rPr>
          <w:b/>
          <w:bCs/>
        </w:rPr>
        <w:t xml:space="preserve">Fig. 2e</w:t>
      </w:r>
      <w:r>
        <w:t xml:space="preserve">), the condition of the diffraction specimens, return no strain beyond σ/E. The heating test of</w:t>
      </w:r>
      <w:r>
        <w:t xml:space="preserve"> </w:t>
      </w:r>
      <w:r>
        <w:rPr>
          <w:b/>
          <w:bCs/>
        </w:rPr>
        <w:t xml:space="preserve">Fig. 3a</w:t>
      </w:r>
      <w:r>
        <w:t xml:space="preserve"> </w:t>
      </w:r>
      <w:r>
        <w:t xml:space="preserve">narrows the remaining route in that state, since stress-induced 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from sharp, discrete spots in the undeformed state (</w:t>
      </w:r>
      <w:r>
        <w:rPr>
          <w:b/>
          <w:bCs/>
        </w:rPr>
        <w:t xml:space="preserve">Fig. 4a</w:t>
      </w:r>
      <w:r>
        <w:t xml:space="preserve">) to broader, partially arced rings after deformation (</w:t>
      </w:r>
      <w:r>
        <w:rPr>
          <w:b/>
          <w:bCs/>
        </w:rPr>
        <w:t xml:space="preserve">Fig. 4b</w:t>
      </w:r>
      <w:r>
        <w:t xml:space="preserve">) is consistent with dislocation activity, which broadens peaks and can form sub-grains. This change was not quantified by line-profile analysis, and texture evolution and the illumination of different grains in a separate specimen may also contribute.</w:t>
      </w:r>
    </w:p>
    <w:p>
      <w:pPr>
        <w:pStyle w:val="BodyText"/>
      </w:pPr>
      <w:r>
        <w:t xml:space="preserve">In comparison, the undeformed Omori alloy gives a pattern dominated by BCC α, with FCC γ reflections and a B2 superlattice reflection (</w:t>
      </w:r>
      <w:r>
        <w:rPr>
          <w:b/>
          <w:bCs/>
        </w:rPr>
        <w:t xml:space="preserve">Fig. 4c</w:t>
      </w:r>
      <w:r>
        <w:t xml:space="preserve">); the B2 reflection is attributed to β-NiAl-type ordering whose spatial scale was not examined. After 8% applied strain, the {111}γ reflection intensifies and the overlapping {200}α reflection redistributes in intensity (</w:t>
      </w:r>
      <w:r>
        <w:rPr>
          <w:b/>
          <w:bCs/>
        </w:rPr>
        <w:t xml:space="preserve">Fig. 4d</w:t>
      </w:r>
      <w:r>
        <w:t xml:space="preserve">), consistent with stress-induced γ formation and partial variant activation.</w:t>
      </w:r>
      <w:r>
        <w:t xml:space="preserve"> </w:t>
      </w:r>
      <w:r>
        <w:rPr>
          <w:b/>
          <w:bCs/>
        </w:rPr>
        <w:t xml:space="preserve">Fig. 6b</w:t>
      </w:r>
      <w:r>
        <w:t xml:space="preserve"> </w:t>
      </w:r>
      <w:r>
        <w:t xml:space="preserve">also shows the change in peak intensity of the Omori alloy after deformation. Unlike the LLM alloy, which retains grains well under 20 µm after the 1200 °C/1 min anneal (</w:t>
      </w:r>
      <w:r>
        <w:rPr>
          <w:b/>
          <w:bCs/>
        </w:rPr>
        <w:t xml:space="preserve">Fig. 1a</w:t>
      </w:r>
      <w:r>
        <w:t xml:space="preserve">), the Omori alloy coarsens at this temperature: its rings break up into a small number of discrete, intense spots (</w:t>
      </w:r>
      <w:r>
        <w:rPr>
          <w:b/>
          <w:bCs/>
        </w:rPr>
        <w:t xml:space="preserve">Fig. 4c, d</w:t>
      </w:r>
      <w:r>
        <w:t xml:space="preserve">), too few grains contribute to each reflection, and no Rietveld model could be brought into satisfactory agreement with its patterns. Phase fractions are therefore reported for the LLM alloy only, and the intensity changes of</w:t>
      </w:r>
      <w:r>
        <w:t xml:space="preserve"> </w:t>
      </w:r>
      <w:r>
        <w:rPr>
          <w:b/>
          <w:bCs/>
        </w:rPr>
        <w:t xml:space="preserve">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w:t>
      </w:r>
      <w:r>
        <w:t xml:space="preserve"> </w:t>
      </w:r>
      <w:r>
        <w:rPr>
          <w:b/>
          <w:bCs/>
        </w:rPr>
        <w:t xml:space="preserve">Fig. 6b</w:t>
      </w:r>
      <w:r>
        <w:t xml:space="preserve">, the single 0.5% heating recovery of</w:t>
      </w:r>
      <w:r>
        <w:t xml:space="preserve"> </w:t>
      </w:r>
      <w:r>
        <w:rPr>
          <w:b/>
          <w:bCs/>
        </w:rPr>
        <w:t xml:space="preserve">Fig. 3b</w:t>
      </w:r>
      <w:r>
        <w:t xml:space="preserve">, and the established transformation behavior of this composition</w:t>
      </w:r>
      <w:r>
        <w:t xml:space="preserve"> </w:t>
      </w:r>
      <w:r>
        <w:t xml:space="preserve">(Ref 12–14)</w:t>
      </w:r>
      <w:r>
        <w:t xml:space="preserve">.</w:t>
      </w:r>
    </w:p>
    <w:p>
      <w:pPr>
        <w:pStyle w:val="BodyText"/>
      </w:pPr>
      <w:r>
        <w:t xml:space="preserve">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 transmission electron microscopy or atom-probe tomography. Nor can a B2 dispersion finer or more dilute than the detection limit be excluded. κ-carbide was not included in an alternative refinement model, so its presence at a small fraction is not excluded.</w:t>
      </w:r>
    </w:p>
    <w:p>
      <w:pPr>
        <w:pStyle w:val="BodyText"/>
      </w:pPr>
      <w:r>
        <w:t xml:space="preserve">After the three-cycle treatment of Sec. 2.2, the ≈1 mm LLM-alloy rod gave a pattern (not shown; Table S1) with the same γ, α and D0₃ reflections as</w:t>
      </w:r>
      <w:r>
        <w:t xml:space="preserve"> </w:t>
      </w:r>
      <w:r>
        <w:rPr>
          <w:b/>
          <w:bCs/>
        </w:rPr>
        <w:t xml:space="preserve">Fig. 4a</w:t>
      </w:r>
      <w:r>
        <w:t xml:space="preserve">,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p>
    <w:bookmarkEnd w:id="20"/>
    <w:bookmarkStart w:id="21" w:name="equilibrium-phase-stability"/>
    <w:p>
      <w:pPr>
        <w:pStyle w:val="Heading2"/>
      </w:pPr>
      <w:r>
        <w:t xml:space="preserve">3.4 Equilibrium phase stability</w:t>
      </w:r>
    </w:p>
    <w:p>
      <w:pPr>
        <w:pStyle w:val="FirstParagraph"/>
      </w:pPr>
      <w:r>
        <w:rPr>
          <w:b/>
          <w:bCs/>
        </w:rPr>
        <w:t xml:space="preserve">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is built</w:t>
      </w:r>
      <w:r>
        <w:t xml:space="preserve"> </w:t>
      </w:r>
      <w:r>
        <w:t xml:space="preserve">(Ref 17,34)</w:t>
      </w:r>
      <w:r>
        <w:t xml:space="preserve">, and it serves as the control for applying the same databases to the LLM alloy.</w:t>
      </w:r>
    </w:p>
    <w:p>
      <w:pPr>
        <w:pStyle w:val="BodyText"/>
      </w:pPr>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 show that the missing field caused the absence of transformation (Sec. 4.1).</w:t>
      </w:r>
    </w:p>
    <w:p>
      <w:pPr>
        <w:pStyle w:val="BodyText"/>
      </w:pPr>
      <w:r>
        <w:t xml:space="preserve">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partition to α (13.0–13.8 versus 9.9–10.0 at%) and manganese to γ (31.5–33.3 versus 28.8–29.9 at%), in the same direction as the EDS contrast in</w:t>
      </w:r>
      <w:r>
        <w:t xml:space="preserve"> </w:t>
      </w:r>
      <w:r>
        <w:rPr>
          <w:b/>
          <w:bCs/>
        </w:rPr>
        <w:t xml:space="preserve">Fig. 1b</w:t>
      </w:r>
      <w:r>
        <w:t xml:space="preserve">.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an equilibrium phase.</w:t>
      </w:r>
    </w:p>
    <w:p>
      <w:r>
        <w:pict>
          <v:rect style="width:0;height:1.5pt" o:hralign="center" o:hrstd="t" o:hr="t"/>
        </w:pict>
      </w:r>
    </w:p>
    <w:bookmarkEnd w:id="21"/>
    <w:bookmarkEnd w:id="22"/>
    <w:bookmarkStart w:id="26" w:name="discussion"/>
    <w:p>
      <w:pPr>
        <w:pStyle w:val="Heading1"/>
      </w:pPr>
      <w:r>
        <w:t xml:space="preserve">4. Discussion</w:t>
      </w:r>
    </w:p>
    <w:bookmarkStart w:id="23" w:name="X07a32e9eb441cfc20c84eb8c17dd36f5d20814f"/>
    <w:p>
      <w:pPr>
        <w:pStyle w:val="Heading2"/>
      </w:pPr>
      <w:r>
        <w:t xml:space="preserve">4.1 Interpreting the absence of stress-induced phase transformation</w:t>
      </w:r>
    </w:p>
    <w:p>
      <w:pPr>
        <w:pStyle w:val="FirstParagraph"/>
      </w:pPr>
      <w:r>
        <w:t xml:space="preserve">The 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 xml:space="preserve">Fig. 3a</w:t>
      </w:r>
      <w:r>
        <w:t xml:space="preserve">), whereas the Omori alloy given the same anneal recovered ≈0.5% (</w:t>
      </w:r>
      <w:r>
        <w:rPr>
          <w:b/>
          <w:bCs/>
        </w:rPr>
        <w:t xml:space="preserve">Fig. 3b</w:t>
      </w:r>
      <w:r>
        <w:t xml:space="preserve">). The diffraction pattern of the 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 to 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w:t>
      </w:r>
      <w:r>
        <w:t xml:space="preserve">(Ref 31,32)</w:t>
      </w:r>
      <w:r>
        <w:t xml:space="preserve">, which the Omori specimen of</w:t>
      </w:r>
      <w:r>
        <w:t xml:space="preserve"> </w:t>
      </w:r>
      <w:r>
        <w:rPr>
          <w:b/>
          <w:bCs/>
        </w:rPr>
        <w:t xml:space="preserve">Fig. 3b</w:t>
      </w:r>
      <w:r>
        <w:t xml:space="preserve"> </w:t>
      </w:r>
      <w:r>
        <w:t xml:space="preserve">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p>
    <w:p>
      <w:pPr>
        <w:pStyle w:val="BodyText"/>
      </w:pPr>
      <w:r>
        <w:t xml:space="preserve">The absence of superelasticity and of a shape-memory response in the LLM alloy (measured composition 51.5Fe-29.8Mn-11.9Al-4.2Ni-2.0Si-0.45C at%) is interpreted here in terms of a misalignment between its phase stability and its active deformation mechanisms. In Fe-Mn-Al-Ni shape-memory systems, superelastic behavior requires a reversible, stress-induced martensitic transformation from a BCC α parent phase to FCC γ martensite. However, semi-quantitative Rietveld refinement of the synchrotron XRD data indicates that the LLM alloy, as cooled from 1200 °C, is dominated by the γ phase (≈62% by volume), whereas the α phase accounts for only ≈34%, and a further ≈4% is indexed as ordered D0₃ (Sec. 3.3). Compared with the Omori alloy (43.5Fe-34Mn-15Al-7.5Ni at%), the LLM alloy contains less Mn, Al, and Ni but more Fe, Si, and C. Taken element by element, these changes pull in opposite directions: Fe, Si, and Al are conventionally ferrite stabilizers, and Mn, Ni, and C austenite stabilizers</w:t>
      </w:r>
      <w:r>
        <w:t xml:space="preserve"> </w:t>
      </w:r>
      <w:r>
        <w:t xml:space="preserve">(Ref 35)</w:t>
      </w:r>
      <w:r>
        <w:t xml:space="preserve">. Such rules therefore cannot decide the balance in a six-element alloy. The agent’s report (Sec. 2.1) hypothesized that these changes in chemistry would not alter the phase constitution or stability, and that the added C could also strengthen the material, impeding dislocation slip and promoting stress-induced phase transformation. 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outcome. It is not a demonstrated cause: the five alloying additions differ simultaneously between the two heats, the calculation describes equilibrium rather than the cooled wire, and casting a carbon-free heat of this composition is the direct test.</w:t>
      </w:r>
    </w:p>
    <w:p>
      <w:pPr>
        <w:pStyle w:val="BodyText"/>
      </w:pPr>
      <w:r>
        <w:t xml:space="preserve">The calculation and the measurement agree that the alloy is dual-phase but disagree on which phase dominates: α is calculated to be the majority at 1200 °C (62–71%,</w:t>
      </w:r>
      <w:r>
        <w:t xml:space="preserve"> </w:t>
      </w:r>
      <w:r>
        <w:rPr>
          <w:b/>
          <w:bCs/>
        </w:rPr>
        <w:t xml:space="preserve">Table 3</w:t>
      </w:r>
      <w:r>
        <w:t xml:space="preserve">),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 to 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 xml:space="preserve">Fig. 1b</w:t>
      </w:r>
      <w:r>
        <w:t xml:space="preserve"> </w:t>
      </w:r>
      <w:r>
        <w:t xml:space="preserve">is expected under either reading. Differential scanning calorimetry of the strand-annealed wire, with the Omori alloy as the control, or combined phase and composition mapping of the same area (EBSD with EDS) would discriminate between the two readings. Attributing the absence of transformation to the missing single-phase parent state is therefore an interpretation consistent with both readings, not a demonstrated mechanism.</w:t>
      </w:r>
    </w:p>
    <w:p>
      <w:pPr>
        <w:pStyle w:val="BodyText"/>
      </w:pPr>
      <w:r>
        <w:t xml:space="preserve">The mechanical and structural results further indicate that the LLM alloy accommodates macroscopic deformation by irreversible dislocation slip rather than by phase transformation. In the Omori alloy, coherent, ordered β-NiAl (B2) precipitates within the BCC parent contribute to the reversibility of the transformation</w:t>
      </w:r>
      <w:r>
        <w:t xml:space="preserve"> </w:t>
      </w:r>
      <w:r>
        <w:t xml:space="preserve">(Ref 34)</w:t>
      </w:r>
      <w:r>
        <w:t xml:space="preserve">,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 resistance to plastic flow as B2 does in the Omori alloy. The post-deformation synchrotron patterns are consistent with this interpretation: the change from sharp, discrete spots to broader, partially arced rings is what dislocation multiplication and sub-grain formation would produce, although this change was not quantified and texture evolution could also contribute to it. Thus, as processed here, the dual-phase LLM alloy is interpreted to deform by dislocation slip rather than by stress-induced martensitic transformation.</w:t>
      </w:r>
    </w:p>
    <w:bookmarkEnd w:id="23"/>
    <w:bookmarkStart w:id="24" w:name="X14190cefc5af7e6c61eb8a7f0ac8ec72264613c"/>
    <w:p>
      <w:pPr>
        <w:pStyle w:val="Heading2"/>
      </w:pPr>
      <w:r>
        <w:t xml:space="preserve">4.2 Anneal-temperature dependence of mechanical properties</w:t>
      </w:r>
    </w:p>
    <w:p>
      <w:pPr>
        <w:pStyle w:val="FirstParagraph"/>
      </w:pPr>
      <w:r>
        <w:t xml:space="preserve">Although the LLM alloy did not show superelastic behavior, its tensile properties varied strongly with annealing temperature, and the trends are consistent with those expected for a cold-drawn wire passing through recovery, recrystallization, and grain growth. Microstructures were examined only after the 1200 °C anneals (Sec. 3.1), so the regimes described below are interpretations of the mechanical trends rather than observed microstructural stages. In addition, because the values in</w:t>
      </w:r>
      <w:r>
        <w:t xml:space="preserve"> </w:t>
      </w:r>
      <w:r>
        <w:rPr>
          <w:b/>
          <w:bCs/>
        </w:rPr>
        <w:t xml:space="preserve">Table 2</w:t>
      </w:r>
      <w:r>
        <w:t xml:space="preserve"> </w:t>
      </w:r>
      <w:r>
        <w:t xml:space="preserve">come from incrementally cycled specimens, with strain taken from crosshead extension (Sec. 2.4), they are compared with monotonic data only with that qualification. Read as an exploratory survey rather than as a designed experiment, the data fall into three regimes.</w:t>
      </w:r>
    </w:p>
    <w:p>
      <w:pPr>
        <w:pStyle w:val="BodyText"/>
      </w:pPr>
      <w:r>
        <w:t xml:space="preserve">At the lowest temperatures (600–700 °C), the wire was very strong but essentially brittle, with tensile strengths of ≈1876–2254 MPa and yield strengths of ≈1635–1908 MPa but an elongation of only ≈2%. These temperatures are interpreted as lying below the recrystallization range of the heavily cold-drawn wire, so that annealing there drives only recovery (relief of residual drawing stresses and partial rearrangement of the dislocation substructure) without nucleating new strain-free grains. On that reading, the high dislocation density retained from cold drawing sustains the high strength, and the small ductility gains in this window reflect stress relief rather than any genuine restoration of formability; the wire still fractured soon after yielding.</w:t>
      </w:r>
    </w:p>
    <w:p>
      <w:pPr>
        <w:pStyle w:val="BodyText"/>
      </w:pPr>
      <w:r>
        <w:t xml:space="preserve">The abrupt change near 800 °C is consistent with the onset of recrystallization. Elongation jumped from 2.2% at 700 °C to 26.1% at 800 °C, while tensile strength fell from 1876 to 1209 MPa and yield strength from 1635 to 1151 MPa. A discontinuity of this kind, rather than smooth softening, is characteristic of recrystallization, in which new equiaxed, strain-free grains nucleate and consume the deformed matrix, removing most of the stored dislocation content and abruptly restoring ductility. The onset of recrystallization is inferred from the mechanical response rather than observed, since micrographs were not taken at every anneal temperature.</w:t>
      </w:r>
    </w:p>
    <w:p>
      <w:pPr>
        <w:pStyle w:val="BodyText"/>
      </w:pPr>
      <w:r>
        <w:t xml:space="preserve">From 800 to 1200 °C, the behavior is consistent with a recrystallized wire in which grain growth dominates. Yield strength fell at each successive anneal temperature (1151 → 519 MPa), which we interpret as reflecting grain growth, and elongation rose to a peak of ≈33% near 1000 °C. Between 800 and 1000 °C, strength and ductility therefore traded off 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 Above 1000 °C, elongation decreased (29.1% at 1100 °C, 25.6% at 1200 °C) by more than the specimen-to-specimen scatter in</w:t>
      </w:r>
      <w:r>
        <w:t xml:space="preserve"> </w:t>
      </w:r>
      <w:r>
        <w:rPr>
          <w:b/>
          <w:bCs/>
        </w:rPr>
        <w:t xml:space="preserve">Table 2</w:t>
      </w:r>
      <w:r>
        <w:t xml:space="preserve"> </w:t>
      </w:r>
      <w:r>
        <w:t xml:space="preserve">(one standard deviation ≤1.2% at these temperatures). The present data do not identify the cause: coarsening, surface oxidation or decarburization of the 0.36 mm wire at the higher temperatures, quench effects, grain-boundary phases, and changes in phase fractions are all possible, and none was measured across the series. Throughout the sweep, the apparent modulus stayed within ≈150–162 GPa; because it was measured from crosshead strain (Sec. 2.4), it is not used to infer any structural change.</w:t>
      </w:r>
    </w:p>
    <w:bookmarkEnd w:id="24"/>
    <w:bookmarkStart w:id="25" w:name="implications-for-ai-guided-alloy-design"/>
    <w:p>
      <w:pPr>
        <w:pStyle w:val="Heading2"/>
      </w:pPr>
      <w:r>
        <w:t xml:space="preserve">4.3 Implications for AI-guided alloy design</w:t>
      </w:r>
    </w:p>
    <w:p>
      <w:pPr>
        <w:pStyle w:val="FirstParagraph"/>
      </w:pPr>
      <w:r>
        <w:t xml:space="preserve">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aluminum, was melted. No calculation of phase stability was made between the report and the melt. In this study, the LLM alloy developed a multiphase microstructure consisting mainly of FCC γ and BCC α phases, and neither mechanical testing nor synchrotron diffraction provided evidence of stress-induced martensitic transformation in the conditions reported; instead, deformation is interpreted to have been accommodated largely by dislocation slip. The composition appeared reasonable from the standpoint of strengthening and of the literature. What its rationale did not contain, and what nothing later in the workflow supplied, was a check that the parent phase it specified could be produced by any treatment within the 1200 °C limit of the process.</w:t>
      </w:r>
    </w:p>
    <w:p>
      <w:pPr>
        <w:pStyle w:val="BodyText"/>
      </w:pPr>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and the melt proceeded without that calculation.</w:t>
      </w:r>
    </w:p>
    <w:p>
      <w:pPr>
        <w:pStyle w:val="BodyText"/>
      </w:pPr>
      <w:r>
        <w:t xml:space="preserve">The workflow examined here sits at one end of a range of AI-assisted alloy-design approaches. Domain-trained language models learn composition–property relationships from explicit datasets and report quantitative test-set errors: AlloyBERT does so for elastic modulus and yield strength</w:t>
      </w:r>
      <w:r>
        <w:t xml:space="preserve"> </w:t>
      </w:r>
      <w:r>
        <w:t xml:space="preserve">(Ref 36)</w:t>
      </w:r>
      <w:r>
        <w:t xml:space="preserve">, and AlloyGPT, trained on CALPHAD-generated records of Al-based alloys for additive manufacturing, does so for forward prediction and inverse design</w:t>
      </w:r>
      <w:r>
        <w:t xml:space="preserve"> </w:t>
      </w:r>
      <w:r>
        <w:t xml:space="preserve">(Ref 37)</w:t>
      </w:r>
      <w:r>
        <w:t xml:space="preserve">. Neither reports new experiments. LLM agents have also been given physics-based tools: in AtomAgents, the agents call atomistic simulations while designing alloys</w:t>
      </w:r>
      <w:r>
        <w:t xml:space="preserve"> </w:t>
      </w:r>
      <w:r>
        <w:t xml:space="preserve">(Ref 38)</w:t>
      </w:r>
      <w:r>
        <w:t xml:space="preserve">, and in another multi-agent system, proposed alloys for additive manufacturing are evaluated with thermophysical properties calculated in Thermo-Calc</w:t>
      </w:r>
      <w:r>
        <w:t xml:space="preserve"> </w:t>
      </w:r>
      <w:r>
        <w:t xml:space="preserve">(Ref 39)</w:t>
      </w:r>
      <w:r>
        <w:t xml:space="preserve">. Adaptive and active-learning loops are closed by experiment: Xue</w:t>
      </w:r>
      <w:r>
        <w:t xml:space="preserve"> </w:t>
      </w:r>
      <w:r>
        <w:rPr>
          <w:i/>
          <w:iCs/>
        </w:rPr>
        <w:t xml:space="preserve">et al.</w:t>
      </w:r>
      <w:r>
        <w:t xml:space="preserve"> </w:t>
      </w:r>
      <w:r>
        <w:t xml:space="preserve">synthesized 36 predicted NiTi-based compositions over nine feedback loops in a search for low thermal hysteresis</w:t>
      </w:r>
      <w:r>
        <w:t xml:space="preserve"> </w:t>
      </w:r>
      <w:r>
        <w:t xml:space="preserve">(Ref 40)</w:t>
      </w:r>
      <w:r>
        <w:t xml:space="preserve">, and Rao</w:t>
      </w:r>
      <w:r>
        <w:t xml:space="preserve"> </w:t>
      </w:r>
      <w:r>
        <w:rPr>
          <w:i/>
          <w:iCs/>
        </w:rPr>
        <w:t xml:space="preserve">et al.</w:t>
      </w:r>
      <w:r>
        <w:t xml:space="preserve"> </w:t>
      </w:r>
      <w:r>
        <w:t xml:space="preserve">combined machine learning, density-functional theory, thermodynamic calculations and 17 newly made alloys to identify high-entropy Invar alloys</w:t>
      </w:r>
      <w:r>
        <w:t xml:space="preserve"> </w:t>
      </w:r>
      <w:r>
        <w:t xml:space="preserve">(Ref 41)</w:t>
      </w:r>
      <w:r>
        <w:t xml:space="preserve">. The AIMS framework of Sec. 1 selected a NiTiCu shape-memory alloy together with its processing and confirmed it experimentally</w:t>
      </w:r>
      <w:r>
        <w:t xml:space="preserve"> </w:t>
      </w:r>
      <w:r>
        <w:t xml:space="preserve">(Ref 4)</w:t>
      </w:r>
      <w:r>
        <w:t xml:space="preserve">.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p>
    <w:p>
      <w:pPr>
        <w:pStyle w:val="BodyText"/>
      </w:pPr>
      <w:r>
        <w:t xml:space="preserve">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neither as a failure of AI itself nor as a measure of what current models can or cannot capture, but as a documented instance of a design workflow that stopped one calculation short of the check that its own output recommended.</w:t>
      </w:r>
    </w:p>
    <w:p>
      <w:r>
        <w:pict>
          <v:rect style="width:0;height:1.5pt" o:hralign="center" o:hrstd="t" o:hr="t"/>
        </w:pict>
      </w:r>
    </w:p>
    <w:bookmarkEnd w:id="25"/>
    <w:bookmarkEnd w:id="26"/>
    <w:bookmarkStart w:id="27" w:name="conclusions"/>
    <w:p>
      <w:pPr>
        <w:pStyle w:val="Heading1"/>
      </w:pPr>
      <w:r>
        <w:t xml:space="preserve">5. Conclusions</w:t>
      </w:r>
    </w:p>
    <w:p>
      <w:pPr>
        <w:pStyle w:val="FirstParagraph"/>
      </w:pPr>
      <w:r>
        <w:t xml:space="preserve">An LLM deep-research workflow was asked for a lower-cost Fe-Mn-Al-based alloy targeting room-temperature superelasticity; cost was the objective of that request and is not evaluated here. One composition drawn from the proposal, outside the proposed range in Mn and Al, was synthesized and compared with the Fe-Mn-Al-Ni alloy reported by Omori</w:t>
      </w:r>
      <w:r>
        <w:t xml:space="preserve"> </w:t>
      </w:r>
      <w:r>
        <w:rPr>
          <w:i/>
          <w:iCs/>
        </w:rPr>
        <w:t xml:space="preserve">et al.</w:t>
      </w:r>
      <w:r>
        <w:t xml:space="preserve">, a reference composition processed in parallel by the same nominal route. After the 1200 °C/1 min anneal, the LLM alloy had a γ-majority, dual-phase FCC/BCC microstructure (by semi-quantitative Rietveld refinement) with a minor ordered phase indexed as D0₃. In the conditions tested, it is interpreted to deform by dislocation slip rather than by stress-induced martensitic transformation. Superelasticity was not observed in any condition in which unloading was recorded, and no shape-memory recovery on heating was observed in the one condition given the heating test, whereas the reference alloy 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p>
    <w:p>
      <w:pPr>
        <w:pStyle w:val="BodyText"/>
      </w:pPr>
      <w:r>
        <w:t xml:space="preserve">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 contributor to the outcome, not a demonstrated cause. Whether the missing single-phase parent state is the operative reason for the absence of transformation remains open, because the calculated and measured constitutions disagree on which phase dominates.</w:t>
      </w:r>
    </w:p>
    <w:p>
      <w:pPr>
        <w:pStyle w:val="BodyText"/>
      </w:pPr>
      <w:r>
        <w:t xml:space="preserve">These results document a limitation of the workflow as it was run, not a demonstrated limit on what an LLM can 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 Nevertheless, this work demonstrates the value of validating AI-generated hypotheses experimentally and of screening them for phase stability against the intended processing route before synthesis. It also suggests that future models incorporating kinetic effects, phase transformations, and processing history may become powerful tools for accelerating alloy discovery.</w:t>
      </w:r>
    </w:p>
    <w:p>
      <w:r>
        <w:pict>
          <v:rect style="width:0;height:1.5pt" o:hralign="center" o:hrstd="t" o:hr="t"/>
        </w:pict>
      </w:r>
    </w:p>
    <w:bookmarkEnd w:id="27"/>
    <w:bookmarkStart w:id="28"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28"/>
    <w:bookmarkStart w:id="29"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and raw output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29"/>
    <w:bookmarkStart w:id="110" w:name="references"/>
    <w:p>
      <w:pPr>
        <w:pStyle w:val="Heading1"/>
      </w:pPr>
      <w:r>
        <w:t xml:space="preserve">References</w:t>
      </w:r>
    </w:p>
    <w:bookmarkStart w:id="109" w:name="refs"/>
    <w:bookmarkStart w:id="31"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0">
        <w:r>
          <w:rPr>
            <w:rStyle w:val="Hyperlink"/>
          </w:rPr>
          <w:t xml:space="preserve">https://doi.org/10.1038/s41586-023-06735-9</w:t>
        </w:r>
      </w:hyperlink>
    </w:p>
    <w:bookmarkEnd w:id="31"/>
    <w:bookmarkStart w:id="33"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2">
        <w:r>
          <w:rPr>
            <w:rStyle w:val="Hyperlink"/>
          </w:rPr>
          <w:t xml:space="preserve">https://doi.org/10.48550/arXiv.2507.06261</w:t>
        </w:r>
      </w:hyperlink>
    </w:p>
    <w:bookmarkEnd w:id="33"/>
    <w:bookmarkStart w:id="35"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4">
        <w:r>
          <w:rPr>
            <w:rStyle w:val="Hyperlink"/>
          </w:rPr>
          <w:t xml:space="preserve">https://doi.org/10.48550/arXiv.2506.12594</w:t>
        </w:r>
      </w:hyperlink>
    </w:p>
    <w:bookmarkEnd w:id="35"/>
    <w:bookmarkStart w:id="37"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6">
        <w:r>
          <w:rPr>
            <w:rStyle w:val="Hyperlink"/>
          </w:rPr>
          <w:t xml:space="preserve">https://doi.org/10.1016/j.actamat.2022.117751</w:t>
        </w:r>
      </w:hyperlink>
    </w:p>
    <w:bookmarkEnd w:id="37"/>
    <w:bookmarkStart w:id="39"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38">
        <w:r>
          <w:rPr>
            <w:rStyle w:val="Hyperlink"/>
          </w:rPr>
          <w:t xml:space="preserve">https://doi.org/10.1002/adfm.202527774</w:t>
        </w:r>
      </w:hyperlink>
    </w:p>
    <w:bookmarkEnd w:id="39"/>
    <w:bookmarkStart w:id="41"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0">
        <w:r>
          <w:rPr>
            <w:rStyle w:val="Hyperlink"/>
          </w:rPr>
          <w:t xml:space="preserve">https://doi.org/10.1016/j.actamat.2025.121307</w:t>
        </w:r>
      </w:hyperlink>
    </w:p>
    <w:bookmarkEnd w:id="41"/>
    <w:bookmarkStart w:id="43"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2">
        <w:r>
          <w:rPr>
            <w:rStyle w:val="Hyperlink"/>
          </w:rPr>
          <w:t xml:space="preserve">https://doi.org/10.1016/j.pmatsci.2004.10.001</w:t>
        </w:r>
      </w:hyperlink>
    </w:p>
    <w:bookmarkEnd w:id="43"/>
    <w:bookmarkStart w:id="45"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4">
        <w:r>
          <w:rPr>
            <w:rStyle w:val="Hyperlink"/>
          </w:rPr>
          <w:t xml:space="preserve">https://doi.org/10.1007/978-0-387-47685-8</w:t>
        </w:r>
      </w:hyperlink>
    </w:p>
    <w:bookmarkEnd w:id="45"/>
    <w:bookmarkStart w:id="47"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6">
        <w:r>
          <w:rPr>
            <w:rStyle w:val="Hyperlink"/>
          </w:rPr>
          <w:t xml:space="preserve">https://doi.org/10.1016/S0921-5093(99)00294-4</w:t>
        </w:r>
      </w:hyperlink>
    </w:p>
    <w:bookmarkEnd w:id="47"/>
    <w:bookmarkStart w:id="49"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48">
        <w:r>
          <w:rPr>
            <w:rStyle w:val="Hyperlink"/>
          </w:rPr>
          <w:t xml:space="preserve">https://doi.org/10.1016/j.matdes.2013.11.084</w:t>
        </w:r>
      </w:hyperlink>
    </w:p>
    <w:bookmarkEnd w:id="49"/>
    <w:bookmarkStart w:id="51"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0">
        <w:r>
          <w:rPr>
            <w:rStyle w:val="Hyperlink"/>
          </w:rPr>
          <w:t xml:space="preserve">https://doi.org/10.1016/j.conbuildmat.2014.04.032</w:t>
        </w:r>
      </w:hyperlink>
    </w:p>
    <w:bookmarkEnd w:id="51"/>
    <w:bookmarkStart w:id="53"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2">
        <w:r>
          <w:rPr>
            <w:rStyle w:val="Hyperlink"/>
          </w:rPr>
          <w:t xml:space="preserve">https://doi.org/10.1126/science.1202232</w:t>
        </w:r>
      </w:hyperlink>
    </w:p>
    <w:bookmarkEnd w:id="53"/>
    <w:bookmarkStart w:id="55"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4">
        <w:r>
          <w:rPr>
            <w:rStyle w:val="Hyperlink"/>
          </w:rPr>
          <w:t xml:space="preserve">https://doi.org/10.1016/j.scriptamat.2015.12.007</w:t>
        </w:r>
      </w:hyperlink>
    </w:p>
    <w:bookmarkEnd w:id="55"/>
    <w:bookmarkStart w:id="57"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6">
        <w:r>
          <w:rPr>
            <w:rStyle w:val="Hyperlink"/>
          </w:rPr>
          <w:t xml:space="preserve">https://doi.org/10.1007/s40830-019-00230-9</w:t>
        </w:r>
      </w:hyperlink>
    </w:p>
    <w:bookmarkEnd w:id="57"/>
    <w:bookmarkStart w:id="59" w:name="ref-cai2026smst"/>
    <w:p>
      <w:pPr>
        <w:pStyle w:val="Bibliography"/>
      </w:pPr>
      <w:r>
        <w:t xml:space="preserve">15.</w:t>
      </w:r>
      <w:r>
        <w:t xml:space="preserve"> </w:t>
      </w:r>
      <w:r>
        <w:t xml:space="preserve">	</w:t>
      </w:r>
      <w:r>
        <w:t xml:space="preserve">F. Cai and S. Cai,</w:t>
      </w:r>
      <w:r>
        <w:t xml:space="preserve"> </w:t>
      </w:r>
      <w:r>
        <w:t xml:space="preserve">AI</w:t>
      </w:r>
      <w:r>
        <w:t xml:space="preserve">-Driven Exploration of Cost-Effective</w:t>
      </w:r>
      <w:r>
        <w:t xml:space="preserve"> </w:t>
      </w:r>
      <w:r>
        <w:t xml:space="preserve">Fe</w:t>
      </w:r>
      <w:r>
        <w:t xml:space="preserve">-Based Shape Memory Alloys: Bridging the Gap Between Prediction and Processability,</w:t>
      </w:r>
      <w:r>
        <w:t xml:space="preserve"> </w:t>
      </w:r>
      <w:r>
        <w:rPr>
          <w:i/>
          <w:iCs/>
        </w:rPr>
        <w:t xml:space="preserve">SMST 2026: Extended abstracts from the international conference on shape memory and superelastic technologies</w:t>
      </w:r>
      <w:r>
        <w:t xml:space="preserve">, ASM International, 2026, p 11–13.</w:t>
      </w:r>
      <w:r>
        <w:t xml:space="preserve"> </w:t>
      </w:r>
      <w:hyperlink r:id="rId58">
        <w:r>
          <w:rPr>
            <w:rStyle w:val="Hyperlink"/>
          </w:rPr>
          <w:t xml:space="preserve">https://doi.org/10.31399/asm.cp.smst2026p0011</w:t>
        </w:r>
      </w:hyperlink>
    </w:p>
    <w:bookmarkEnd w:id="59"/>
    <w:bookmarkStart w:id="61" w:name="ref-omori2017martensitic"/>
    <w:p>
      <w:pPr>
        <w:pStyle w:val="Bibliography"/>
      </w:pPr>
      <w:r>
        <w:t xml:space="preserve">16.</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omori2016agg"/>
    <w:p>
      <w:pPr>
        <w:pStyle w:val="Bibliography"/>
      </w:pPr>
      <w:r>
        <w:t xml:space="preserve">17.</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2">
        <w:r>
          <w:rPr>
            <w:rStyle w:val="Hyperlink"/>
          </w:rPr>
          <w:t xml:space="preserve">https://doi.org/10.1016/j.matdes.2016.04.011</w:t>
        </w:r>
      </w:hyperlink>
    </w:p>
    <w:bookmarkEnd w:id="63"/>
    <w:bookmarkStart w:id="65" w:name="ref-cai2024niticu"/>
    <w:p>
      <w:pPr>
        <w:pStyle w:val="Bibliography"/>
      </w:pPr>
      <w:r>
        <w:t xml:space="preserve">18.</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64">
        <w:r>
          <w:rPr>
            <w:rStyle w:val="Hyperlink"/>
          </w:rPr>
          <w:t xml:space="preserve">https://doi.org/10.1007/s40830-024-00504-x</w:t>
        </w:r>
      </w:hyperlink>
    </w:p>
    <w:bookmarkEnd w:id="65"/>
    <w:bookmarkStart w:id="67" w:name="ref-shaw1995niti"/>
    <w:p>
      <w:pPr>
        <w:pStyle w:val="Bibliography"/>
      </w:pPr>
      <w:r>
        <w:t xml:space="preserve">19.</w:t>
      </w:r>
      <w:r>
        <w:t xml:space="preserve"> </w:t>
      </w:r>
      <w:r>
        <w:t xml:space="preserve">	</w:t>
      </w:r>
      <w:r>
        <w:t xml:space="preserve">J.A. Shaw and S. Kyriakides, Thermomechanical Aspects of</w:t>
      </w:r>
      <w:r>
        <w:t xml:space="preserve"> </w:t>
      </w:r>
      <w:r>
        <w:t xml:space="preserve">NiTi</w:t>
      </w:r>
      <w:r>
        <w:t xml:space="preserve">,</w:t>
      </w:r>
      <w:r>
        <w:t xml:space="preserve"> </w:t>
      </w:r>
      <w:r>
        <w:rPr>
          <w:i/>
          <w:iCs/>
        </w:rPr>
        <w:t xml:space="preserve">J. Mech. Phys. Solids</w:t>
      </w:r>
      <w:r>
        <w:t xml:space="preserve">, 1995,</w:t>
      </w:r>
      <w:r>
        <w:t xml:space="preserve"> </w:t>
      </w:r>
      <w:r>
        <w:rPr>
          <w:b/>
          <w:bCs/>
        </w:rPr>
        <w:t xml:space="preserve">43</w:t>
      </w:r>
      <w:r>
        <w:t xml:space="preserve">(8), p 1243–1281.</w:t>
      </w:r>
      <w:r>
        <w:t xml:space="preserve"> </w:t>
      </w:r>
      <w:hyperlink r:id="rId66">
        <w:r>
          <w:rPr>
            <w:rStyle w:val="Hyperlink"/>
          </w:rPr>
          <w:t xml:space="preserve">https://doi.org/10.1016/0022-5096(95)00024-D</w:t>
        </w:r>
      </w:hyperlink>
    </w:p>
    <w:bookmarkEnd w:id="67"/>
    <w:bookmarkStart w:id="69" w:name="ref-tai2024ssrf"/>
    <w:p>
      <w:pPr>
        <w:pStyle w:val="Bibliography"/>
      </w:pPr>
      <w:r>
        <w:t xml:space="preserve">20.</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68">
        <w:r>
          <w:rPr>
            <w:rStyle w:val="Hyperlink"/>
          </w:rPr>
          <w:t xml:space="preserve">https://doi.org/10.1007/s41365-024-01487-1</w:t>
        </w:r>
      </w:hyperlink>
    </w:p>
    <w:bookmarkEnd w:id="69"/>
    <w:bookmarkStart w:id="71" w:name="ref-yang2024ssrf"/>
    <w:p>
      <w:pPr>
        <w:pStyle w:val="Bibliography"/>
      </w:pPr>
      <w:r>
        <w:t xml:space="preserve">21.</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0">
        <w:r>
          <w:rPr>
            <w:rStyle w:val="Hyperlink"/>
          </w:rPr>
          <w:t xml:space="preserve">https://doi.org/10.1007/s41365-024-01468-4</w:t>
        </w:r>
      </w:hyperlink>
    </w:p>
    <w:bookmarkEnd w:id="71"/>
    <w:bookmarkStart w:id="72" w:name="ref-hammersley1998fit2d"/>
    <w:p>
      <w:pPr>
        <w:pStyle w:val="Bibliography"/>
      </w:pPr>
      <w:r>
        <w:t xml:space="preserve">22.</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2"/>
    <w:bookmarkStart w:id="74" w:name="ref-rietveld1969"/>
    <w:p>
      <w:pPr>
        <w:pStyle w:val="Bibliography"/>
      </w:pPr>
      <w:r>
        <w:t xml:space="preserve">23.</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3">
        <w:r>
          <w:rPr>
            <w:rStyle w:val="Hyperlink"/>
          </w:rPr>
          <w:t xml:space="preserve">https://doi.org/10.1107/S0021889869006558</w:t>
        </w:r>
      </w:hyperlink>
    </w:p>
    <w:bookmarkEnd w:id="74"/>
    <w:bookmarkStart w:id="76" w:name="ref-lutterotti1997maud"/>
    <w:p>
      <w:pPr>
        <w:pStyle w:val="Bibliography"/>
      </w:pPr>
      <w:r>
        <w:t xml:space="preserve">24.</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75">
        <w:r>
          <w:rPr>
            <w:rStyle w:val="Hyperlink"/>
          </w:rPr>
          <w:t xml:space="preserve">https://doi.org/10.1063/1.364220</w:t>
        </w:r>
      </w:hyperlink>
    </w:p>
    <w:bookmarkEnd w:id="76"/>
    <w:bookmarkStart w:id="78" w:name="ref-lukas2007calphad"/>
    <w:p>
      <w:pPr>
        <w:pStyle w:val="Bibliography"/>
      </w:pPr>
      <w:r>
        <w:t xml:space="preserve">25.</w:t>
      </w:r>
      <w:r>
        <w:t xml:space="preserve"> </w:t>
      </w:r>
      <w:r>
        <w:t xml:space="preserve">	</w:t>
      </w:r>
      <w:r>
        <w:t xml:space="preserve">H.L. Lukas, S.G. Fries, and B. Sundman, Computational Thermodynamics: The Calphad Method, Cambridge University Press, 2007.</w:t>
      </w:r>
      <w:r>
        <w:t xml:space="preserve"> </w:t>
      </w:r>
      <w:hyperlink r:id="rId77">
        <w:r>
          <w:rPr>
            <w:rStyle w:val="Hyperlink"/>
          </w:rPr>
          <w:t xml:space="preserve">https://doi.org/10.1017/CBO9780511804137</w:t>
        </w:r>
      </w:hyperlink>
    </w:p>
    <w:bookmarkEnd w:id="78"/>
    <w:bookmarkStart w:id="80" w:name="ref-otis2017pycalphad"/>
    <w:p>
      <w:pPr>
        <w:pStyle w:val="Bibliography"/>
      </w:pPr>
      <w:r>
        <w:t xml:space="preserve">26.</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79">
        <w:r>
          <w:rPr>
            <w:rStyle w:val="Hyperlink"/>
          </w:rPr>
          <w:t xml:space="preserve">https://doi.org/10.5334/jors.140</w:t>
        </w:r>
      </w:hyperlink>
    </w:p>
    <w:bookmarkEnd w:id="80"/>
    <w:bookmarkStart w:id="82" w:name="ref-hallstedt2017mpea"/>
    <w:p>
      <w:pPr>
        <w:pStyle w:val="Bibliography"/>
      </w:pPr>
      <w:r>
        <w:t xml:space="preserve">27.</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1">
        <w:r>
          <w:rPr>
            <w:rStyle w:val="Hyperlink"/>
          </w:rPr>
          <w:t xml:space="preserve">https://github.com/pycalphad/binder/tree/develop/multicomponent-databases</w:t>
        </w:r>
      </w:hyperlink>
      <w:r>
        <w:t xml:space="preserve">. Accessed 28 September 2026</w:t>
      </w:r>
    </w:p>
    <w:bookmarkEnd w:id="82"/>
    <w:bookmarkStart w:id="84" w:name="ref-hallstedt2023mpea"/>
    <w:p>
      <w:pPr>
        <w:pStyle w:val="Bibliography"/>
      </w:pPr>
      <w:r>
        <w:t xml:space="preserve">28.</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3">
        <w:r>
          <w:rPr>
            <w:rStyle w:val="Hyperlink"/>
          </w:rPr>
          <w:t xml:space="preserve">https://doi.org/10.1016/j.calphad.2023.102644</w:t>
        </w:r>
      </w:hyperlink>
    </w:p>
    <w:bookmarkEnd w:id="84"/>
    <w:bookmarkStart w:id="86" w:name="ref-prechimn04"/>
    <w:p>
      <w:pPr>
        <w:pStyle w:val="Bibliography"/>
      </w:pPr>
      <w:r>
        <w:t xml:space="preserve">29.</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85">
        <w:r>
          <w:rPr>
            <w:rStyle w:val="Hyperlink"/>
          </w:rPr>
          <w:t xml:space="preserve">https://doi.org/10.1016/j.calphad.2016.11.006</w:t>
        </w:r>
      </w:hyperlink>
    </w:p>
    <w:bookmarkEnd w:id="86"/>
    <w:bookmarkStart w:id="88" w:name="ref-mcfe"/>
    <w:p>
      <w:pPr>
        <w:pStyle w:val="Bibliography"/>
      </w:pPr>
      <w:r>
        <w:t xml:space="preserve">30.</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87">
        <w:r>
          <w:rPr>
            <w:rStyle w:val="Hyperlink"/>
          </w:rPr>
          <w:t xml:space="preserve">https://www.matcalc.at/index.php/databases/open-databases</w:t>
        </w:r>
      </w:hyperlink>
      <w:r>
        <w:t xml:space="preserve">. Accessed 28 September 2026</w:t>
      </w:r>
    </w:p>
    <w:bookmarkEnd w:id="88"/>
    <w:bookmarkStart w:id="90" w:name="ref-tanaka2010science"/>
    <w:p>
      <w:pPr>
        <w:pStyle w:val="Bibliography"/>
      </w:pPr>
      <w:r>
        <w:t xml:space="preserve">31.</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89">
        <w:r>
          <w:rPr>
            <w:rStyle w:val="Hyperlink"/>
          </w:rPr>
          <w:t xml:space="preserve">https://doi.org/10.1126/science.1183169</w:t>
        </w:r>
      </w:hyperlink>
    </w:p>
    <w:bookmarkEnd w:id="90"/>
    <w:bookmarkStart w:id="92" w:name="ref-vollmer2019natcomm"/>
    <w:p>
      <w:pPr>
        <w:pStyle w:val="Bibliography"/>
      </w:pPr>
      <w:r>
        <w:t xml:space="preserve">32.</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1">
        <w:r>
          <w:rPr>
            <w:rStyle w:val="Hyperlink"/>
          </w:rPr>
          <w:t xml:space="preserve">https://doi.org/10.1038/s41467-019-10308-8</w:t>
        </w:r>
      </w:hyperlink>
    </w:p>
    <w:bookmarkEnd w:id="92"/>
    <w:bookmarkStart w:id="93" w:name="ref-engler2010texture"/>
    <w:p>
      <w:pPr>
        <w:pStyle w:val="Bibliography"/>
      </w:pPr>
      <w:r>
        <w:t xml:space="preserve">33.</w:t>
      </w:r>
      <w:r>
        <w:t xml:space="preserve"> </w:t>
      </w:r>
      <w:r>
        <w:t xml:space="preserve">	</w:t>
      </w:r>
      <w:r>
        <w:t xml:space="preserve">O. Engler and V. Randle, Introduction to Texture Analysis: Macrotexture, Microtexture, and Orientation Mapping, 2nd ed., CRC Press, 2010.</w:t>
      </w:r>
    </w:p>
    <w:bookmarkEnd w:id="93"/>
    <w:bookmarkStart w:id="95" w:name="ref-omori2012apl"/>
    <w:p>
      <w:pPr>
        <w:pStyle w:val="Bibliography"/>
      </w:pPr>
      <w:r>
        <w:t xml:space="preserve">34.</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94">
        <w:r>
          <w:rPr>
            <w:rStyle w:val="Hyperlink"/>
          </w:rPr>
          <w:t xml:space="preserve">https://doi.org/10.1063/1.4769375</w:t>
        </w:r>
      </w:hyperlink>
    </w:p>
    <w:bookmarkEnd w:id="95"/>
    <w:bookmarkStart w:id="96" w:name="ref-bhadeshia2010steels"/>
    <w:p>
      <w:pPr>
        <w:pStyle w:val="Bibliography"/>
      </w:pPr>
      <w:r>
        <w:t xml:space="preserve">35.</w:t>
      </w:r>
      <w:r>
        <w:t xml:space="preserve"> </w:t>
      </w:r>
      <w:r>
        <w:t xml:space="preserve">	</w:t>
      </w:r>
      <w:r>
        <w:t xml:space="preserve">H.K.D.H. Bhadeshia and R.W.K. Honeycombe, Steels: Microstructure and Properties, 4th ed., Elsevier Butterworth-Heinemann, 2017.</w:t>
      </w:r>
    </w:p>
    <w:bookmarkEnd w:id="96"/>
    <w:bookmarkStart w:id="98" w:name="ref-chaudhari2024alloybert"/>
    <w:p>
      <w:pPr>
        <w:pStyle w:val="Bibliography"/>
      </w:pPr>
      <w:r>
        <w:t xml:space="preserve">36.</w:t>
      </w:r>
      <w:r>
        <w:t xml:space="preserve"> </w:t>
      </w:r>
      <w:r>
        <w:t xml:space="preserve">	</w:t>
      </w:r>
      <w:r>
        <w:t xml:space="preserve">A. Chaudhari, C. Guntuboina, H. Huang, and A. Barati Farimani,</w:t>
      </w:r>
      <w:r>
        <w:t xml:space="preserve"> </w:t>
      </w:r>
      <w:r>
        <w:t xml:space="preserve">AlloyBERT</w:t>
      </w:r>
      <w:r>
        <w:t xml:space="preserve">: Alloy Property Prediction with Large Language Models,</w:t>
      </w:r>
      <w:r>
        <w:t xml:space="preserve"> </w:t>
      </w:r>
      <w:r>
        <w:rPr>
          <w:i/>
          <w:iCs/>
        </w:rPr>
        <w:t xml:space="preserve">Comput. Mater. Sci.</w:t>
      </w:r>
      <w:r>
        <w:t xml:space="preserve">, 2024,</w:t>
      </w:r>
      <w:r>
        <w:t xml:space="preserve"> </w:t>
      </w:r>
      <w:r>
        <w:rPr>
          <w:b/>
          <w:bCs/>
        </w:rPr>
        <w:t xml:space="preserve">244</w:t>
      </w:r>
      <w:r>
        <w:t xml:space="preserve">, p 113256.</w:t>
      </w:r>
      <w:r>
        <w:t xml:space="preserve"> </w:t>
      </w:r>
      <w:hyperlink r:id="rId97">
        <w:r>
          <w:rPr>
            <w:rStyle w:val="Hyperlink"/>
          </w:rPr>
          <w:t xml:space="preserve">https://doi.org/10.1016/j.commatsci.2024.113256</w:t>
        </w:r>
      </w:hyperlink>
    </w:p>
    <w:bookmarkEnd w:id="98"/>
    <w:bookmarkStart w:id="100" w:name="ref-ni2025alloygpt"/>
    <w:p>
      <w:pPr>
        <w:pStyle w:val="Bibliography"/>
      </w:pPr>
      <w:r>
        <w:t xml:space="preserve">37.</w:t>
      </w:r>
      <w:r>
        <w:t xml:space="preserve"> </w:t>
      </w:r>
      <w:r>
        <w:t xml:space="preserve">	</w:t>
      </w:r>
      <w:r>
        <w:t xml:space="preserve">B. Ni, B. Glaser, and S.M. Taheri-Mousavi, End-to-End Prediction and Design of Additively Manufacturable Alloys Using a Generative</w:t>
      </w:r>
      <w:r>
        <w:t xml:space="preserve"> </w:t>
      </w:r>
      <w:r>
        <w:t xml:space="preserve">AlloyGPT</w:t>
      </w:r>
      <w:r>
        <w:t xml:space="preserve"> </w:t>
      </w:r>
      <w:r>
        <w:t xml:space="preserve">Model,</w:t>
      </w:r>
      <w:r>
        <w:t xml:space="preserve"> </w:t>
      </w:r>
      <w:r>
        <w:rPr>
          <w:i/>
          <w:iCs/>
        </w:rPr>
        <w:t xml:space="preserve">npj Comput. Mater.</w:t>
      </w:r>
      <w:r>
        <w:t xml:space="preserve">, 2025,</w:t>
      </w:r>
      <w:r>
        <w:t xml:space="preserve"> </w:t>
      </w:r>
      <w:r>
        <w:rPr>
          <w:b/>
          <w:bCs/>
        </w:rPr>
        <w:t xml:space="preserve">11</w:t>
      </w:r>
      <w:r>
        <w:t xml:space="preserve">(1), p 294.</w:t>
      </w:r>
      <w:r>
        <w:t xml:space="preserve"> </w:t>
      </w:r>
      <w:hyperlink r:id="rId99">
        <w:r>
          <w:rPr>
            <w:rStyle w:val="Hyperlink"/>
          </w:rPr>
          <w:t xml:space="preserve">https://doi.org/10.1038/s41524-025-01768-2</w:t>
        </w:r>
      </w:hyperlink>
    </w:p>
    <w:bookmarkEnd w:id="100"/>
    <w:bookmarkStart w:id="102" w:name="ref-ghafarollahi2025atomagents"/>
    <w:p>
      <w:pPr>
        <w:pStyle w:val="Bibliography"/>
      </w:pPr>
      <w:r>
        <w:t xml:space="preserve">38.</w:t>
      </w:r>
      <w:r>
        <w:t xml:space="preserve"> </w:t>
      </w:r>
      <w:r>
        <w:t xml:space="preserve">	</w:t>
      </w:r>
      <w:r>
        <w:t xml:space="preserve">A. Ghafarollahi and M.J. Buehler, Automating Alloy Design and Discovery with Physics-Aware Multimodal Multiagent</w:t>
      </w:r>
      <w:r>
        <w:t xml:space="preserve"> </w:t>
      </w:r>
      <w:r>
        <w:t xml:space="preserve">AI</w:t>
      </w:r>
      <w:r>
        <w:t xml:space="preserve">,</w:t>
      </w:r>
      <w:r>
        <w:t xml:space="preserve"> </w:t>
      </w:r>
      <w:r>
        <w:rPr>
          <w:i/>
          <w:iCs/>
        </w:rPr>
        <w:t xml:space="preserve">Proc. Natl. Acad. Sci. U.S.A.</w:t>
      </w:r>
      <w:r>
        <w:t xml:space="preserve">, 2025,</w:t>
      </w:r>
      <w:r>
        <w:t xml:space="preserve"> </w:t>
      </w:r>
      <w:r>
        <w:rPr>
          <w:b/>
          <w:bCs/>
        </w:rPr>
        <w:t xml:space="preserve">122</w:t>
      </w:r>
      <w:r>
        <w:t xml:space="preserve">(4), p e2414074122.</w:t>
      </w:r>
      <w:r>
        <w:t xml:space="preserve"> </w:t>
      </w:r>
      <w:hyperlink r:id="rId101">
        <w:r>
          <w:rPr>
            <w:rStyle w:val="Hyperlink"/>
          </w:rPr>
          <w:t xml:space="preserve">https://doi.org/10.1073/pnas.2414074122</w:t>
        </w:r>
      </w:hyperlink>
    </w:p>
    <w:bookmarkEnd w:id="102"/>
    <w:bookmarkStart w:id="104" w:name="ref-pak2026agentic"/>
    <w:p>
      <w:pPr>
        <w:pStyle w:val="Bibliography"/>
      </w:pPr>
      <w:r>
        <w:t xml:space="preserve">39.</w:t>
      </w:r>
      <w:r>
        <w:t xml:space="preserve"> </w:t>
      </w:r>
      <w:r>
        <w:t xml:space="preserve">	</w:t>
      </w:r>
      <w:r>
        <w:t xml:space="preserve">P. Pak, A. Chandrasekhar, and A. Barati Farimani, Agentic Additive Manufacturing Alloy Evaluation,</w:t>
      </w:r>
      <w:r>
        <w:t xml:space="preserve"> </w:t>
      </w:r>
      <w:r>
        <w:rPr>
          <w:i/>
          <w:iCs/>
        </w:rPr>
        <w:t xml:space="preserve">Addit. Manuf. Lett.</w:t>
      </w:r>
      <w:r>
        <w:t xml:space="preserve">, 2026,</w:t>
      </w:r>
      <w:r>
        <w:t xml:space="preserve"> </w:t>
      </w:r>
      <w:r>
        <w:rPr>
          <w:b/>
          <w:bCs/>
        </w:rPr>
        <w:t xml:space="preserve">17</w:t>
      </w:r>
      <w:r>
        <w:t xml:space="preserve">, p 100355.</w:t>
      </w:r>
      <w:r>
        <w:t xml:space="preserve"> </w:t>
      </w:r>
      <w:hyperlink r:id="rId103">
        <w:r>
          <w:rPr>
            <w:rStyle w:val="Hyperlink"/>
          </w:rPr>
          <w:t xml:space="preserve">https://doi.org/10.1016/j.addlet.2026.100355</w:t>
        </w:r>
      </w:hyperlink>
    </w:p>
    <w:bookmarkEnd w:id="104"/>
    <w:bookmarkStart w:id="106" w:name="ref-xue2016accelerated"/>
    <w:p>
      <w:pPr>
        <w:pStyle w:val="Bibliography"/>
      </w:pPr>
      <w:r>
        <w:t xml:space="preserve">40.</w:t>
      </w:r>
      <w:r>
        <w:t xml:space="preserve"> </w:t>
      </w:r>
      <w:r>
        <w:t xml:space="preserve">	</w:t>
      </w:r>
      <w:r>
        <w:t xml:space="preserve">D. Xue, P.V. Balachandran, J. Hogden, J. Theiler, D. Xue, and T. Lookman, Accelerated Search for Materials with Targeted Properties by Adaptive Design,</w:t>
      </w:r>
      <w:r>
        <w:t xml:space="preserve"> </w:t>
      </w:r>
      <w:r>
        <w:rPr>
          <w:i/>
          <w:iCs/>
        </w:rPr>
        <w:t xml:space="preserve">Nat. Commun.</w:t>
      </w:r>
      <w:r>
        <w:t xml:space="preserve">, 2016,</w:t>
      </w:r>
      <w:r>
        <w:t xml:space="preserve"> </w:t>
      </w:r>
      <w:r>
        <w:rPr>
          <w:b/>
          <w:bCs/>
        </w:rPr>
        <w:t xml:space="preserve">7</w:t>
      </w:r>
      <w:r>
        <w:t xml:space="preserve">, p 11241.</w:t>
      </w:r>
      <w:r>
        <w:t xml:space="preserve"> </w:t>
      </w:r>
      <w:hyperlink r:id="rId105">
        <w:r>
          <w:rPr>
            <w:rStyle w:val="Hyperlink"/>
          </w:rPr>
          <w:t xml:space="preserve">https://doi.org/10.1038/ncomms11241</w:t>
        </w:r>
      </w:hyperlink>
    </w:p>
    <w:bookmarkEnd w:id="106"/>
    <w:bookmarkStart w:id="108" w:name="ref-rao2022machine"/>
    <w:p>
      <w:pPr>
        <w:pStyle w:val="Bibliography"/>
      </w:pPr>
      <w:r>
        <w:t xml:space="preserve">41.</w:t>
      </w:r>
      <w:r>
        <w:t xml:space="preserve"> </w:t>
      </w:r>
      <w:r>
        <w:t xml:space="preserve">	</w:t>
      </w:r>
      <w:r>
        <w:t xml:space="preserve">Z. Rao, P.-Y. Tung, R. Xie, Y. Wei, H. Zhang, A. Ferrari, T.P.C. Klaver, F. Körmann, P.T. Sukumar, A. Kwiatkowski da Silva, Y. Chen, Z. Li, D. Ponge, J. Neugebauer, O. Gutfleisch, S. Bauer, and D. Raabe, Machine Learning–Enabled High-Entropy Alloy Discovery,</w:t>
      </w:r>
      <w:r>
        <w:t xml:space="preserve"> </w:t>
      </w:r>
      <w:r>
        <w:rPr>
          <w:i/>
          <w:iCs/>
        </w:rPr>
        <w:t xml:space="preserve">Science</w:t>
      </w:r>
      <w:r>
        <w:t xml:space="preserve">, 2022,</w:t>
      </w:r>
      <w:r>
        <w:t xml:space="preserve"> </w:t>
      </w:r>
      <w:r>
        <w:rPr>
          <w:b/>
          <w:bCs/>
        </w:rPr>
        <w:t xml:space="preserve">378</w:t>
      </w:r>
      <w:r>
        <w:t xml:space="preserve">(6615), p 78–85.</w:t>
      </w:r>
      <w:r>
        <w:t xml:space="preserve"> </w:t>
      </w:r>
      <w:hyperlink r:id="rId107">
        <w:r>
          <w:rPr>
            <w:rStyle w:val="Hyperlink"/>
          </w:rPr>
          <w:t xml:space="preserve">https://doi.org/10.1126/science.abo4940</w:t>
        </w:r>
      </w:hyperlink>
    </w:p>
    <w:bookmarkEnd w:id="108"/>
    <w:bookmarkEnd w:id="109"/>
    <w:bookmarkEnd w:id="110"/>
    <w:bookmarkStart w:id="111" w:name="figure-captions"/>
    <w:p>
      <w:pPr>
        <w:pStyle w:val="Heading1"/>
      </w:pPr>
      <w:r>
        <w:t xml:space="preserve">Figure Captions</w:t>
      </w:r>
    </w:p>
    <w:p>
      <w:pPr>
        <w:pStyle w:val="FirstParagraph"/>
      </w:pPr>
      <w:r>
        <w:rPr>
          <w:b/>
          <w:bCs/>
        </w:rPr>
        <w:t xml:space="preserve">Fig. 1.</w:t>
      </w:r>
      <w:r>
        <w:t xml:space="preserve"> </w:t>
      </w:r>
      <w:r>
        <w:t xml:space="preserve">Microstructure of the LLM 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 alloy (a) as drawn and after annealing for 1 minute at (b) 600, (c) 800, (d) 1000 and (e) 1200 °C, and (f) after the 1200 °C anneal followed by aging at 200 °C for 3 hours. The wire diameter is 0.36 mm (nominal); strain is crosshead extension over the 127 mm gauge (Sec. 2.4). Each panel shows a single specimen; Table 2 gives the means of three specimens per annealing condition.</w:t>
      </w:r>
    </w:p>
    <w:p>
      <w:pPr>
        <w:pStyle w:val="BodyText"/>
      </w:pPr>
      <w:r>
        <w:rPr>
          <w:b/>
          <w:bCs/>
        </w:rPr>
        <w:t xml:space="preserve">Fig. 3.</w:t>
      </w:r>
      <w:r>
        <w:t xml:space="preserve"> </w:t>
      </w:r>
      <w:r>
        <w:t xml:space="preserve">Loading–unloading–heating tests of (a) the LLM alloy and (b) the Omori alloy, both heat treated at 1200 °C for 1 minute. The wire diameters are 0.35 mm (a) and 0.54 mm (b); strain is crosshead extension over the 127 mm gauge (Sec. 2.4). Black arrows show the deformation path: 1, unloading from 3% strain; 2, return of the crosshead at zero stress while the specimen is heated; 3, reloading. The red arrow highlights the strain recovery caused by heating.</w:t>
      </w:r>
    </w:p>
    <w:p>
      <w:pPr>
        <w:pStyle w:val="BodyText"/>
      </w:pPr>
      <w:r>
        <w:rPr>
          <w:b/>
          <w:bCs/>
        </w:rPr>
        <w:t xml:space="preserve">Fig. 4.</w:t>
      </w:r>
      <w:r>
        <w:t xml:space="preserve"> </w:t>
      </w:r>
      <w:r>
        <w:t xml:space="preserve">2D synchrotron X-ray diffraction images of (a) the LLM alloy annealed at 1200 °C for 1 min, (b) the annealed LLM alloy after 10% tensile strain, (c) the Omori alloy annealed at 1200 °C for 1 min, and (d) the annealed Omori alloy after 8% tensile strain. Each image is from a single specimen; (a) and (b) are from separate specimens, as are (c) and (d).</w:t>
      </w:r>
    </w:p>
    <w:p>
      <w:pPr>
        <w:pStyle w:val="BodyText"/>
      </w:pPr>
      <w:r>
        <w:rPr>
          <w:b/>
          <w:bCs/>
        </w:rPr>
        <w:t xml:space="preserve">Fig. 5.</w:t>
      </w:r>
      <w:r>
        <w:t xml:space="preserve"> </w:t>
      </w:r>
      <w:r>
        <w:t xml:space="preserve">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w:t>
      </w:r>
    </w:p>
    <w:p>
      <w:pPr>
        <w:pStyle w:val="BodyText"/>
      </w:pPr>
      <w:r>
        <w:rPr>
          <w:b/>
          <w:bCs/>
        </w:rPr>
        <w:t xml:space="preserve">Fig. 6.</w:t>
      </w:r>
      <w:r>
        <w:t xml:space="preserve"> </w:t>
      </w:r>
      <w:r>
        <w:t xml:space="preserve">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w:t>
      </w:r>
    </w:p>
    <w:bookmarkEnd w:id="111"/>
    <w:bookmarkStart w:id="112" w:name="tables"/>
    <w:p>
      <w:pPr>
        <w:pStyle w:val="Heading1"/>
      </w:pPr>
      <w:r>
        <w:t xml:space="preserve">Tables</w:t>
      </w:r>
    </w:p>
    <w:p>
      <w:pPr>
        <w:pStyle w:val="FirstParagraph"/>
      </w:pPr>
      <w:r>
        <w:rPr>
          <w:b/>
          <w:bCs/>
        </w:rPr>
        <w:t xml:space="preserve">Table 1.</w:t>
      </w:r>
      <w:r>
        <w:t xml:space="preserve"> </w:t>
      </w:r>
      <w:r>
        <w:t xml:space="preserve">Chemical compositions of the two alloys (LLM alloy analyzed on the finished wire, Omori alloy as cast) in wt%, with at% in parentheses, measured by inductively coupled plasma atomic emission spectroscopy (ICP-AES); carbon was determined by ASTM E1019. 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 0.01 wt%, are not listed. The ICP-AES analysis of the LLM alloy covered only Al, Fe, Mn, Ni and Si, so a dash in its actual column means that the element was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 alloy (nominal)</w:t>
            </w:r>
          </w:p>
        </w:tc>
        <w:tc>
          <w:tcPr/>
          <w:p>
            <w:pPr>
              <w:pStyle w:val="Compact"/>
            </w:pPr>
            <w:r>
              <w:t xml:space="preserve">LLM alloy (actual)</w:t>
            </w:r>
          </w:p>
        </w:tc>
        <w:tc>
          <w:tcPr/>
          <w:p>
            <w:pPr>
              <w:pStyle w:val="Compact"/>
            </w:pPr>
            <w:r>
              <w:t xml:space="preserve">Omori alloy (nominal)</w:t>
            </w:r>
          </w:p>
        </w:tc>
        <w:tc>
          <w:tcPr/>
          <w:p>
            <w:pPr>
              <w:pStyle w:val="Compact"/>
            </w:pPr>
            <w:r>
              <w:t xml:space="preserve">Omori alloy (actual)</w:t>
            </w:r>
          </w:p>
        </w:tc>
      </w:tr>
      <w:tr>
        <w:tc>
          <w:tcPr/>
          <w:p>
            <w:pPr>
              <w:pStyle w:val="Compact"/>
            </w:pPr>
            <w:r>
              <w:t xml:space="preserve">Fe</w:t>
            </w:r>
          </w:p>
        </w:tc>
        <w:tc>
          <w:tcPr/>
          <w:p>
            <w:pPr>
              <w:pStyle w:val="Compact"/>
            </w:pPr>
            <w:r>
              <w:t xml:space="preserve">54.5 (49.6)</w:t>
            </w:r>
          </w:p>
        </w:tc>
        <w:tc>
          <w:tcPr/>
          <w:p>
            <w:pPr>
              <w:pStyle w:val="Compact"/>
            </w:pPr>
            <w:r>
              <w:t xml:space="preserve">55.83 (51.5)</w:t>
            </w:r>
          </w:p>
        </w:tc>
        <w:tc>
          <w:tcPr/>
          <w:p>
            <w:pPr>
              <w:pStyle w:val="Compact"/>
            </w:pPr>
            <w:r>
              <w:t xml:space="preserve">47.08 (43.3)</w:t>
            </w:r>
          </w:p>
        </w:tc>
        <w:tc>
          <w:tcPr/>
          <w:p>
            <w:pPr>
              <w:pStyle w:val="Compact"/>
            </w:pPr>
            <w:r>
              <w:t xml:space="preserve">46.51 (42.7)</w:t>
            </w:r>
          </w:p>
        </w:tc>
      </w:tr>
      <w:tr>
        <w:tc>
          <w:tcPr/>
          <w:p>
            <w:pPr>
              <w:pStyle w:val="Compact"/>
            </w:pPr>
            <w:r>
              <w:t xml:space="preserve">Mn</w:t>
            </w:r>
          </w:p>
        </w:tc>
        <w:tc>
          <w:tcPr/>
          <w:p>
            <w:pPr>
              <w:pStyle w:val="Compact"/>
            </w:pPr>
            <w:r>
              <w:t xml:space="preserve">32.3 (29.9)</w:t>
            </w:r>
          </w:p>
        </w:tc>
        <w:tc>
          <w:tcPr/>
          <w:p>
            <w:pPr>
              <w:pStyle w:val="Compact"/>
            </w:pPr>
            <w:r>
              <w:t xml:space="preserve">31.78 (29.8)</w:t>
            </w:r>
          </w:p>
        </w:tc>
        <w:tc>
          <w:tcPr/>
          <w:p>
            <w:pPr>
              <w:pStyle w:val="Compact"/>
            </w:pPr>
            <w:r>
              <w:t xml:space="preserve">36.43 (34.1)</w:t>
            </w:r>
          </w:p>
        </w:tc>
        <w:tc>
          <w:tcPr/>
          <w:p>
            <w:pPr>
              <w:pStyle w:val="Compact"/>
            </w:pPr>
            <w:r>
              <w:t xml:space="preserve">36.49 (34.1)</w:t>
            </w:r>
          </w:p>
        </w:tc>
      </w:tr>
      <w:tr>
        <w:tc>
          <w:tcPr/>
          <w:p>
            <w:pPr>
              <w:pStyle w:val="Compact"/>
            </w:pPr>
            <w:r>
              <w:t xml:space="preserve">Al</w:t>
            </w:r>
          </w:p>
        </w:tc>
        <w:tc>
          <w:tcPr/>
          <w:p>
            <w:pPr>
              <w:pStyle w:val="Compact"/>
            </w:pPr>
            <w:r>
              <w:t xml:space="preserve">6.4 (12.1)</w:t>
            </w:r>
          </w:p>
        </w:tc>
        <w:tc>
          <w:tcPr/>
          <w:p>
            <w:pPr>
              <w:pStyle w:val="Compact"/>
            </w:pPr>
            <w:r>
              <w:t xml:space="preserve">6.24 (11.9)</w:t>
            </w:r>
          </w:p>
        </w:tc>
        <w:tc>
          <w:tcPr/>
          <w:p>
            <w:pPr>
              <w:pStyle w:val="Compact"/>
            </w:pPr>
            <w:r>
              <w:t xml:space="preserve">7.9 (15.1)</w:t>
            </w:r>
          </w:p>
        </w:tc>
        <w:tc>
          <w:tcPr/>
          <w:p>
            <w:pPr>
              <w:pStyle w:val="Compact"/>
            </w:pPr>
            <w:r>
              <w:t xml:space="preserve">8.00 (15.2)</w:t>
            </w:r>
          </w:p>
        </w:tc>
      </w:tr>
      <w:tr>
        <w:tc>
          <w:tcPr/>
          <w:p>
            <w:pPr>
              <w:pStyle w:val="Compact"/>
            </w:pPr>
            <w:r>
              <w:t xml:space="preserve">Ni</w:t>
            </w:r>
          </w:p>
        </w:tc>
        <w:tc>
          <w:tcPr/>
          <w:p>
            <w:pPr>
              <w:pStyle w:val="Compact"/>
            </w:pPr>
            <w:r>
              <w:t xml:space="preserve">4.6 (4.0)</w:t>
            </w:r>
          </w:p>
        </w:tc>
        <w:tc>
          <w:tcPr/>
          <w:p>
            <w:pPr>
              <w:pStyle w:val="Compact"/>
            </w:pPr>
            <w:r>
              <w:t xml:space="preserve">4.81 (4.2)</w:t>
            </w:r>
          </w:p>
        </w:tc>
        <w:tc>
          <w:tcPr/>
          <w:p>
            <w:pPr>
              <w:pStyle w:val="Compact"/>
            </w:pPr>
            <w:r>
              <w:t xml:space="preserve">8.59 (7.5)</w:t>
            </w:r>
          </w:p>
        </w:tc>
        <w:tc>
          <w:tcPr/>
          <w:p>
            <w:pPr>
              <w:pStyle w:val="Compact"/>
            </w:pPr>
            <w:r>
              <w:t xml:space="preserve">8.94 (7.8)</w:t>
            </w:r>
          </w:p>
        </w:tc>
      </w:tr>
      <w:tr>
        <w:tc>
          <w:tcPr/>
          <w:p>
            <w:pPr>
              <w:pStyle w:val="Compact"/>
            </w:pPr>
            <w:r>
              <w:t xml:space="preserve">Si</w:t>
            </w:r>
          </w:p>
        </w:tc>
        <w:tc>
          <w:tcPr/>
          <w:p>
            <w:pPr>
              <w:pStyle w:val="Compact"/>
            </w:pPr>
            <w:r>
              <w:t xml:space="preserve">2.2 (4.0)</w:t>
            </w:r>
          </w:p>
        </w:tc>
        <w:tc>
          <w:tcPr/>
          <w:p>
            <w:pPr>
              <w:pStyle w:val="Compact"/>
            </w:pPr>
            <w:r>
              <w:t xml:space="preserve">1.11 (2.04)</w:t>
            </w:r>
          </w:p>
        </w:tc>
        <w:tc>
          <w:tcPr/>
          <w:p>
            <w:pPr>
              <w:pStyle w:val="Compact"/>
            </w:pPr>
            <w:r>
              <w:t xml:space="preserve">–</w:t>
            </w:r>
          </w:p>
        </w:tc>
        <w:tc>
          <w:tcPr/>
          <w:p>
            <w:pPr>
              <w:pStyle w:val="Compact"/>
            </w:pPr>
            <w:r>
              <w:t xml:space="preserve">&lt;0.01 (&lt;0.02)</w:t>
            </w:r>
          </w:p>
        </w:tc>
      </w:tr>
      <w:tr>
        <w:tc>
          <w:tcPr/>
          <w:p>
            <w:pPr>
              <w:pStyle w:val="Compact"/>
            </w:pPr>
            <w:r>
              <w:t xml:space="preserve">C</w:t>
            </w:r>
          </w:p>
        </w:tc>
        <w:tc>
          <w:tcPr/>
          <w:p>
            <w:pPr>
              <w:pStyle w:val="Compact"/>
            </w:pPr>
            <w:r>
              <w:t xml:space="preserve">0.1 (0.42)</w:t>
            </w:r>
          </w:p>
        </w:tc>
        <w:tc>
          <w:tcPr/>
          <w:p>
            <w:pPr>
              <w:pStyle w:val="Compact"/>
            </w:pPr>
            <w:r>
              <w:t xml:space="preserve">0.105 (0.45)</w:t>
            </w:r>
          </w:p>
        </w:tc>
        <w:tc>
          <w:tcPr/>
          <w:p>
            <w:pPr>
              <w:pStyle w:val="Compact"/>
            </w:pPr>
            <w:r>
              <w:t xml:space="preserve">–</w:t>
            </w:r>
          </w:p>
        </w:tc>
        <w:tc>
          <w:tcPr/>
          <w:p>
            <w:pPr>
              <w:pStyle w:val="Compact"/>
            </w:pPr>
            <w:r>
              <w:t xml:space="preserve">0.01 (0.04)</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 (0.10)</w:t>
            </w:r>
          </w:p>
        </w:tc>
      </w:tr>
    </w:tbl>
    <w:p>
      <w:pPr>
        <w:pStyle w:val="BodyText"/>
      </w:pPr>
      <w:r>
        <w:rPr>
          <w:b/>
          <w:bCs/>
        </w:rPr>
        <w:t xml:space="preserve">Table 2.</w:t>
      </w:r>
      <w:r>
        <w:t xml:space="preserve"> </w:t>
      </w:r>
      <w:r>
        <w:t xml:space="preserve">Mechanical properties of the LLM alloy (0.36 mm wire) after heat treatment for 1 minute at different temperatures, tested on a 127 mm gauge (Sec. 2.4); E is the apparent modulus from crosshead strain. Each value is the mean of three specimens;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Omori alloy cannot be evaluated in PrecHiMn-04, which contains no Ni. Calculation settings are given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Omori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 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 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bookmarkEnd w:id="112"/>
    <w:bookmarkStart w:id="131"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4" name="Picture"/>
            <a:graphic>
              <a:graphicData uri="http://schemas.openxmlformats.org/drawingml/2006/picture">
                <pic:pic>
                  <pic:nvPicPr>
                    <pic:cNvPr descr="figures/Figure_1.jpg" id="115" name="Picture"/>
                    <pic:cNvPicPr>
                      <a:picLocks noChangeArrowheads="1" noChangeAspect="1"/>
                    </pic:cNvPicPr>
                  </pic:nvPicPr>
                  <pic:blipFill>
                    <a:blip r:embed="rId113"/>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4937760" cy="2849880"/>
            <wp:effectExtent b="0" l="0" r="0" t="0"/>
            <wp:docPr descr="" title="" id="117" name="Picture"/>
            <a:graphic>
              <a:graphicData uri="http://schemas.openxmlformats.org/drawingml/2006/picture">
                <pic:pic>
                  <pic:nvPicPr>
                    <pic:cNvPr descr="figures/Figure_2.jpg" id="118" name="Picture"/>
                    <pic:cNvPicPr>
                      <a:picLocks noChangeArrowheads="1" noChangeAspect="1"/>
                    </pic:cNvPicPr>
                  </pic:nvPicPr>
                  <pic:blipFill>
                    <a:blip r:embed="rId116"/>
                    <a:stretch>
                      <a:fillRect/>
                    </a:stretch>
                  </pic:blipFill>
                  <pic:spPr bwMode="auto">
                    <a:xfrm>
                      <a:off x="0" y="0"/>
                      <a:ext cx="4937760" cy="2849880"/>
                    </a:xfrm>
                    <a:prstGeom prst="rect">
                      <a:avLst/>
                    </a:prstGeom>
                    <a:noFill/>
                    <a:ln w="9525">
                      <a:noFill/>
                      <a:headEnd/>
                      <a:tailEnd/>
                    </a:ln>
                  </pic:spPr>
                </pic:pic>
              </a:graphicData>
            </a:graphic>
          </wp:inline>
        </w:drawing>
      </w:r>
    </w:p>
    <w:p>
      <w:pPr>
        <w:pStyle w:val="BodyText"/>
      </w:pPr>
      <w:r>
        <w:drawing>
          <wp:inline>
            <wp:extent cx="3630167" cy="1371600"/>
            <wp:effectExtent b="0" l="0" r="0" t="0"/>
            <wp:docPr descr="" title="" id="120" name="Picture"/>
            <a:graphic>
              <a:graphicData uri="http://schemas.openxmlformats.org/drawingml/2006/picture">
                <pic:pic>
                  <pic:nvPicPr>
                    <pic:cNvPr descr="figures/Figure_3.jpg" id="121" name="Picture"/>
                    <pic:cNvPicPr>
                      <a:picLocks noChangeArrowheads="1" noChangeAspect="1"/>
                    </pic:cNvPicPr>
                  </pic:nvPicPr>
                  <pic:blipFill>
                    <a:blip r:embed="rId119"/>
                    <a:stretch>
                      <a:fillRect/>
                    </a:stretch>
                  </pic:blipFill>
                  <pic:spPr bwMode="auto">
                    <a:xfrm>
                      <a:off x="0" y="0"/>
                      <a:ext cx="3630167" cy="1371600"/>
                    </a:xfrm>
                    <a:prstGeom prst="rect">
                      <a:avLst/>
                    </a:prstGeom>
                    <a:noFill/>
                    <a:ln w="9525">
                      <a:noFill/>
                      <a:headEnd/>
                      <a:tailEnd/>
                    </a:ln>
                  </pic:spPr>
                </pic:pic>
              </a:graphicData>
            </a:graphic>
          </wp:inline>
        </w:drawing>
      </w:r>
    </w:p>
    <w:p>
      <w:pPr>
        <w:pStyle w:val="BodyText"/>
      </w:pPr>
      <w:r>
        <w:drawing>
          <wp:inline>
            <wp:extent cx="2426208" cy="2292096"/>
            <wp:effectExtent b="0" l="0" r="0" t="0"/>
            <wp:docPr descr="" title="" id="123" name="Picture"/>
            <a:graphic>
              <a:graphicData uri="http://schemas.openxmlformats.org/drawingml/2006/picture">
                <pic:pic>
                  <pic:nvPicPr>
                    <pic:cNvPr descr="figures/Figure_4.jpg" id="124" name="Picture"/>
                    <pic:cNvPicPr>
                      <a:picLocks noChangeArrowheads="1" noChangeAspect="1"/>
                    </pic:cNvPicPr>
                  </pic:nvPicPr>
                  <pic:blipFill>
                    <a:blip r:embed="rId122"/>
                    <a:stretch>
                      <a:fillRect/>
                    </a:stretch>
                  </pic:blipFill>
                  <pic:spPr bwMode="auto">
                    <a:xfrm>
                      <a:off x="0" y="0"/>
                      <a:ext cx="2426208" cy="2292096"/>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6" name="Picture"/>
            <a:graphic>
              <a:graphicData uri="http://schemas.openxmlformats.org/drawingml/2006/picture">
                <pic:pic>
                  <pic:nvPicPr>
                    <pic:cNvPr descr="figures/Figure_5.jpg" id="127" name="Picture"/>
                    <pic:cNvPicPr>
                      <a:picLocks noChangeArrowheads="1" noChangeAspect="1"/>
                    </pic:cNvPicPr>
                  </pic:nvPicPr>
                  <pic:blipFill>
                    <a:blip r:embed="rId125"/>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9" name="Picture"/>
            <a:graphic>
              <a:graphicData uri="http://schemas.openxmlformats.org/drawingml/2006/picture">
                <pic:pic>
                  <pic:nvPicPr>
                    <pic:cNvPr descr="figures/Figure_6.jpg" id="130" name="Picture"/>
                    <pic:cNvPicPr>
                      <a:picLocks noChangeArrowheads="1" noChangeAspect="1"/>
                    </pic:cNvPicPr>
                  </pic:nvPicPr>
                  <pic:blipFill>
                    <a:blip r:embed="rId128"/>
                    <a:stretch>
                      <a:fillRect/>
                    </a:stretch>
                  </pic:blipFill>
                  <pic:spPr bwMode="auto">
                    <a:xfrm>
                      <a:off x="0" y="0"/>
                      <a:ext cx="5120640" cy="5943600"/>
                    </a:xfrm>
                    <a:prstGeom prst="rect">
                      <a:avLst/>
                    </a:prstGeom>
                    <a:noFill/>
                    <a:ln w="9525">
                      <a:noFill/>
                      <a:headEnd/>
                      <a:tailEnd/>
                    </a:ln>
                  </pic:spPr>
                </pic:pic>
              </a:graphicData>
            </a:graphic>
          </wp:inline>
        </w:drawing>
      </w:r>
    </w:p>
    <w:bookmarkEnd w:id="131"/>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2026-10-15T05:57:25Z</dcterms:created>
  <dcterms:modified xsi:type="dcterms:W3CDTF">2026-10-15T05:57:25Z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