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Response to the Editor and Reviewers — JMEP-26-07-50730.R1</w:t>
      </w:r>
    </w:p>
    <w:p>
      <w:pPr>
        <w:pStyle w:val="FirstParagraph"/>
      </w:pPr>
      <w:r>
        <w:rPr>
          <w:b/>
          <w:bCs/>
        </w:rPr>
        <w:t xml:space="preserve">DRAFT 2026-10-14 (rebuilt on the July text).</w:t>
      </w:r>
      <w:r>
        <w:t xml:space="preserve"> </w:t>
      </w:r>
      <w:r>
        <w:t xml:space="preserve">Items marked</w:t>
      </w:r>
      <w:r>
        <w:t xml:space="preserve"> </w:t>
      </w:r>
      <w:r>
        <w:rPr>
          <w:b/>
          <w:bCs/>
        </w:rPr>
        <w:t xml:space="preserve">[OPEN — …]</w:t>
      </w:r>
      <w:r>
        <w:t xml:space="preserve"> </w:t>
      </w:r>
      <w:r>
        <w:t xml:space="preserve">need a fact or decision from the person named (FC = Frank Cai, SC = S. Cai / Fort Wayne Metals records, JY = J. Yan). Bracketed draft wording inside an OPEN marker is a proposal, not a confirmed fact. Delete this paragraph before upload.</w:t>
      </w:r>
    </w:p>
    <w:p>
      <w:r>
        <w:pict>
          <v:rect style="width:0;height:1.5pt" o:hralign="center" o:hrstd="t" o:hr="t"/>
        </w:pict>
      </w:r>
    </w:p>
    <w:p>
      <w:pPr>
        <w:pStyle w:val="FirstParagraph"/>
      </w:pPr>
      <w:r>
        <w:t xml:space="preserve">Manuscript ID: JMEP-26-07-50730.R1</w:t>
      </w:r>
    </w:p>
    <w:p>
      <w:pPr>
        <w:pStyle w:val="BodyText"/>
      </w:pPr>
      <w:r>
        <w:t xml:space="preserve">Title: Absence of Superelasticity in an LLM-Hypothesized Fe-Mn-Al-Ni-Si-C Alloy: Tensile, Synchrotron and CALPHAD Assessment (originally</w:t>
      </w:r>
      <w:r>
        <w:t xml:space="preserve"> </w:t>
      </w:r>
      <w:r>
        <w:t xml:space="preserve">“Mechanical Responses of an AI-Hypothesized Super-elastic Fe-Mn-Al-Ni-Si-C Alloy”</w:t>
      </w:r>
      <w:r>
        <w:t xml:space="preserve">)</w:t>
      </w:r>
    </w:p>
    <w:p>
      <w:pPr>
        <w:pStyle w:val="BodyText"/>
      </w:pPr>
      <w:r>
        <w:t xml:space="preserve">Dear Dr. Asthana,</w:t>
      </w:r>
    </w:p>
    <w:p>
      <w:pPr>
        <w:pStyle w:val="BodyText"/>
      </w:pPr>
      <w:r>
        <w:t xml:space="preserve">Thank you for the opportunity to revise our manuscript, and thank you to both reviewers for detailed and constructive reports. Every comment is answered below, in order, with the location of the corresponding change in the revised manuscript. The revision keeps the structure of the original submission and changes it only where a comment asked for it or where we found an error.</w:t>
      </w:r>
    </w:p>
    <w:bookmarkStart w:id="9" w:name="summary-of-the-revision"/>
    <w:p>
      <w:pPr>
        <w:pStyle w:val="Heading2"/>
      </w:pPr>
      <w:r>
        <w:t xml:space="preserve">Summary of the revision</w:t>
      </w:r>
    </w:p>
    <w:p>
      <w:pPr>
        <w:pStyle w:val="FirstParagraph"/>
      </w:pPr>
      <w:r>
        <w:t xml:space="preserve">Reviewer 2 asked for fuller reporting of the work already performed, a transparent statement of the study’s scope, reanalysis of available data where practical, and conclusions limited to the evidence. We have done all four. Three additions bear on several comments at once:</w:t>
      </w:r>
    </w:p>
    <w:p>
      <w:pPr>
        <w:pStyle w:val="Compact"/>
        <w:numPr>
          <w:ilvl w:val="0"/>
          <w:numId w:val="1001"/>
        </w:numPr>
      </w:pPr>
      <w:r>
        <w:rPr>
          <w:b/>
          <w:bCs/>
        </w:rPr>
        <w:t xml:space="preserve">Replicate tensile tests.</w:t>
      </w:r>
      <w:r>
        <w:t xml:space="preserve"> </w:t>
      </w:r>
      <w:r>
        <w:t xml:space="preserve">Every condition of Table 2 is now the mean of three specimens, with one standard deviation (Section 2.4).</w:t>
      </w:r>
    </w:p>
    <w:p>
      <w:pPr>
        <w:pStyle w:val="Compact"/>
        <w:numPr>
          <w:ilvl w:val="0"/>
          <w:numId w:val="1001"/>
        </w:numPr>
      </w:pPr>
      <w:r>
        <w:rPr>
          <w:b/>
          <w:bCs/>
        </w:rPr>
        <w:t xml:space="preserve">Equilibrium calculations on the measured chemistry</w:t>
      </w:r>
      <w:r>
        <w:t xml:space="preserve">, which Reviewer 2 suggested (comment 5a): CALPHAD calculations in three independent open databases, including a calculated carbon-free control (new Sections 2.6 and 3.4, Table 3).</w:t>
      </w:r>
    </w:p>
    <w:p>
      <w:pPr>
        <w:pStyle w:val="Compact"/>
        <w:numPr>
          <w:ilvl w:val="0"/>
          <w:numId w:val="1001"/>
        </w:numPr>
      </w:pPr>
      <w:r>
        <w:rPr>
          <w:b/>
          <w:bCs/>
        </w:rPr>
        <w:t xml:space="preserve">The complete LLM design report</w:t>
      </w:r>
      <w:r>
        <w:t xml:space="preserve"> </w:t>
      </w:r>
      <w:r>
        <w:t xml:space="preserve">(Online Resource 1), and a register of every specimen and calculation behind the figures, tables and text (Online Resource 2, Tables S1 and S2).</w:t>
      </w:r>
    </w:p>
    <w:p>
      <w:pPr>
        <w:pStyle w:val="FirstParagraph"/>
      </w:pPr>
      <w:r>
        <w:t xml:space="preserve">Preliminary results of this work appeared as a three-page extended abstract in the SMST 2026 proceedings (ASM International); it is now cited in Section 1.</w:t>
      </w:r>
      <w:r>
        <w:t xml:space="preserve"> </w:t>
      </w:r>
      <w:r>
        <w:rPr>
          <w:b/>
          <w:bCs/>
        </w:rPr>
        <w:t xml:space="preserve">[OPEN — FC: keep this disclosure (recommended).]</w:t>
      </w:r>
    </w:p>
    <w:p>
      <w:pPr>
        <w:pStyle w:val="BodyText"/>
      </w:pPr>
      <w:r>
        <w:t xml:space="preserve">The following errors in the original text are corrected:</w:t>
      </w:r>
    </w:p>
    <w:p>
      <w:pPr>
        <w:pStyle w:val="Compact"/>
        <w:numPr>
          <w:ilvl w:val="0"/>
          <w:numId w:val="1002"/>
        </w:numPr>
      </w:pPr>
      <w:r>
        <w:t xml:space="preserve">The gauge length was 127 mm, not 13 mm (a typographical error; the instrument records give 5.000 in), and the nominal strain rate is 8.3 × 10⁻⁴ s⁻¹ (0.25 in min⁻¹ over 127 mm), not 1 × 10⁻³ s⁻¹.</w:t>
      </w:r>
    </w:p>
    <w:p>
      <w:pPr>
        <w:pStyle w:val="Compact"/>
        <w:numPr>
          <w:ilvl w:val="0"/>
          <w:numId w:val="1002"/>
        </w:numPr>
      </w:pPr>
      <w:r>
        <w:t xml:space="preserve">The α fraction is 34% (with 4% D0₃), not 37%.</w:t>
      </w:r>
    </w:p>
    <w:p>
      <w:pPr>
        <w:pStyle w:val="Compact"/>
        <w:numPr>
          <w:ilvl w:val="0"/>
          <w:numId w:val="1002"/>
        </w:numPr>
      </w:pPr>
      <w:r>
        <w:t xml:space="preserve">The model was prompted, not trained.</w:t>
      </w:r>
    </w:p>
    <w:p>
      <w:pPr>
        <w:pStyle w:val="Compact"/>
        <w:numPr>
          <w:ilvl w:val="0"/>
          <w:numId w:val="1002"/>
        </w:numPr>
      </w:pPr>
      <w:r>
        <w:t xml:space="preserve">The melted composition lies outside the proposed range in Mn and Al, not within it (Section 2.1).</w:t>
      </w:r>
    </w:p>
    <w:p>
      <w:pPr>
        <w:pStyle w:val="Compact"/>
        <w:numPr>
          <w:ilvl w:val="0"/>
          <w:numId w:val="1002"/>
        </w:numPr>
      </w:pPr>
      <w:r>
        <w:t xml:space="preserve">The Omori-alloy wire was 0.64 mm in diameter, not 0.36 mm.</w:t>
      </w:r>
    </w:p>
    <w:p>
      <w:pPr>
        <w:pStyle w:val="Compact"/>
        <w:numPr>
          <w:ilvl w:val="0"/>
          <w:numId w:val="1002"/>
        </w:numPr>
      </w:pPr>
      <w:r>
        <w:t xml:space="preserve">The cyclic abnormal-grain-growth schedule was applied to ≈1–1.3 mm rod, and a separate cyclic treatment to 0.36 mm wire (Section 2.2), not as one schedule to wire.</w:t>
      </w:r>
    </w:p>
    <w:p>
      <w:pPr>
        <w:pStyle w:val="Compact"/>
        <w:numPr>
          <w:ilvl w:val="0"/>
          <w:numId w:val="1002"/>
        </w:numPr>
      </w:pPr>
      <w:r>
        <w:t xml:space="preserve">The description of the request put to the agent now states only what its surviving report records (Section 2.1).</w:t>
      </w:r>
    </w:p>
    <w:p>
      <w:pPr>
        <w:pStyle w:val="Compact"/>
        <w:numPr>
          <w:ilvl w:val="0"/>
          <w:numId w:val="1002"/>
        </w:numPr>
      </w:pPr>
      <w:r>
        <w:t xml:space="preserve">The declarations now disclose S. Cai’s employment by Fort Wayne Metals.</w:t>
      </w:r>
      <w:r>
        <w:t xml:space="preserve"> </w:t>
      </w:r>
      <w:r>
        <w:rPr>
          <w:b/>
          <w:bCs/>
        </w:rPr>
        <w:t xml:space="preserve">[OPEN — FC: you are writing the generative-AI statement in the Declarations yourself; add a line here if it differs from the original declaration.]</w:t>
      </w:r>
    </w:p>
    <w:p>
      <w:pPr>
        <w:pStyle w:val="FirstParagraph"/>
      </w:pPr>
      <w:r>
        <w:t xml:space="preserve">All changes are shown as tracked changes against the original submission in the marked-up manuscript. Figs. 5 and 6 have been updated to match the revised analysis: Fig. 5 now shows the Rietveld refinements of both the heat-treated and the deformed specimen, each with its fit indices, and Fig. 6 is regenerated from the integrated diffraction data. Section numbering is unchanged except for the additions below.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Original submission</w:t>
            </w:r>
          </w:p>
        </w:tc>
        <w:tc>
          <w:tcPr/>
          <w:p>
            <w:pPr>
              <w:pStyle w:val="Compact"/>
            </w:pPr>
            <w:r>
              <w:t xml:space="preserve">Revised manuscript</w:t>
            </w:r>
          </w:p>
        </w:tc>
      </w:tr>
      <w:tr>
        <w:tc>
          <w:tcPr/>
          <w:p>
            <w:pPr>
              <w:pStyle w:val="Compact"/>
            </w:pPr>
            <w:r>
              <w:t xml:space="preserve">2.1–2.5</w:t>
            </w:r>
          </w:p>
        </w:tc>
        <w:tc>
          <w:tcPr/>
          <w:p>
            <w:pPr>
              <w:pStyle w:val="Compact"/>
            </w:pPr>
            <w:r>
              <w:t xml:space="preserve">2.1–2.5 (expanded);</w:t>
            </w:r>
            <w:r>
              <w:t xml:space="preserve"> </w:t>
            </w:r>
            <w:r>
              <w:rPr>
                <w:b/>
                <w:bCs/>
              </w:rPr>
              <w:t xml:space="preserve">2.6 Equilibrium thermodynamic calculations (new)</w:t>
            </w:r>
          </w:p>
        </w:tc>
      </w:tr>
      <w:tr>
        <w:tc>
          <w:tcPr/>
          <w:p>
            <w:pPr>
              <w:pStyle w:val="Compact"/>
            </w:pPr>
            <w:r>
              <w:t xml:space="preserve">3.1 Microstructure (Fig. 1a–c)</w:t>
            </w:r>
          </w:p>
        </w:tc>
        <w:tc>
          <w:tcPr/>
          <w:p>
            <w:pPr>
              <w:pStyle w:val="Compact"/>
            </w:pPr>
            <w:r>
              <w:t xml:space="preserve">3.1 (Fig. 1a–d; panel d new)</w:t>
            </w:r>
          </w:p>
        </w:tc>
      </w:tr>
      <w:tr>
        <w:tc>
          <w:tcPr/>
          <w:p>
            <w:pPr>
              <w:pStyle w:val="Compact"/>
            </w:pPr>
            <w:r>
              <w:t xml:space="preserve">3.2, 3.3 (Figs. 2–6; Tables 1, 2)</w:t>
            </w:r>
          </w:p>
        </w:tc>
        <w:tc>
          <w:tcPr/>
          <w:p>
            <w:pPr>
              <w:pStyle w:val="Compact"/>
            </w:pPr>
            <w:r>
              <w:t xml:space="preserve">3.2, 3.3 (Table 1 now wt% and at%; Table 2 now n = 3; Figs. 5 and 6 updated)</w:t>
            </w:r>
          </w:p>
        </w:tc>
      </w:tr>
      <w:tr>
        <w:tc>
          <w:tcPr/>
          <w:p>
            <w:pPr>
              <w:pStyle w:val="Compact"/>
            </w:pPr>
            <w:r>
              <w:t xml:space="preserve">—</w:t>
            </w:r>
          </w:p>
        </w:tc>
        <w:tc>
          <w:tcPr/>
          <w:p>
            <w:pPr>
              <w:pStyle w:val="Compact"/>
            </w:pPr>
            <w:r>
              <w:rPr>
                <w:b/>
                <w:bCs/>
              </w:rPr>
              <w:t xml:space="preserve">3.4 Equilibrium phase stability (new; Table 3)</w:t>
            </w:r>
          </w:p>
        </w:tc>
      </w:tr>
      <w:tr>
        <w:tc>
          <w:tcPr/>
          <w:p>
            <w:pPr>
              <w:pStyle w:val="Compact"/>
            </w:pPr>
            <w:r>
              <w:t xml:space="preserve">4.1 Origin of the absence of stress-induced phase transformation</w:t>
            </w:r>
          </w:p>
        </w:tc>
        <w:tc>
          <w:tcPr/>
          <w:p>
            <w:pPr>
              <w:pStyle w:val="Compact"/>
            </w:pPr>
            <w:r>
              <w:t xml:space="preserve">4.1 Interpreting the absence of stress-induced phase transformation</w:t>
            </w:r>
          </w:p>
        </w:tc>
      </w:tr>
      <w:tr>
        <w:tc>
          <w:tcPr/>
          <w:p>
            <w:pPr>
              <w:pStyle w:val="Compact"/>
            </w:pPr>
            <w:r>
              <w:t xml:space="preserve">4.2, 4.3</w:t>
            </w:r>
          </w:p>
        </w:tc>
        <w:tc>
          <w:tcPr/>
          <w:p>
            <w:pPr>
              <w:pStyle w:val="Compact"/>
            </w:pPr>
            <w:r>
              <w:t xml:space="preserve">4.2, 4.3 (4.3 rewritten, comment 18)</w:t>
            </w:r>
          </w:p>
        </w:tc>
      </w:tr>
      <w:tr>
        <w:tc>
          <w:tcPr/>
          <w:p>
            <w:pPr>
              <w:pStyle w:val="Compact"/>
            </w:pPr>
            <w:r>
              <w:t xml:space="preserve">5 Conclusions</w:t>
            </w:r>
          </w:p>
        </w:tc>
        <w:tc>
          <w:tcPr/>
          <w:p>
            <w:pPr>
              <w:pStyle w:val="Compact"/>
            </w:pPr>
            <w:r>
              <w:t xml:space="preserve">5 Conclusions (rewritten, comments 1b and 18d)</w:t>
            </w:r>
          </w:p>
        </w:tc>
      </w:tr>
      <w:tr>
        <w:tc>
          <w:tcPr/>
          <w:p>
            <w:pPr>
              <w:pStyle w:val="Compact"/>
            </w:pPr>
            <w:r>
              <w:t xml:space="preserve">—</w:t>
            </w:r>
          </w:p>
        </w:tc>
        <w:tc>
          <w:tcPr/>
          <w:p>
            <w:pPr>
              <w:pStyle w:val="Compact"/>
            </w:pPr>
            <w:r>
              <w:t xml:space="preserve">Online Resource 1 (LLM report); Online Resource 2 (Tables S1, S2)</w:t>
            </w:r>
          </w:p>
        </w:tc>
      </w:tr>
    </w:tbl>
    <w:p>
      <w:pPr>
        <w:pStyle w:val="BodyText"/>
      </w:pPr>
      <w:r>
        <w:rPr>
          <w:b/>
          <w:bCs/>
        </w:rPr>
        <w:t xml:space="preserve">Authors.</w:t>
      </w:r>
      <w:r>
        <w:t xml:space="preserve"> </w:t>
      </w:r>
      <w:r>
        <w:rPr>
          <w:b/>
          <w:bCs/>
        </w:rPr>
        <w:t xml:space="preserve">[OPEN — FC: if X. Wang is added (he supervised the work throughout, per the Author contributions statement), state it here and attach the journal’s authorship-change form. The Katona draft asks what the journal needs.]</w:t>
      </w:r>
    </w:p>
    <w:bookmarkEnd w:id="9"/>
    <w:bookmarkStart w:id="10" w:name="associate-editor"/>
    <w:p>
      <w:pPr>
        <w:pStyle w:val="Heading2"/>
      </w:pPr>
      <w:r>
        <w:t xml:space="preserve">Associate Editor</w:t>
      </w:r>
    </w:p>
    <w:p>
      <w:pPr>
        <w:pStyle w:val="BlockText"/>
      </w:pPr>
      <w:r>
        <w:t xml:space="preserve">Thank you for submitting your manuscript to JMEP. Please address our reviewers’ comments. Should you choose to submit a revision, you must highlight all changes made within your revised manuscript upon its return and provide a separate response document. Your response and revision will be re-evaluated by the reviewers and the editors.</w:t>
      </w:r>
    </w:p>
    <w:p>
      <w:pPr>
        <w:pStyle w:val="FirstParagraph"/>
      </w:pPr>
      <w:r>
        <w:t xml:space="preserve">Thank you. All changes are shown as tracked changes in the marked-up manuscript, and this document is the separate response.</w:t>
      </w:r>
    </w:p>
    <w:p>
      <w:pPr>
        <w:pStyle w:val="BlockText"/>
      </w:pPr>
      <w:r>
        <w:t xml:space="preserve">Additionally, a revision of the English is recommended. Please enlist the aid of a professional editing service to correct the English. …</w:t>
      </w:r>
    </w:p>
    <w:p>
      <w:pPr>
        <w:pStyle w:val="FirstParagraph"/>
      </w:pPr>
      <w:r>
        <w:t xml:space="preserve">The English has been revised throughout the manuscript for grammar, clarity and consistent terminology, and these edits are included in the tracked changes. If the editors judge that further language editing is needed, we will be glad to arrange a professional service before production.</w:t>
      </w:r>
    </w:p>
    <w:bookmarkEnd w:id="10"/>
    <w:bookmarkStart w:id="11" w:name="reviewer-1"/>
    <w:p>
      <w:pPr>
        <w:pStyle w:val="Heading2"/>
      </w:pPr>
      <w:r>
        <w:t xml:space="preserve">Reviewer 1</w:t>
      </w:r>
    </w:p>
    <w:p>
      <w:pPr>
        <w:pStyle w:val="BlockText"/>
      </w:pPr>
      <w:r>
        <w:t xml:space="preserve">Put the keywords in alphabetical order</w:t>
      </w:r>
    </w:p>
    <w:p>
      <w:pPr>
        <w:pStyle w:val="FirstParagraph"/>
      </w:pPr>
      <w:r>
        <w:t xml:space="preserve">Done. The keywords are now: abnormal grain growth; alloy design; CALPHAD; Fe-based shape memory alloy; large language model; superelasticity; synchrotron XRD.</w:t>
      </w:r>
    </w:p>
    <w:p>
      <w:pPr>
        <w:pStyle w:val="BlockText"/>
      </w:pPr>
      <w:r>
        <w:t xml:space="preserve">The AI developed alloy was processed in the same way as the established Fe-Mn-Al-Ni alloy to isolate only the effect of composition. However, could the process steps themselves be the reason for not obtaining the shape memory effect? Perhaps the authors should comment on this in the discussion.</w:t>
      </w:r>
    </w:p>
    <w:p>
      <w:pPr>
        <w:pStyle w:val="FirstParagraph"/>
      </w:pPr>
      <w:r>
        <w:t xml:space="preserve">We agree that this cannot be excluded, and the revised manuscript says so (Section 4.1, first paragraph). We no longer claim that a common route isolates composition: identical nominal processing does not guarantee identical recrystallization, grain size, texture or precipitation in two compositions (Section 1).</w:t>
      </w:r>
    </w:p>
    <w:p>
      <w:pPr>
        <w:pStyle w:val="BodyText"/>
      </w:pPr>
      <w:r>
        <w:t xml:space="preserve">Two observations bound the possibility without removing it. First, the LLM alloy was given a wider range of treatments than the Omori alloy, including the 200 °C/3 h age reported to develop pseudoelasticity in this family, which the Omori specimen of Fig. 3b did not receive; none produced strain recovery (next comment). Second, the new equilibrium calculations show that the processing question has a compositional root. The Omori alloy’s route depends on solution treatment in a single-phase α field. In all three thermodynamic databases, the LLM alloy has no single-phase α field at any temperature in the solid state: it is still α + γ when it begins to melt (Section 3.4, Table 3). No choice of solution temperature can therefore reproduce the Omori alloy’s starting state.</w:t>
      </w:r>
    </w:p>
    <w:p>
      <w:pPr>
        <w:pStyle w:val="BodyText"/>
      </w:pPr>
      <w:r>
        <w:t xml:space="preserve">A solution-and-aging window optimized for this composition remains untested; Section 4.3 names it as open, and the Conclusions are worded so that they remain valid if such a route is later found.</w:t>
      </w:r>
    </w:p>
    <w:p>
      <w:pPr>
        <w:pStyle w:val="BlockText"/>
      </w:pPr>
      <w:r>
        <w:t xml:space="preserve">Were alternative processing steps tried in order to possibly obtain the shape memory effect?</w:t>
      </w:r>
    </w:p>
    <w:p>
      <w:pPr>
        <w:pStyle w:val="FirstParagraph"/>
      </w:pPr>
      <w:r>
        <w:t xml:space="preserve">Yes. They are now stated in Section 2.2 and their results in Section 3.2 (last paragraph) and Fig. 1d:</w:t>
      </w:r>
    </w:p>
    <w:p>
      <w:pPr>
        <w:pStyle w:val="Compact"/>
        <w:numPr>
          <w:ilvl w:val="0"/>
          <w:numId w:val="1003"/>
        </w:numPr>
      </w:pPr>
      <w:r>
        <w:t xml:space="preserve">1-minute strand anneals at seven temperatures, 600–1200 °C (Fig. 2, Table 2);</w:t>
      </w:r>
    </w:p>
    <w:p>
      <w:pPr>
        <w:pStyle w:val="Compact"/>
        <w:numPr>
          <w:ilvl w:val="0"/>
          <w:numId w:val="1003"/>
        </w:numPr>
      </w:pPr>
      <w:r>
        <w:t xml:space="preserve">the 200 °C/3 h age reported to develop pseudoelasticity in this family (Fig. 2f);</w:t>
      </w:r>
    </w:p>
    <w:p>
      <w:pPr>
        <w:pStyle w:val="Compact"/>
        <w:numPr>
          <w:ilvl w:val="0"/>
          <w:numId w:val="1003"/>
        </w:numPr>
      </w:pPr>
      <w:r>
        <w:t xml:space="preserve">static holds at 1200 °C for 40 and 80 minutes (Fig. 1c);</w:t>
      </w:r>
    </w:p>
    <w:p>
      <w:pPr>
        <w:pStyle w:val="Compact"/>
        <w:numPr>
          <w:ilvl w:val="0"/>
          <w:numId w:val="1003"/>
        </w:numPr>
      </w:pPr>
      <w:r>
        <w:t xml:space="preserve">cyclic abnormal-grain-growth treatments: two- and three-cycle 1200 ↔ 900 °C schedules on ≈1–1.3 mm rod, and a four-hold 1200 °C quartz-tube schedule on 0.36 mm wire (Fig. 1d);</w:t>
      </w:r>
    </w:p>
    <w:p>
      <w:pPr>
        <w:pStyle w:val="Compact"/>
        <w:numPr>
          <w:ilvl w:val="0"/>
          <w:numId w:val="1003"/>
        </w:numPr>
      </w:pPr>
      <w:r>
        <w:t xml:space="preserve">exposures at 1250 and 1300 °C, which caused severe oxidation and are not reported further.</w:t>
      </w:r>
    </w:p>
    <w:p>
      <w:pPr>
        <w:pStyle w:val="FirstParagraph"/>
      </w:pPr>
      <w:r>
        <w:t xml:space="preserve">No condition showed a transformation plateau or strain recovery beyond elastic springback on unloading (the unrecrystallized as-drawn and 600 °C wire shows a small non-linearity, at most ≈0.3%, which Section 3.2 reports), and the 1200 °C/1 min condition showed none on heating. The cyclically treated wire did not develop a bamboo structure (Fig. 1d), and the coarsened conditions were brittle, failing at 0.5–1.0% elongation (Section 3.2).</w:t>
      </w:r>
    </w:p>
    <w:p>
      <w:pPr>
        <w:pStyle w:val="BlockText"/>
      </w:pPr>
      <w:r>
        <w:t xml:space="preserve">The AI developed alloy contains additional Si and C as compared to the Omori alloy. Where does this added Si and C appear? In the matrix or in some phases? Or someplace else?</w:t>
      </w:r>
    </w:p>
    <w:p>
      <w:pPr>
        <w:pStyle w:val="FirstParagraph"/>
      </w:pPr>
      <w:r>
        <w:t xml:space="preserve">This was not measured directly. EDS cannot quantify carbon and was used qualitatively. We have therefore added the calculated partitioning at the 1200 °C solution-treatment temperature, from the same three databases (Section 3.4). No carbide is stable at that temperature, so both elements are calculated to be in solid solution, and both concentrate in γ: carbon strongly (1.0–1.3 at% in γ against ≈0.1 at% in α, in all three databases) and silicon mildly (2.6–2.7 against 1.7–1.8 at%, in the two databases that carry silicon). The same calculation places aluminum in α and manganese in γ, which is the direction of the EDS contrast in Fig. 1b.</w:t>
      </w:r>
    </w:p>
    <w:p>
      <w:pPr>
        <w:pStyle w:val="BodyText"/>
      </w:pPr>
      <w:r>
        <w:t xml:space="preserve">Carbides are calculated to be stable only well below the processing range (κ-carbide below ≈590 °C, M₂₃C₆ below ≈420 °C). None was detected by diffraction or SEM, which would not resolve a fine dispersion, and κ-carbide was not tested in an alternative refinement model, so a small fraction is not excluded (Sections 3.3 and 3.4). Note also that only half the intended silicon was recovered in the melt (Section 2.1, Table 1).</w:t>
      </w:r>
    </w:p>
    <w:p>
      <w:pPr>
        <w:pStyle w:val="BlockText"/>
      </w:pPr>
      <w:r>
        <w:t xml:space="preserve">How was the strain rate selected? Are shape memory alloys strain rate sensitive in their shape memory effect?</w:t>
      </w:r>
    </w:p>
    <w:p>
      <w:pPr>
        <w:pStyle w:val="FirstParagraph"/>
      </w:pPr>
      <w:r>
        <w:t xml:space="preserve">The crosshead speed was 0.25 in min⁻¹ on a 127 mm gauge, a nominal strain rate of 8.3 × 10⁻⁴ s⁻¹ (Section 2.4). The original text gave 1 × 10⁻³ s⁻¹ on a 13 mm gauge; the gauge was a typographical error, and the rate is now computed from the recorded crosshead speed and gauge.</w:t>
      </w:r>
      <w:r>
        <w:t xml:space="preserve"> </w:t>
      </w:r>
      <w:r>
        <w:rPr>
          <w:b/>
          <w:bCs/>
        </w:rPr>
        <w:t xml:space="preserve">[OPEN — FC: why this rate was chosen. Draft:</w:t>
      </w:r>
      <w:r>
        <w:rPr>
          <w:b/>
          <w:bCs/>
        </w:rPr>
        <w:t xml:space="preserve"> </w:t>
      </w:r>
      <w:r>
        <w:rPr>
          <w:b/>
          <w:bCs/>
        </w:rPr>
        <w:t xml:space="preserve">“It is the quasi-static rate we use routinely for superelastic wire (ref. cai2024niticu)”</w:t>
      </w:r>
      <w:r>
        <w:rPr>
          <w:b/>
          <w:bCs/>
        </w:rPr>
        <w:t xml:space="preserve"> </w:t>
      </w:r>
      <w:r>
        <w:rPr>
          <w:b/>
          <w:bCs/>
        </w:rPr>
        <w:t xml:space="preserve">— confirm the NiTi-Cu work used the same rate before saying so.]</w:t>
      </w:r>
    </w:p>
    <w:p>
      <w:pPr>
        <w:pStyle w:val="BodyText"/>
      </w:pPr>
      <w:r>
        <w:t xml:space="preserve">Yes, superelastic alloys are rate-sensitive, chiefly because the latent heat of transformation warms the specimen when it cannot be conducted away fast enough, which raises the stress needed to continue transforming (Shaw and Kyriakides, 1995, now cited). This changes the stress–strain response of an alloy that transforms; it does not suppress the transformation. The effect should also be weaker in Fe-Mn-Al-Ni, whose transformation stress depends only weakly on temperature (0.53 MPa °C⁻¹; Omori et al., 2011). At the quasi-static rate used, strain rate is not expected to bear on the absence of transformation. This is added to Section 2.4.</w:t>
      </w:r>
    </w:p>
    <w:bookmarkEnd w:id="11"/>
    <w:bookmarkStart w:id="30" w:name="reviewer-2"/>
    <w:p>
      <w:pPr>
        <w:pStyle w:val="Heading2"/>
      </w:pPr>
      <w:r>
        <w:t xml:space="preserve">Reviewer 2</w:t>
      </w:r>
    </w:p>
    <w:p>
      <w:pPr>
        <w:pStyle w:val="BlockText"/>
      </w:pPr>
      <w:r>
        <w:t xml:space="preserve">Overall Evaluation …</w:t>
      </w:r>
    </w:p>
    <w:p>
      <w:pPr>
        <w:pStyle w:val="FirstParagraph"/>
      </w:pPr>
      <w:r>
        <w:t xml:space="preserve">We thank the reviewer for a careful and constructive report, and for recognizing the value of a documented negative result. We have followed the reviewer’s framing throughout: the revised manuscript treats the work as an exploratory case study of one composition, reports the processing and characterization records more fully, separates what was measured from what was calculated, interpreted or left open, and narrows the claims about carbon, transformation, precipitates, diffraction and AI-assisted design.</w:t>
      </w:r>
    </w:p>
    <w:bookmarkStart w:id="12" w:name="title-and-scientific-framing"/>
    <w:p>
      <w:pPr>
        <w:pStyle w:val="Heading3"/>
      </w:pPr>
      <w:r>
        <w:t xml:space="preserve">1. Title and scientific framing</w:t>
      </w:r>
    </w:p>
    <w:p>
      <w:pPr>
        <w:pStyle w:val="Compact"/>
        <w:numPr>
          <w:ilvl w:val="0"/>
          <w:numId w:val="1004"/>
        </w:numPr>
      </w:pPr>
      <w:r>
        <w:t xml:space="preserve">Could the authors revise the title so that it states that the alloy was targeted for room-temperature superelasticity but failed to exhibit it? …</w:t>
      </w:r>
    </w:p>
    <w:p>
      <w:pPr>
        <w:pStyle w:val="FirstParagraph"/>
      </w:pPr>
      <w:r>
        <w:t xml:space="preserve">Yes. The title is now</w:t>
      </w:r>
      <w:r>
        <w:t xml:space="preserve"> </w:t>
      </w:r>
      <w:r>
        <w:t xml:space="preserve">“Absence of Superelasticity in an LLM-Hypothesized Fe-Mn-Al-Ni-Si-C Alloy: Tensile, Synchrotron and CALPHAD Assessment”</w:t>
      </w:r>
      <w:r>
        <w:t xml:space="preserve">. It states the negative result, uses the standard spelling (now used throughout), and names the model class (LLM) rather than AI in general. We kept</w:t>
      </w:r>
      <w:r>
        <w:t xml:space="preserve"> </w:t>
      </w:r>
      <w:r>
        <w:t xml:space="preserve">“hypothesized”</w:t>
      </w:r>
      <w:r>
        <w:t xml:space="preserve"> </w:t>
      </w:r>
      <w:r>
        <w:t xml:space="preserve">because the paper treats the composition as a hypothesis under test.</w:t>
      </w:r>
      <w:r>
        <w:t xml:space="preserve"> </w:t>
      </w:r>
      <w:r>
        <w:rPr>
          <w:b/>
          <w:bCs/>
        </w:rPr>
        <w:t xml:space="preserve">[OPEN — FC: or adopt the reviewer’s title,</w:t>
      </w:r>
      <w:r>
        <w:rPr>
          <w:b/>
          <w:bCs/>
        </w:rPr>
        <w:t xml:space="preserve"> </w:t>
      </w:r>
      <w:r>
        <w:rPr>
          <w:b/>
          <w:bCs/>
        </w:rPr>
        <w:t xml:space="preserve">“Experimental Evaluation of an LLM-Proposed Fe-Mn-Al-Ni-Si-C Alloy Targeted for Room-Temperature Superelasticity”</w:t>
      </w:r>
      <w:r>
        <w:rPr>
          <w:b/>
          <w:bCs/>
        </w:rPr>
        <w:t xml:space="preserve">; co-authors sign off on either.]</w:t>
      </w:r>
    </w:p>
    <w:p>
      <w:pPr>
        <w:pStyle w:val="Compact"/>
        <w:numPr>
          <w:ilvl w:val="0"/>
          <w:numId w:val="1005"/>
        </w:numPr>
      </w:pPr>
      <w:r>
        <w:t xml:space="preserve">Could the Abstract and Conclusions distinguish clearly among (i) failure of this composition under the tested processing conditions, (ii) limitations of this particular deep-research workflow, and (iii) the much broader performance of AI-assisted alloy design?</w:t>
      </w:r>
    </w:p>
    <w:p>
      <w:pPr>
        <w:pStyle w:val="FirstParagraph"/>
      </w:pPr>
      <w:r>
        <w:t xml:space="preserve">Yes. The Abstract now separates the three: what the composition did in the conditions tested;</w:t>
      </w:r>
      <w:r>
        <w:t xml:space="preserve"> </w:t>
      </w:r>
      <w:r>
        <w:t xml:space="preserve">“The workflow omitted the phase-stability check its own report recommended”</w:t>
      </w:r>
      <w:r>
        <w:t xml:space="preserve">; and</w:t>
      </w:r>
      <w:r>
        <w:t xml:space="preserve"> </w:t>
      </w:r>
      <w:r>
        <w:t xml:space="preserve">“This single-composition case study does not evaluate LLM alloy design in general.”</w:t>
      </w:r>
      <w:r>
        <w:t xml:space="preserve"> </w:t>
      </w:r>
      <w:r>
        <w:t xml:space="preserve">The Conclusions take the three in turn: what was observed in the conditions tested (first paragraph); the limitation of</w:t>
      </w:r>
      <w:r>
        <w:t xml:space="preserve"> </w:t>
      </w:r>
      <w:r>
        <w:t xml:space="preserve">“the workflow as it was run, not a demonstrated limit on what an LLM can propose”</w:t>
      </w:r>
      <w:r>
        <w:t xml:space="preserve"> </w:t>
      </w:r>
      <w:r>
        <w:t xml:space="preserve">(third paragraph); and that</w:t>
      </w:r>
      <w:r>
        <w:t xml:space="preserve"> </w:t>
      </w:r>
      <w:r>
        <w:t xml:space="preserve">“this single-composition case study cannot establish how often such workflows fail”</w:t>
      </w:r>
      <w:r>
        <w:t xml:space="preserve">. Section 4.3 makes the same distinction.</w:t>
      </w:r>
    </w:p>
    <w:bookmarkEnd w:id="12"/>
    <w:bookmarkStart w:id="13" w:name="X5cbd18647ae93f7d859abdfd696978a72e0b55c"/>
    <w:p>
      <w:pPr>
        <w:pStyle w:val="Heading3"/>
      </w:pPr>
      <w:r>
        <w:t xml:space="preserve">2. Reproducibility and correct description of the LLM workflow</w:t>
      </w:r>
    </w:p>
    <w:p>
      <w:pPr>
        <w:pStyle w:val="Compact"/>
        <w:numPr>
          <w:ilvl w:val="0"/>
          <w:numId w:val="1006"/>
        </w:numPr>
      </w:pPr>
      <w:r>
        <w:t xml:space="preserve">Did the authors actually fine-tune or otherwise train a model, upload a closed corpus for retrieval, or simply ask Gemini Deep Research to search public sources? …</w:t>
      </w:r>
    </w:p>
    <w:p>
      <w:pPr>
        <w:pStyle w:val="FirstParagraph"/>
      </w:pPr>
      <w:r>
        <w:t xml:space="preserve">We did not train or fine-tune any model. The composition came from a Gemini 2.5 Deep Research session, in which the agent retrieves and reads public sources at query time.</w:t>
      </w:r>
      <w:r>
        <w:t xml:space="preserve"> </w:t>
      </w:r>
      <w:r>
        <w:rPr>
          <w:b/>
          <w:bCs/>
        </w:rPr>
        <w:t xml:space="preserve">[OPEN — FC: confirm that no files were uploaded to the session.]</w:t>
      </w:r>
      <w:r>
        <w:t xml:space="preserve"> </w:t>
      </w:r>
      <w:r>
        <w:t xml:space="preserve">“Trained”</w:t>
      </w:r>
      <w:r>
        <w:t xml:space="preserve"> </w:t>
      </w:r>
      <w:r>
        <w:t xml:space="preserve">has been removed, and the workflow is described in Sections 1 and 2.1 and in the Generative-AI declaration.</w:t>
      </w:r>
    </w:p>
    <w:p>
      <w:pPr>
        <w:pStyle w:val="Compact"/>
        <w:numPr>
          <w:ilvl w:val="0"/>
          <w:numId w:val="1007"/>
        </w:numPr>
      </w:pPr>
      <w:r>
        <w:t xml:space="preserve">Could the authors provide … the complete verbatim prompt sequence, date and exact model/product version, settings available to the user, all sources retrieved, the full unedited model response, and the candidate composition ranges proposed?</w:t>
      </w:r>
    </w:p>
    <w:p>
      <w:pPr>
        <w:pStyle w:val="FirstParagraph"/>
      </w:pPr>
      <w:r>
        <w:t xml:space="preserve">The full, unedited report is supplied as Online Resource 1:</w:t>
      </w:r>
      <w:r>
        <w:t xml:space="preserve"> </w:t>
      </w:r>
      <w:r>
        <w:rPr>
          <w:i/>
          <w:iCs/>
        </w:rPr>
        <w:t xml:space="preserve">New Fe-SMA Alloy Hypotheses</w:t>
      </w:r>
      <w:r>
        <w:t xml:space="preserve">, 41 pages, drawing on 76 sources, all accessed 19 May 2025 and exported 4 June 2025. It lists every source and gives all six candidate families with their composition ranges and performance targets. The product was Gemini 2.5 Deep Research.</w:t>
      </w:r>
      <w:r>
        <w:t xml:space="preserve"> </w:t>
      </w:r>
      <w:r>
        <w:rPr>
          <w:b/>
          <w:bCs/>
        </w:rPr>
        <w:t xml:space="preserve">[OPEN — FC: confirm the model version (the report itself records no model string), and the settings available to the user, e.g. </w:t>
      </w:r>
      <w:r>
        <w:rPr>
          <w:b/>
          <w:bCs/>
        </w:rPr>
        <w:t xml:space="preserve">“none beyond selecting Deep Research”</w:t>
      </w:r>
      <w:r>
        <w:rPr>
          <w:b/>
          <w:bCs/>
        </w:rPr>
        <w:t xml:space="preserve">.]</w:t>
      </w:r>
      <w:r>
        <w:t xml:space="preserve"> </w:t>
      </w:r>
      <w:r>
        <w:t xml:space="preserve">The verbatim prompt was not preserved, and the report does not embed it. We state this in Section 2.1 rather than reconstructing the prompt from memory.</w:t>
      </w:r>
    </w:p>
    <w:p>
      <w:pPr>
        <w:pStyle w:val="Compact"/>
        <w:numPr>
          <w:ilvl w:val="0"/>
          <w:numId w:val="1008"/>
        </w:numPr>
      </w:pPr>
      <w:r>
        <w:t xml:space="preserve">How were the</w:t>
      </w:r>
      <w:r>
        <w:t xml:space="preserve"> </w:t>
      </w:r>
      <w:r>
        <w:t xml:space="preserve">‘over 200 papers’</w:t>
      </w:r>
      <w:r>
        <w:t xml:space="preserve"> </w:t>
      </w:r>
      <w:r>
        <w:t xml:space="preserve">selected, deduplicated, quality-controlled, and supplied to the agent? …</w:t>
      </w:r>
    </w:p>
    <w:p>
      <w:pPr>
        <w:pStyle w:val="FirstParagraph"/>
      </w:pPr>
      <w:r>
        <w:rPr>
          <w:b/>
          <w:bCs/>
        </w:rPr>
        <w:t xml:space="preserve">[OPEN — FC: where the</w:t>
      </w:r>
      <w:r>
        <w:rPr>
          <w:b/>
          <w:bCs/>
        </w:rPr>
        <w:t xml:space="preserve"> </w:t>
      </w:r>
      <w:r>
        <w:rPr>
          <w:b/>
          <w:bCs/>
        </w:rPr>
        <w:t xml:space="preserve">“over 200 papers”</w:t>
      </w:r>
      <w:r>
        <w:rPr>
          <w:b/>
          <w:bCs/>
        </w:rPr>
        <w:t xml:space="preserve"> </w:t>
      </w:r>
      <w:r>
        <w:rPr>
          <w:b/>
          <w:bCs/>
        </w:rPr>
        <w:t xml:space="preserve">figure came from.]</w:t>
      </w:r>
      <w:r>
        <w:t xml:space="preserve"> </w:t>
      </w:r>
      <w:r>
        <w:t xml:space="preserve">Draft:</w:t>
      </w:r>
      <w:r>
        <w:t xml:space="preserve"> </w:t>
      </w:r>
      <w:r>
        <w:t xml:space="preserve">“The statement in the original text was inaccurate and has been removed. The agent’s report draws on 76 sources, listed in Online Resource 1; [no separate corpus was supplied to it / the figure of 200 counted …].”</w:t>
      </w:r>
    </w:p>
    <w:p>
      <w:pPr>
        <w:pStyle w:val="Compact"/>
        <w:numPr>
          <w:ilvl w:val="0"/>
          <w:numId w:val="1009"/>
        </w:numPr>
      </w:pPr>
      <w:r>
        <w:t xml:space="preserve">Could the authors state which thermodynamic database or computational tool the agent accessed? …</w:t>
      </w:r>
    </w:p>
    <w:p>
      <w:pPr>
        <w:pStyle w:val="FirstParagraph"/>
      </w:pPr>
      <w:r>
        <w:t xml:space="preserve">The agent accessed no thermodynamic database or computational tool, and its report contains no calculation; Section 2.1 now says so. The report recommends CALPHAD and DFT as future work, a recommendation quoted in Section 4.3. The phrase</w:t>
      </w:r>
      <w:r>
        <w:t xml:space="preserve"> </w:t>
      </w:r>
      <w:r>
        <w:t xml:space="preserve">“thermodynamically screened candidates”</w:t>
      </w:r>
      <w:r>
        <w:t xml:space="preserve"> </w:t>
      </w:r>
      <w:r>
        <w:t xml:space="preserve">has been removed from Section 1. All CALPHAD calculations in the revised paper were made by the authors, on the measured chemistry, after the experiments (Sections 2.6 and 3.4).</w:t>
      </w:r>
    </w:p>
    <w:bookmarkEnd w:id="13"/>
    <w:bookmarkStart w:id="14" w:name="Xc8682ea298e03588027d25cdfe96714a3ef65fe"/>
    <w:p>
      <w:pPr>
        <w:pStyle w:val="Heading3"/>
      </w:pPr>
      <w:r>
        <w:t xml:space="preserve">3. Experimental design does not evaluate general LLM reliability</w:t>
      </w:r>
    </w:p>
    <w:p>
      <w:pPr>
        <w:pStyle w:val="Compact"/>
        <w:numPr>
          <w:ilvl w:val="0"/>
          <w:numId w:val="1010"/>
        </w:numPr>
      </w:pPr>
      <w:r>
        <w:t xml:space="preserve">How many agent runs and candidate compositions were actually generated, and why was this specific point within the proposed range selected? …</w:t>
      </w:r>
    </w:p>
    <w:p>
      <w:pPr>
        <w:pStyle w:val="FirstParagraph"/>
      </w:pPr>
      <w:r>
        <w:t xml:space="preserve">There was one Deep Research session, and the request was not repeated (Section 2.1; comment 3b). The report proposes six candidate families and ranks them (Online Resource 1, Section 8.2): Hypothesis B1, an Fe-Mn-Si-Cr-V-C alloy, first, and Hypotheses A1 and A2, both built on the Fe-Mn-Al-Ni system, tied for second. One composition was synthesized, from A2, and Section 2.1 now states the decision rule. We chose A2 because it builds on the Fe-Mn-Al-Ni system, on which there is a substantial body of earlier work: an alloy of established composition from that system, the Omori alloy, could be processed in parallel as a reference, and the results compared directly with the published record. Of the two joint-second hypotheses, A2 adds no chromium, keeps more nickel, and carries the report’s highest recoverable-strain target.</w:t>
      </w:r>
    </w:p>
    <w:p>
      <w:pPr>
        <w:pStyle w:val="BodyText"/>
      </w:pPr>
      <w:r>
        <w:t xml:space="preserve">The specific point was chosen by the authors and specified in atomic percent, the basis used for Fe-Mn-Al-Ni alloys in that literature. Its manganese, aluminum and silicon values (30, 12 and 4) are the upper limits of A2’s ranges, and its nickel value lies inside its range, but A2’s ranges are stated in weight percent. In weight percent the melted alloy therefore lies outside A2 in manganese and aluminum, on the austenite-favoring side. The original text’s statement that it was chosen</w:t>
      </w:r>
      <w:r>
        <w:t xml:space="preserve"> </w:t>
      </w:r>
      <w:r>
        <w:t xml:space="preserve">“within”</w:t>
      </w:r>
      <w:r>
        <w:t xml:space="preserve"> </w:t>
      </w:r>
      <w:r>
        <w:t xml:space="preserve">the proposed range was incorrect, and Section 2.1 now says so. Section 3.4 examines points inside the range by calculation.</w:t>
      </w:r>
    </w:p>
    <w:p>
      <w:pPr>
        <w:pStyle w:val="Compact"/>
        <w:numPr>
          <w:ilvl w:val="0"/>
          <w:numId w:val="1011"/>
        </w:numPr>
      </w:pPr>
      <w:r>
        <w:t xml:space="preserve">If the prompt was not repeated, could the authors state this clearly and identify run-to-run stochasticity as an untested limitation …</w:t>
      </w:r>
    </w:p>
    <w:p>
      <w:pPr>
        <w:pStyle w:val="FirstParagraph"/>
      </w:pPr>
      <w:r>
        <w:t xml:space="preserve">The request was made in a single Deep Research session and was not repeated. Section 2.1 now says so explicitly, and Section 4.3 states that</w:t>
      </w:r>
      <w:r>
        <w:t xml:space="preserve"> </w:t>
      </w:r>
      <w:r>
        <w:t xml:space="preserve">“run-to-run variation in the agent’s output was not tested, so nothing here establishes a failure rate”</w:t>
      </w:r>
      <w:r>
        <w:t xml:space="preserve">.</w:t>
      </w:r>
    </w:p>
    <w:p>
      <w:pPr>
        <w:pStyle w:val="Compact"/>
        <w:numPr>
          <w:ilvl w:val="0"/>
          <w:numId w:val="1012"/>
        </w:numPr>
      </w:pPr>
      <w:r>
        <w:t xml:space="preserve">Could the claims be reframed as an exploratory case study of one LLM-assisted hypothesis rather than an evaluation of</w:t>
      </w:r>
      <w:r>
        <w:t xml:space="preserve"> </w:t>
      </w:r>
      <w:r>
        <w:t xml:space="preserve">‘current AI models’</w:t>
      </w:r>
      <w:r>
        <w:t xml:space="preserve"> </w:t>
      </w:r>
      <w:r>
        <w:t xml:space="preserve">as a class?</w:t>
      </w:r>
    </w:p>
    <w:p>
      <w:pPr>
        <w:pStyle w:val="FirstParagraph"/>
      </w:pPr>
      <w:r>
        <w:t xml:space="preserve">Yes. Section 1 now ends:</w:t>
      </w:r>
      <w:r>
        <w:t xml:space="preserve"> </w:t>
      </w:r>
      <w:r>
        <w:t xml:space="preserve">“This work is an exploratory case study of one LLM-assisted hypothesis, not an evaluation of LLM alloy design as a class.”</w:t>
      </w:r>
      <w:r>
        <w:t xml:space="preserve"> </w:t>
      </w:r>
      <w:r>
        <w:t xml:space="preserve">Section 4.3 states that one composition from one session, processed by one route,</w:t>
      </w:r>
      <w:r>
        <w:t xml:space="preserve"> </w:t>
      </w:r>
      <w:r>
        <w:t xml:space="preserve">“is a case study of that composition … and still less an evaluation of AI-assisted alloy design as a practice”</w:t>
      </w:r>
      <w:r>
        <w:t xml:space="preserve">. References to</w:t>
      </w:r>
      <w:r>
        <w:t xml:space="preserve"> </w:t>
      </w:r>
      <w:r>
        <w:t xml:space="preserve">“current AI models”</w:t>
      </w:r>
      <w:r>
        <w:t xml:space="preserve"> </w:t>
      </w:r>
      <w:r>
        <w:t xml:space="preserve">as a class have been removed.</w:t>
      </w:r>
    </w:p>
    <w:p>
      <w:pPr>
        <w:pStyle w:val="Compact"/>
        <w:numPr>
          <w:ilvl w:val="0"/>
          <w:numId w:val="1013"/>
        </w:numPr>
      </w:pPr>
      <w:r>
        <w:t xml:space="preserve">Could the Discussion place the agent’s recommendation alongside transparent approaches reported in the recent literature …</w:t>
      </w:r>
    </w:p>
    <w:p>
      <w:pPr>
        <w:pStyle w:val="FirstParagraph"/>
      </w:pPr>
      <w:r>
        <w:t xml:space="preserve">Section 1 places LLM hypothesis generation beside data-driven screening and generative inverse design. Section 4.3 now treats screening against the processing window by equilibrium calculation as the step the workflow omitted, and adds a comparison with domain-trained language models, tool-using LLM agents and closed-loop studies (see 18c).</w:t>
      </w:r>
    </w:p>
    <w:bookmarkEnd w:id="14"/>
    <w:bookmarkStart w:id="15" w:name="X84710099a990452163d38cd880b7381a7eb145b"/>
    <w:p>
      <w:pPr>
        <w:pStyle w:val="Heading3"/>
      </w:pPr>
      <w:r>
        <w:t xml:space="preserve">4. Nominal versus measured chemistry, composition basis, and cost objective</w:t>
      </w:r>
    </w:p>
    <w:p>
      <w:pPr>
        <w:pStyle w:val="Compact"/>
        <w:numPr>
          <w:ilvl w:val="0"/>
          <w:numId w:val="1014"/>
        </w:numPr>
      </w:pPr>
      <w:r>
        <w:t xml:space="preserve">Could the authors report nominal and measured compositions in both wt.% and at.%, describe the analytical method and sampling location, and state whether the listed values represent one measurement or an average? …</w:t>
      </w:r>
    </w:p>
    <w:p>
      <w:pPr>
        <w:pStyle w:val="FirstParagraph"/>
      </w:pPr>
      <w:r>
        <w:t xml:space="preserve">Done. Table 1 now gives every composition in wt% with at% in parentheses. Its caption states the method (ICP-AES, carbon by ASTM E1019), the sampling (LLM alloy on the finished wire, Omori alloy as cast), that each value is a single analysis of one sample per heat, and that no analytical uncertainty is reported. The reviewer’s conversion is correct: the measured LLM alloy is 51.5Fe-29.8Mn-11.9Al-4.2Ni-2.0Si-0.45C at%. Section 2.1 identifies the alloy by this measured composition, and all calculations use it (Section 2.6).</w:t>
      </w:r>
    </w:p>
    <w:p>
      <w:pPr>
        <w:pStyle w:val="Compact"/>
        <w:numPr>
          <w:ilvl w:val="0"/>
          <w:numId w:val="1015"/>
        </w:numPr>
      </w:pPr>
      <w:r>
        <w:t xml:space="preserve">What plausible processing or analytical factors could explain the large Si shortfall, and how might the deviation affect phase stability? …</w:t>
      </w:r>
    </w:p>
    <w:p>
      <w:pPr>
        <w:pStyle w:val="FirstParagraph"/>
      </w:pPr>
      <w:r>
        <w:t xml:space="preserve">The shortfall is consistent with oxidation loss of silicon during vacuum induction melting (Section 2.1).</w:t>
      </w:r>
      <w:r>
        <w:t xml:space="preserve"> </w:t>
      </w:r>
      <w:r>
        <w:rPr>
          <w:b/>
          <w:bCs/>
        </w:rPr>
        <w:t xml:space="preserve">[OPEN — SC: any other known cause, e.g. the form in which Si was charged.]</w:t>
      </w:r>
      <w:r>
        <w:t xml:space="preserve"> </w:t>
      </w:r>
      <w:r>
        <w:t xml:space="preserve">Its effect on phase stability was evaluated by calculation (Section 3.4). With carbon removed, the two databases that carry silicon at its measured level both return single-phase α at 1200 °C (Table 3), so the silicon shortfall is not what closes the α field. Whether the intended silicon would have opened the field with carbon present cannot be answered from these calculations: the one database in which the nominal composition was evaluated with its silicon places it partly molten at 1200 °C, and Section 3.4 says so. Section 2.1 now states that chemical homogeneity within a heat was not checked.</w:t>
      </w:r>
    </w:p>
    <w:p>
      <w:pPr>
        <w:pStyle w:val="Compact"/>
        <w:numPr>
          <w:ilvl w:val="0"/>
          <w:numId w:val="1016"/>
        </w:numPr>
      </w:pPr>
      <w:r>
        <w:t xml:space="preserve">Could the authors quantify the raw-material cost reduction …</w:t>
      </w:r>
    </w:p>
    <w:p>
      <w:pPr>
        <w:pStyle w:val="FirstParagraph"/>
      </w:pPr>
      <w:r>
        <w:t xml:space="preserve">We make no cost claim. Lower cost was the objective of the request put to the agent, not an outcome we measured or claim; the Conclusions now say so explicitly (</w:t>
      </w:r>
      <w:r>
        <w:t xml:space="preserve">“cost was the objective of that request and is not evaluated here”</w:t>
      </w:r>
      <w:r>
        <w:t xml:space="preserve">). Because the alloy did not achieve the target property, we have not added a cost estimate, which would compare the price of a material that does not perform.</w:t>
      </w:r>
    </w:p>
    <w:p>
      <w:pPr>
        <w:pStyle w:val="Compact"/>
        <w:numPr>
          <w:ilvl w:val="0"/>
          <w:numId w:val="1017"/>
        </w:numPr>
      </w:pPr>
      <w:r>
        <w:t xml:space="preserve">How does the unexpected 0.06 wt.% P in the Omori alloy affect the validity of the benchmark …</w:t>
      </w:r>
    </w:p>
    <w:p>
      <w:pPr>
        <w:pStyle w:val="FirstParagraph"/>
      </w:pPr>
      <w:r>
        <w:t xml:space="preserve">Section 2.1 now discusses the phosphorus (0.06 wt%, ≈0.10 at%; source unknown, most plausibly a residual from the melting stock). Phosphorus can segregate to grain boundaries and embrittle them; its effect on the Omori alloy was not examined, but any such effect could only have degraded the reference behavior, and the Omori alloy still showed a stress-induced transformation. Phosphorus is included in the calculations in the one database that carries it (mc_fe, Section 2.6). The Omori alloy is now described as a reference composition processed in parallel (comment 7), so its validity as a reference rests on the transformation it showed under the common route, not on optimized properties.</w:t>
      </w:r>
    </w:p>
    <w:bookmarkEnd w:id="15"/>
    <w:bookmarkStart w:id="16" w:name="Xea355359da0b9b85e73697fb97fbc04995c5fa5"/>
    <w:p>
      <w:pPr>
        <w:pStyle w:val="Heading3"/>
      </w:pPr>
      <w:r>
        <w:t xml:space="preserve">5. Carbon causality and multicomponent phase stability</w:t>
      </w:r>
    </w:p>
    <w:p>
      <w:pPr>
        <w:pStyle w:val="Compact"/>
        <w:numPr>
          <w:ilvl w:val="0"/>
          <w:numId w:val="1018"/>
        </w:numPr>
      </w:pPr>
      <w:r>
        <w:t xml:space="preserve">Could the authors discuss phase stability using the measured chemistry and the best available thermodynamic and experimental literature? …</w:t>
      </w:r>
    </w:p>
    <w:p>
      <w:pPr>
        <w:pStyle w:val="FirstParagraph"/>
      </w:pPr>
      <w:r>
        <w:t xml:space="preserve">Done (Sections 2.6 and 3.4; Table 3). Equilibrium phase stability was calculated on the measured chemistry in three independently assessed open databases, two of which reproduce the Omori alloy’s single-phase α field without fitting. In all three, the LLM alloy is α + γ at 1200 °C and begins to melt (≈1240–1295 °C) before any single-phase α field opens.</w:t>
      </w:r>
    </w:p>
    <w:p>
      <w:pPr>
        <w:pStyle w:val="Compact"/>
        <w:numPr>
          <w:ilvl w:val="0"/>
          <w:numId w:val="1019"/>
        </w:numPr>
      </w:pPr>
      <w:r>
        <w:t xml:space="preserve">In the absence of a compositionally matched carbon-free control, could the authors present carbon as one plausible contributor rather than the demonstrated primary cause of failure?</w:t>
      </w:r>
    </w:p>
    <w:p>
      <w:pPr>
        <w:pStyle w:val="FirstParagraph"/>
      </w:pPr>
      <w:r>
        <w:t xml:space="preserve">Yes. The Abstract, Section 4.1 and the Conclusions now present carbon as</w:t>
      </w:r>
      <w:r>
        <w:t xml:space="preserve"> </w:t>
      </w:r>
      <w:r>
        <w:t xml:space="preserve">“one plausible contributor … not a demonstrated cause”</w:t>
      </w:r>
      <w:r>
        <w:t xml:space="preserve">. To inform that statement we added a calculated carbon-free control: the measured chemistry with carbon removed and every other element held fixed. It opens a single-phase α field at ≈1130–1160 °C in all three databases, whereas restoring the Omori alloy’s nickel or raising aluminum to the top of the proposed range does not open the field at 1200 °C, and silicon at its measured level does not obstruct it (Section 3.4). Section 4.1 states why this does not make carbon the demonstrated cause: the five alloying additions change together between the two heats, the calculation describes equilibrium rather than the quenched wire, and casting a carbon-free heat is the direct test (also named in Section 4.3).</w:t>
      </w:r>
    </w:p>
    <w:p>
      <w:pPr>
        <w:pStyle w:val="Compact"/>
        <w:numPr>
          <w:ilvl w:val="0"/>
          <w:numId w:val="1020"/>
        </w:numPr>
      </w:pPr>
      <w:r>
        <w:t xml:space="preserve">Were kappa carbides or other C-bearing phases considered …</w:t>
      </w:r>
    </w:p>
    <w:p>
      <w:pPr>
        <w:pStyle w:val="FirstParagraph"/>
      </w:pPr>
      <w:r>
        <w:t xml:space="preserve">Yes, in the calculations: κ-carbide is predicted only below ≈590 °C (≤2.4%), M₂₃C₆ only below ≈420 °C, and neither at or near 1200 °C (Section 3.4). Experimentally the question is unresolved, and the paper now says so: no carbide was detected by diffraction or SEM, which would not resolve a fine dispersion, and κ-carbide was not included in an alternative refinement model (Section 3.3).</w:t>
      </w:r>
    </w:p>
    <w:p>
      <w:pPr>
        <w:pStyle w:val="Compact"/>
        <w:numPr>
          <w:ilvl w:val="0"/>
          <w:numId w:val="1021"/>
        </w:numPr>
      </w:pPr>
      <w:r>
        <w:t xml:space="preserve">Could the authors discuss the measured alloy using multicomponent thermodynamics rather than relying mainly on general ferrite/austenite stabilizer rules from a steel textbook?</w:t>
      </w:r>
    </w:p>
    <w:p>
      <w:pPr>
        <w:pStyle w:val="FirstParagraph"/>
      </w:pPr>
      <w:r>
        <w:t xml:space="preserve">Done. Section 4.1 now states that element-by-element stabilizer rules cannot decide the balance in a six-element alloy, and bases the discussion on the multicomponent calculation of Section 3.4.</w:t>
      </w:r>
    </w:p>
    <w:bookmarkEnd w:id="16"/>
    <w:bookmarkStart w:id="17" w:name="X296c933e10f3925b3c5a1b098573d35d773d27e"/>
    <w:p>
      <w:pPr>
        <w:pStyle w:val="Heading3"/>
      </w:pPr>
      <w:r>
        <w:t xml:space="preserve">6. Processing history and missing heat-treatment details</w:t>
      </w:r>
    </w:p>
    <w:p>
      <w:pPr>
        <w:pStyle w:val="Compact"/>
        <w:numPr>
          <w:ilvl w:val="0"/>
          <w:numId w:val="1022"/>
        </w:numPr>
      </w:pPr>
      <w:r>
        <w:t xml:space="preserve">Could the authors provide a complete process-flow diagram and tabulated thermal-mechanical history for each tested condition …</w:t>
      </w:r>
    </w:p>
    <w:p>
      <w:pPr>
        <w:pStyle w:val="FirstParagraph"/>
      </w:pPr>
      <w:r>
        <w:t xml:space="preserve">Sections 2.1 and 2.2 give the route: vacuum induction melting (≈2 kg) to ø50 mm ingots, EDM to ø13 mm rods, homogenization at 1000 °C for 16 h in argon, hot rolling at 850 °C in multiple passes, and cold drawing with intermediate anneals at 1000 °C in argon, to 0.36 mm (LLM alloy) and 0.64 mm (Omori alloy) wire with ≈85% area reduction after the last process anneal. They also give every final heat treatment, including the cyclic schedules. Table S1 lists the condition of every tested specimen.</w:t>
      </w:r>
      <w:r>
        <w:t xml:space="preserve"> </w:t>
      </w:r>
      <w:r>
        <w:rPr>
          <w:b/>
          <w:bCs/>
        </w:rPr>
        <w:t xml:space="preserve">[OPEN — SC: hot-rolling reductions and pass schedule, redraw sequence, number and duration of intermediate anneals, cooling media. These go into a process table (Online Resource 2, new Table S3); entries not recorded will be stated as such.]</w:t>
      </w:r>
    </w:p>
    <w:p>
      <w:pPr>
        <w:pStyle w:val="Compact"/>
        <w:numPr>
          <w:ilvl w:val="0"/>
          <w:numId w:val="1023"/>
        </w:numPr>
      </w:pPr>
      <w:r>
        <w:t xml:space="preserve">What exactly was the 200 °C/3 h aging sequence in Fig. 2f …</w:t>
      </w:r>
    </w:p>
    <w:p>
      <w:pPr>
        <w:pStyle w:val="FirstParagraph"/>
      </w:pPr>
      <w:r>
        <w:t xml:space="preserve">Section 2.2 now defines it: the 1200 °C/1 min wire was aged at 200 °C for 3 hours.</w:t>
      </w:r>
      <w:r>
        <w:t xml:space="preserve"> </w:t>
      </w:r>
      <w:r>
        <w:rPr>
          <w:b/>
          <w:bCs/>
        </w:rPr>
        <w:t xml:space="preserve">[OPEN — SC: quench medium and temperature after the anneal, transfer time, aging atmosphere, cooling after aging.]</w:t>
      </w:r>
    </w:p>
    <w:p>
      <w:pPr>
        <w:pStyle w:val="Compact"/>
        <w:numPr>
          <w:ilvl w:val="0"/>
          <w:numId w:val="1024"/>
        </w:numPr>
      </w:pPr>
      <w:r>
        <w:t xml:space="preserve">For the strand furnace, what were hot-zone length, line speed, temperature calibration, wire tension, argon oxygen level, and method used to verify that a 0.36 mm wire experienced the stated dwell temperature?</w:t>
      </w:r>
    </w:p>
    <w:p>
      <w:pPr>
        <w:pStyle w:val="FirstParagraph"/>
      </w:pPr>
      <w:r>
        <w:t xml:space="preserve">Line speed was 4 ft min⁻¹ where the record states it. Section 2.2 now states that</w:t>
      </w:r>
      <w:r>
        <w:t xml:space="preserve"> </w:t>
      </w:r>
      <w:r>
        <w:t xml:space="preserve">“1 minute”</w:t>
      </w:r>
      <w:r>
        <w:t xml:space="preserve"> </w:t>
      </w:r>
      <w:r>
        <w:t xml:space="preserve">is the nominal dwell, and that the time at temperature set by speed and hot-zone length was not measured separately, nor was the cooling rate on leaving the furnace.</w:t>
      </w:r>
      <w:r>
        <w:t xml:space="preserve"> </w:t>
      </w:r>
      <w:r>
        <w:rPr>
          <w:b/>
          <w:bCs/>
        </w:rPr>
        <w:t xml:space="preserve">[OPEN — SC: hot-zone length, temperature calibration, wire tension, argon purity.]</w:t>
      </w:r>
    </w:p>
    <w:p>
      <w:pPr>
        <w:pStyle w:val="Compact"/>
        <w:numPr>
          <w:ilvl w:val="0"/>
          <w:numId w:val="1025"/>
        </w:numPr>
      </w:pPr>
      <w:r>
        <w:t xml:space="preserve">Could the authors describe the observed surface condition after treatment, especially at 1200 °C, and discuss oxidation, decarburization, or surface depletion as possible limitations if these were not measured directly?</w:t>
      </w:r>
    </w:p>
    <w:p>
      <w:pPr>
        <w:pStyle w:val="FirstParagraph"/>
      </w:pPr>
      <w:r>
        <w:t xml:space="preserve">Treatments above 1200 °C caused severe oxidation and are not reported. Section 2.2 now states that surface oxidation and decarburization during treatments at or below 1200 °C were not measured, and Section 4.2 lists them among the possible causes of the lower elongation above 1000 °C.</w:t>
      </w:r>
      <w:r>
        <w:t xml:space="preserve"> </w:t>
      </w:r>
      <w:r>
        <w:rPr>
          <w:b/>
          <w:bCs/>
        </w:rPr>
        <w:t xml:space="preserve">[OPEN — FC/SC: any observed surface condition at 1200 °C, if recorded.]</w:t>
      </w:r>
    </w:p>
    <w:bookmarkEnd w:id="17"/>
    <w:bookmarkStart w:id="18" w:name="Xffdfa2a8c1e6c80ebc01a2833efe58df6139895"/>
    <w:p>
      <w:pPr>
        <w:pStyle w:val="Heading3"/>
      </w:pPr>
      <w:r>
        <w:t xml:space="preserve">7. Validity of the comparison alloy as a positive functional control</w:t>
      </w:r>
    </w:p>
    <w:p>
      <w:pPr>
        <w:pStyle w:val="Compact"/>
        <w:numPr>
          <w:ilvl w:val="0"/>
          <w:numId w:val="1026"/>
        </w:numPr>
      </w:pPr>
      <w:r>
        <w:t xml:space="preserve">Why was the key comparison made after 1200 °C/1 min rather than after the full AGG plus optimized aging route reported in the literature?</w:t>
      </w:r>
    </w:p>
    <w:p>
      <w:pPr>
        <w:pStyle w:val="FirstParagraph"/>
      </w:pPr>
      <w:r>
        <w:t xml:space="preserve">The heating test was applied to both alloys in the same condition, 1200 °C for 1 minute, the condition used throughout the anneal series; Section 2.1 now states this, and that the Omori alloy was not compared after the abnormal-grain-growth and aging route by which it reaches its superelasticity. The cyclic treatment was applied to the LLM alloy (Section 2.2), but the treated rod tested on the 127 mm gauge fractured at 0.5–1.0% elongation, below the 3% loading of the heating protocol, and the treated wire was not given that test (Section 3.2). We agree that the comparison therefore does not set the LLM alloy against the Omori alloy at its best, and have changed the Omori alloy’s description accordingly (below).</w:t>
      </w:r>
    </w:p>
    <w:p>
      <w:pPr>
        <w:pStyle w:val="Compact"/>
        <w:numPr>
          <w:ilvl w:val="0"/>
          <w:numId w:val="1027"/>
        </w:numPr>
      </w:pPr>
      <w:r>
        <w:t xml:space="preserve">Do the authors have any existing cyclic data showing that the particular Omori-alloy condition used here exhibits superelastic unloading recovery? If not, could it be described more cautiously as a reference composition rather than as a validated positive control?</w:t>
      </w:r>
    </w:p>
    <w:p>
      <w:pPr>
        <w:pStyle w:val="FirstParagraph"/>
      </w:pPr>
      <w:r>
        <w:rPr>
          <w:b/>
          <w:bCs/>
        </w:rPr>
        <w:t xml:space="preserve">[OPEN — FC: confirm that no cyclic unloading record of the Omori alloy exists for this condition.]</w:t>
      </w:r>
      <w:r>
        <w:t xml:space="preserve"> </w:t>
      </w:r>
      <w:r>
        <w:t xml:space="preserve">We have adopted the reviewer’s description. Section 2.1 now defines the Omori alloy as</w:t>
      </w:r>
      <w:r>
        <w:t xml:space="preserve"> </w:t>
      </w:r>
      <w:r>
        <w:t xml:space="preserve">“a reference composition processed in parallel, not as an optimally treated superelastic control”</w:t>
      </w:r>
      <w:r>
        <w:t xml:space="preserve">; its transformation under the common route is used only as evidence that the route and tests can detect one. Section 3.2 describes its 0.5% recovery as a single observed heating-induced (shape-memory) recovery, and Section 3.3 states that its transformation rests on three observations, each limited on its own.</w:t>
      </w:r>
    </w:p>
    <w:p>
      <w:pPr>
        <w:pStyle w:val="Compact"/>
        <w:numPr>
          <w:ilvl w:val="0"/>
          <w:numId w:val="1028"/>
        </w:numPr>
      </w:pPr>
      <w:r>
        <w:t xml:space="preserve">What information is already available on the grain-size-to-wire-diameter ratio, grain morphology/orientation, aging condition, and phase constitution of the benchmark specimen used in Fig. 3? …</w:t>
      </w:r>
    </w:p>
    <w:p>
      <w:pPr>
        <w:pStyle w:val="FirstParagraph"/>
      </w:pPr>
      <w:r>
        <w:t xml:space="preserve">The specimen was 0.536 mm wire annealed at 1200 °C for 1 minute, with no aging (Table S1). No micrograph of the Omori alloy in this condition is available, so its grain-size-to-diameter ratio, morphology and orientation are known only from the coarse, spotty diffraction of a specimen in the same condition (Fig. 4c). That pattern shows α with γ and B2 reflections; its phase fractions could not be refined. Section 3.3 now states these limitations.</w:t>
      </w:r>
    </w:p>
    <w:p>
      <w:pPr>
        <w:pStyle w:val="Compact"/>
        <w:numPr>
          <w:ilvl w:val="0"/>
          <w:numId w:val="1029"/>
        </w:numPr>
      </w:pPr>
      <w:r>
        <w:t xml:space="preserve">If the present dataset does not establish a strong positive-control response, could the authors limit the comparison to a</w:t>
      </w:r>
      <w:r>
        <w:t xml:space="preserve"> </w:t>
      </w:r>
      <w:r>
        <w:t xml:space="preserve">‘reference composition processed in parallel’</w:t>
      </w:r>
      <w:r>
        <w:t xml:space="preserve"> </w:t>
      </w:r>
      <w:r>
        <w:t xml:space="preserve">…</w:t>
      </w:r>
    </w:p>
    <w:p>
      <w:pPr>
        <w:pStyle w:val="FirstParagraph"/>
      </w:pPr>
      <w:r>
        <w:t xml:space="preserve">Yes; see (b). The Abstract now describes it as</w:t>
      </w:r>
      <w:r>
        <w:t xml:space="preserve"> </w:t>
      </w:r>
      <w:r>
        <w:t xml:space="preserve">“an Fe-Mn-Al-Ni reference alloy of established superelastic composition, processed in parallel”</w:t>
      </w:r>
      <w:r>
        <w:t xml:space="preserve">, and the Conclusions as</w:t>
      </w:r>
      <w:r>
        <w:t xml:space="preserve"> </w:t>
      </w:r>
      <w:r>
        <w:t xml:space="preserve">“a reference composition processed in parallel”</w:t>
      </w:r>
      <w:r>
        <w:t xml:space="preserve">.</w:t>
      </w:r>
    </w:p>
    <w:bookmarkEnd w:id="18"/>
    <w:bookmarkStart w:id="19" w:name="X5f3c970d1278399b9a142353b58ea19188f92b0"/>
    <w:p>
      <w:pPr>
        <w:pStyle w:val="Heading3"/>
      </w:pPr>
      <w:r>
        <w:t xml:space="preserve">8. Transformation temperatures and phase state at the test temperature</w:t>
      </w:r>
    </w:p>
    <w:p>
      <w:pPr>
        <w:pStyle w:val="Compact"/>
        <w:numPr>
          <w:ilvl w:val="0"/>
          <w:numId w:val="1030"/>
        </w:numPr>
      </w:pPr>
      <w:r>
        <w:t xml:space="preserve">Are transformation-temperature or phase-state data for these exact conditions already available? …</w:t>
      </w:r>
    </w:p>
    <w:p>
      <w:pPr>
        <w:pStyle w:val="FirstParagraph"/>
      </w:pPr>
      <w:r>
        <w:t xml:space="preserve">No transformation-temperature data are available for these conditions, and the manuscript states this (Section 4.1). The conclusion that would depend on parent-phase stability at room temperature is presented as an open question with two readings (Section 4.1), and differential scanning calorimetry is named as the test that would discriminate between them (Sections 4.1 and 4.3).</w:t>
      </w:r>
    </w:p>
    <w:p>
      <w:pPr>
        <w:pStyle w:val="Compact"/>
        <w:numPr>
          <w:ilvl w:val="0"/>
          <w:numId w:val="1031"/>
        </w:numPr>
      </w:pPr>
      <w:r>
        <w:t xml:space="preserve">Without direct thermal-transformation data, how can the proposed phase-stability explanation be presented as a plausible interpretation rather than a demonstrated mechanism?</w:t>
      </w:r>
    </w:p>
    <w:p>
      <w:pPr>
        <w:pStyle w:val="FirstParagraph"/>
      </w:pPr>
      <w:r>
        <w:t xml:space="preserve">It is now presented that way. Section 4.1 is retitled</w:t>
      </w:r>
      <w:r>
        <w:t xml:space="preserve"> </w:t>
      </w:r>
      <w:r>
        <w:t xml:space="preserve">“Interpreting the absence of stress-induced phase transformation”</w:t>
      </w:r>
      <w:r>
        <w:t xml:space="preserve"> </w:t>
      </w:r>
      <w:r>
        <w:t xml:space="preserve">and concludes that attributing the null result to the missing single-phase parent state is</w:t>
      </w:r>
      <w:r>
        <w:t xml:space="preserve"> </w:t>
      </w:r>
      <w:r>
        <w:t xml:space="preserve">“an interpretation consistent with both readings, not a demonstrated mechanism”</w:t>
      </w:r>
      <w:r>
        <w:t xml:space="preserve">; the Conclusions say that this</w:t>
      </w:r>
      <w:r>
        <w:t xml:space="preserve"> </w:t>
      </w:r>
      <w:r>
        <w:t xml:space="preserve">“remains open”</w:t>
      </w:r>
      <w:r>
        <w:t xml:space="preserve">.</w:t>
      </w:r>
    </w:p>
    <w:p>
      <w:pPr>
        <w:pStyle w:val="Compact"/>
        <w:numPr>
          <w:ilvl w:val="0"/>
          <w:numId w:val="1032"/>
        </w:numPr>
      </w:pPr>
      <w:r>
        <w:t xml:space="preserve">Could the authors report the actual laboratory test temperature and thermal history immediately before testing …</w:t>
      </w:r>
    </w:p>
    <w:p>
      <w:pPr>
        <w:pStyle w:val="FirstParagraph"/>
      </w:pPr>
      <w:r>
        <w:rPr>
          <w:b/>
          <w:bCs/>
        </w:rPr>
        <w:t xml:space="preserve">[OPEN — SC/FC: laboratory temperature during testing, and the time and storage between heat treatment and test. If not recorded, Section 2.4 will say</w:t>
      </w:r>
      <w:r>
        <w:rPr>
          <w:b/>
          <w:bCs/>
        </w:rPr>
        <w:t xml:space="preserve"> </w:t>
      </w:r>
      <w:r>
        <w:rPr>
          <w:b/>
          <w:bCs/>
        </w:rPr>
        <w:t xml:space="preserve">“laboratory ambient, not recorded”</w:t>
      </w:r>
      <w:r>
        <w:rPr>
          <w:b/>
          <w:bCs/>
        </w:rPr>
        <w:t xml:space="preserve">.]</w:t>
      </w:r>
    </w:p>
    <w:bookmarkEnd w:id="19"/>
    <w:bookmarkStart w:id="20" w:name="X8e1113455fe76891a8d4e816327c781d322c064"/>
    <w:p>
      <w:pPr>
        <w:pStyle w:val="Heading3"/>
      </w:pPr>
      <w:r>
        <w:t xml:space="preserve">9. Mechanical-test methodology and strain metrology</w:t>
      </w:r>
    </w:p>
    <w:p>
      <w:pPr>
        <w:pStyle w:val="Compact"/>
        <w:numPr>
          <w:ilvl w:val="0"/>
          <w:numId w:val="1033"/>
        </w:numPr>
      </w:pPr>
      <w:r>
        <w:t xml:space="preserve">Was strain measured with an extensometer, video extensometry/DIC, grip separation, or crosshead displacement? How were machine compliance, grip seating, and slip corrected?</w:t>
      </w:r>
    </w:p>
    <w:p>
      <w:pPr>
        <w:pStyle w:val="FirstParagraph"/>
      </w:pPr>
      <w:r>
        <w:t xml:space="preserve">Strain is crosshead extension divided by the gauge length, without extensometry. No correction for load-train compliance or grip slip was applied, so the moduli in Table 2 are apparent (Section 2.4). The anneal series was tested on a 127 mm gauge (the original</w:t>
      </w:r>
      <w:r>
        <w:t xml:space="preserve"> </w:t>
      </w:r>
      <w:r>
        <w:t xml:space="preserve">“13 mm”</w:t>
      </w:r>
      <w:r>
        <w:t xml:space="preserve"> </w:t>
      </w:r>
      <w:r>
        <w:t xml:space="preserve">was a typographical error).</w:t>
      </w:r>
    </w:p>
    <w:p>
      <w:pPr>
        <w:pStyle w:val="Compact"/>
        <w:numPr>
          <w:ilvl w:val="0"/>
          <w:numId w:val="1034"/>
        </w:numPr>
      </w:pPr>
      <w:r>
        <w:t xml:space="preserve">Could the authors identify the test standard, frame, load cell, grips, preload, data rate, exact loading/unloading rates, unloading stress threshold, and environmental-temperature tolerance?</w:t>
      </w:r>
    </w:p>
    <w:p>
      <w:pPr>
        <w:pStyle w:val="FirstParagraph"/>
      </w:pPr>
      <w:r>
        <w:t xml:space="preserve">Section 2.4 gives the standard (broadly ASTM E8/E8M; the cyclic protocol is the purpose-designed method of our earlier work, Cai et al. 2024), the increment (nominally 1% strain per cycle) and the crosshead speed.</w:t>
      </w:r>
      <w:r>
        <w:t xml:space="preserve"> </w:t>
      </w:r>
      <w:r>
        <w:rPr>
          <w:b/>
          <w:bCs/>
        </w:rPr>
        <w:t xml:space="preserve">[OPEN — SC / E: drive records: Instron model, load cell, grips, preload, data rate, unloading endpoint (zero load or a set threshold), unloading rate, temperature tolerance.]</w:t>
      </w:r>
    </w:p>
    <w:p>
      <w:pPr>
        <w:pStyle w:val="Compact"/>
        <w:numPr>
          <w:ilvl w:val="0"/>
          <w:numId w:val="1035"/>
        </w:numPr>
      </w:pPr>
      <w:r>
        <w:t xml:space="preserve">How were E, 0.2% offset yield strength, UTS, elongation to fracture, recovered strain, residual strain, and hysteresis energy extracted from an incremental cyclic history? …</w:t>
      </w:r>
    </w:p>
    <w:p>
      <w:pPr>
        <w:pStyle w:val="FirstParagraph"/>
      </w:pPr>
      <w:r>
        <w:rPr>
          <w:b/>
          <w:bCs/>
        </w:rPr>
        <w:t xml:space="preserve">[OPEN — FC/SC: how each property was extracted (software or by hand; which loading segment E and σ₀.₂ were taken from).]</w:t>
      </w:r>
      <w:r>
        <w:t xml:space="preserve"> </w:t>
      </w:r>
      <w:r>
        <w:t xml:space="preserve">Recovered and residual strain are reported only for the heating test, where they are defined in Section 3.2; hysteresis energy is not reported, because no transformation hysteresis was observed.</w:t>
      </w:r>
    </w:p>
    <w:p>
      <w:pPr>
        <w:pStyle w:val="Compact"/>
        <w:numPr>
          <w:ilvl w:val="0"/>
          <w:numId w:val="1036"/>
        </w:numPr>
      </w:pPr>
      <w:r>
        <w:t xml:space="preserve">Were the Table 2 yield and tensile properties obtained from independent monotonic specimens or extracted from incrementally cycled specimens? …</w:t>
      </w:r>
    </w:p>
    <w:p>
      <w:pPr>
        <w:pStyle w:val="FirstParagraph"/>
      </w:pPr>
      <w:r>
        <w:t xml:space="preserve">From the incrementally cycled specimens.</w:t>
      </w:r>
      <w:r>
        <w:t xml:space="preserve"> </w:t>
      </w:r>
      <w:r>
        <w:rPr>
          <w:b/>
          <w:bCs/>
        </w:rPr>
        <w:t xml:space="preserve">[OPEN — FC: confirm, per Table S1.]</w:t>
      </w:r>
      <w:r>
        <w:t xml:space="preserve"> </w:t>
      </w:r>
      <w:r>
        <w:t xml:space="preserve">Section 2.4 now says so and identifies the values as protocol-dependent, and Section 4.2 compares them with monotonic data only with that qualification.</w:t>
      </w:r>
    </w:p>
    <w:bookmarkEnd w:id="20"/>
    <w:bookmarkStart w:id="21" w:name="Xa3457562f104a392ced19ce7b14919ecb8e6668"/>
    <w:p>
      <w:pPr>
        <w:pStyle w:val="Heading3"/>
      </w:pPr>
      <w:r>
        <w:t xml:space="preserve">10. Experimental scope, specimen count, and level of inference</w:t>
      </w:r>
    </w:p>
    <w:p>
      <w:pPr>
        <w:pStyle w:val="Compact"/>
        <w:numPr>
          <w:ilvl w:val="0"/>
          <w:numId w:val="1037"/>
        </w:numPr>
      </w:pPr>
      <w:r>
        <w:t xml:space="preserve">How many specimens and independent melts or wire locations were represented for each condition? …</w:t>
      </w:r>
    </w:p>
    <w:p>
      <w:pPr>
        <w:pStyle w:val="FirstParagraph"/>
      </w:pPr>
      <w:r>
        <w:t xml:space="preserve">Each alloy is a single heat. Table S1 (Online Resource 2) lists every specimen behind every figure, table and statement in the text, with its heat, form, measured diameter, condition, test, gauge length and count. Every condition of Table 2 is now the mean of three specimens. The aged condition and both heating tests are single specimens, and the prolonged and cyclic conditions one or two specimens each; the text says so (Sections 2.4 and 3.2). Each diffraction condition is one specimen, with one or two frames (Section 2.5).</w:t>
      </w:r>
    </w:p>
    <w:p>
      <w:pPr>
        <w:pStyle w:val="Compact"/>
        <w:numPr>
          <w:ilvl w:val="0"/>
          <w:numId w:val="1038"/>
        </w:numPr>
      </w:pPr>
      <w:r>
        <w:t xml:space="preserve">Where more than one specimen or acquisition was already obtained, could the individual values or observed range be reported? …</w:t>
      </w:r>
    </w:p>
    <w:p>
      <w:pPr>
        <w:pStyle w:val="FirstParagraph"/>
      </w:pPr>
      <w:r>
        <w:t xml:space="preserve">Table 2 reports mean ± one standard deviation over three specimens. Each panel of Fig. 2 shows one specimen, and the caption says so. Single observations are designated as such.</w:t>
      </w:r>
      <w:r>
        <w:t xml:space="preserve"> </w:t>
      </w:r>
      <w:r>
        <w:rPr>
          <w:b/>
          <w:bCs/>
        </w:rPr>
        <w:t xml:space="preserve">[OPEN — FC: the individual values of the three specimens per condition, if they are in your records (the source table gives mean ± SD only); if so, they go into Table S1.]</w:t>
      </w:r>
    </w:p>
    <w:p>
      <w:pPr>
        <w:pStyle w:val="Compact"/>
        <w:numPr>
          <w:ilvl w:val="0"/>
          <w:numId w:val="1039"/>
        </w:numPr>
      </w:pPr>
      <w:r>
        <w:t xml:space="preserve">Could the authors describe the work explicitly as exploratory screening, replace inferential expressions such as</w:t>
      </w:r>
      <w:r>
        <w:t xml:space="preserve"> </w:t>
      </w:r>
      <w:r>
        <w:t xml:space="preserve">‘threshold’</w:t>
      </w:r>
      <w:r>
        <w:t xml:space="preserve"> </w:t>
      </w:r>
      <w:r>
        <w:t xml:space="preserve">and</w:t>
      </w:r>
      <w:r>
        <w:t xml:space="preserve"> </w:t>
      </w:r>
      <w:r>
        <w:t xml:space="preserve">‘monotonically’</w:t>
      </w:r>
      <w:r>
        <w:t xml:space="preserve"> </w:t>
      </w:r>
      <w:r>
        <w:t xml:space="preserve">with descriptive wording …</w:t>
      </w:r>
    </w:p>
    <w:p>
      <w:pPr>
        <w:pStyle w:val="FirstParagraph"/>
      </w:pPr>
      <w:r>
        <w:t xml:space="preserve">Done. Section 1 describes the work as an exploratory case study, and Section 4.2 reads the anneal series</w:t>
      </w:r>
      <w:r>
        <w:t xml:space="preserve"> </w:t>
      </w:r>
      <w:r>
        <w:t xml:space="preserve">“as an exploratory survey rather than as a designed experiment”</w:t>
      </w:r>
      <w:r>
        <w:t xml:space="preserve">.</w:t>
      </w:r>
      <w:r>
        <w:t xml:space="preserve"> </w:t>
      </w:r>
      <w:r>
        <w:t xml:space="preserve">“Threshold”</w:t>
      </w:r>
      <w:r>
        <w:t xml:space="preserve"> </w:t>
      </w:r>
      <w:r>
        <w:t xml:space="preserve">and</w:t>
      </w:r>
      <w:r>
        <w:t xml:space="preserve"> </w:t>
      </w:r>
      <w:r>
        <w:t xml:space="preserve">“monotonically”</w:t>
      </w:r>
      <w:r>
        <w:t xml:space="preserve"> </w:t>
      </w:r>
      <w:r>
        <w:t xml:space="preserve">have been replaced, and claims of repeatability are confined to the replicated Table 2 values.</w:t>
      </w:r>
    </w:p>
    <w:bookmarkEnd w:id="21"/>
    <w:bookmarkStart w:id="22" w:name="X3e0c4bceb455b91ccd5c04ba84f45a0915adf15"/>
    <w:p>
      <w:pPr>
        <w:pStyle w:val="Heading3"/>
      </w:pPr>
      <w:r>
        <w:t xml:space="preserve">11. Interpretation of the loading-unloading-heating experiment</w:t>
      </w:r>
    </w:p>
    <w:p>
      <w:pPr>
        <w:pStyle w:val="Compact"/>
        <w:numPr>
          <w:ilvl w:val="0"/>
          <w:numId w:val="1040"/>
        </w:numPr>
      </w:pPr>
      <w:r>
        <w:t xml:space="preserve">Could the authors provide a step-by-step control protocol showing whether force, crosshead position, or strain was controlled during heating, and clarify what</w:t>
      </w:r>
      <w:r>
        <w:t xml:space="preserve"> </w:t>
      </w:r>
      <w:r>
        <w:t xml:space="preserve">‘continued to zero strain’</w:t>
      </w:r>
      <w:r>
        <w:t xml:space="preserve"> </w:t>
      </w:r>
      <w:r>
        <w:t xml:space="preserve">means?</w:t>
      </w:r>
    </w:p>
    <w:p>
      <w:pPr>
        <w:pStyle w:val="FirstParagraph"/>
      </w:pPr>
      <w:r>
        <w:t xml:space="preserve">Section 2.4 now gives the sequence: the specimen was loaded to 3% strain and unloaded to zero stress, and the crosshead was then returned to its starting position (nominal zero strain); at the same time the specimen was heated to ≈200 °C at ≈50 °C s⁻¹ and held for ≈10 s, and it was then reloaded. The Fig. 3 caption now identifies the three segments (unloading; return of the crosshead at zero stress during heating; reloading).</w:t>
      </w:r>
      <w:r>
        <w:t xml:space="preserve"> </w:t>
      </w:r>
      <w:r>
        <w:rPr>
          <w:b/>
          <w:bCs/>
        </w:rPr>
        <w:t xml:space="preserve">[OPEN — SC: control mode during heating (crosshead position held?), heating method, and how temperature was measured.]</w:t>
      </w:r>
    </w:p>
    <w:p>
      <w:pPr>
        <w:pStyle w:val="Compact"/>
        <w:numPr>
          <w:ilvl w:val="0"/>
          <w:numId w:val="1041"/>
        </w:numPr>
      </w:pPr>
      <w:r>
        <w:t xml:space="preserve">How was specimen temperature monitored, what heating/cooling sequence was used, and were fixture expansion or machine compliance corrections applied? …</w:t>
      </w:r>
    </w:p>
    <w:p>
      <w:pPr>
        <w:pStyle w:val="FirstParagraph"/>
      </w:pPr>
      <w:r>
        <w:rPr>
          <w:b/>
          <w:bCs/>
        </w:rPr>
        <w:t xml:space="preserve">[OPEN — SC: temperature monitoring, cooling before reloading, and whether fixture expansion was corrected.]</w:t>
      </w:r>
      <w:r>
        <w:t xml:space="preserve"> </w:t>
      </w:r>
      <w:r>
        <w:t xml:space="preserve">No compliance correction was applied (Section 2.4).</w:t>
      </w:r>
    </w:p>
    <w:p>
      <w:pPr>
        <w:pStyle w:val="Compact"/>
        <w:numPr>
          <w:ilvl w:val="0"/>
          <w:numId w:val="1042"/>
        </w:numPr>
      </w:pPr>
      <w:r>
        <w:t xml:space="preserve">If the recorded data permit, could the authors … define exactly how the reported 0.5% recovery was obtained?</w:t>
      </w:r>
    </w:p>
    <w:p>
      <w:pPr>
        <w:pStyle w:val="FirstParagraph"/>
      </w:pPr>
      <w:r>
        <w:t xml:space="preserve">The 0.5% is the difference between the residual strain after unloading from 3% (≈2.2%) and the strain at which stress rises on reloading after heating (≈1.7%), as defined in Section 3.2.</w:t>
      </w:r>
      <w:r>
        <w:t xml:space="preserve"> </w:t>
      </w:r>
      <w:r>
        <w:rPr>
          <w:b/>
          <w:bCs/>
        </w:rPr>
        <w:t xml:space="preserve">[OPEN — SC: whether a temperature–time record exists; if not, Section 2.4 will say so.]</w:t>
      </w:r>
    </w:p>
    <w:p>
      <w:pPr>
        <w:pStyle w:val="Compact"/>
        <w:numPr>
          <w:ilvl w:val="0"/>
          <w:numId w:val="1043"/>
        </w:numPr>
      </w:pPr>
      <w:r>
        <w:t xml:space="preserve">Was the recovery observed in more than one cycle or specimen? If not, please describe it as a single observed heating-induced recovery, use</w:t>
      </w:r>
      <w:r>
        <w:t xml:space="preserve"> </w:t>
      </w:r>
      <w:r>
        <w:t xml:space="preserve">‘shape-memory recovery’</w:t>
      </w:r>
      <w:r>
        <w:t xml:space="preserve"> </w:t>
      </w:r>
      <w:r>
        <w:t xml:space="preserve">rather than</w:t>
      </w:r>
      <w:r>
        <w:t xml:space="preserve"> </w:t>
      </w:r>
      <w:r>
        <w:t xml:space="preserve">‘superelasticity,’</w:t>
      </w:r>
      <w:r>
        <w:t xml:space="preserve"> </w:t>
      </w:r>
      <w:r>
        <w:t xml:space="preserve">…</w:t>
      </w:r>
    </w:p>
    <w:p>
      <w:pPr>
        <w:pStyle w:val="FirstParagraph"/>
      </w:pPr>
      <w:r>
        <w:t xml:space="preserve">It is a single specimen per alloy (Table S1). Section 3.2 now describes it as</w:t>
      </w:r>
      <w:r>
        <w:t xml:space="preserve"> </w:t>
      </w:r>
      <w:r>
        <w:t xml:space="preserve">“a single observation”</w:t>
      </w:r>
      <w:r>
        <w:t xml:space="preserve"> </w:t>
      </w:r>
      <w:r>
        <w:t xml:space="preserve">of</w:t>
      </w:r>
      <w:r>
        <w:t xml:space="preserve"> </w:t>
      </w:r>
      <w:r>
        <w:t xml:space="preserve">“heating-induced (shape-memory) recovery”</w:t>
      </w:r>
      <w:r>
        <w:t xml:space="preserve">.</w:t>
      </w:r>
    </w:p>
    <w:bookmarkEnd w:id="22"/>
    <w:bookmarkStart w:id="23" w:name="X33a91662ac47227b49a355eb3233df26a078c32"/>
    <w:p>
      <w:pPr>
        <w:pStyle w:val="Heading3"/>
      </w:pPr>
      <w:r>
        <w:t xml:space="preserve">12. Scope and limitations of the microstructural evidence</w:t>
      </w:r>
    </w:p>
    <w:p>
      <w:pPr>
        <w:pStyle w:val="Compact"/>
        <w:numPr>
          <w:ilvl w:val="0"/>
          <w:numId w:val="1044"/>
        </w:numPr>
      </w:pPr>
      <w:r>
        <w:t xml:space="preserve">Could the authors revise the microstructural discussion so that it clearly separates what is directly visible from phase and orientation inferences? …</w:t>
      </w:r>
    </w:p>
    <w:p>
      <w:pPr>
        <w:pStyle w:val="FirstParagraph"/>
      </w:pPr>
      <w:r>
        <w:t xml:space="preserve">Section 3.1 now separates what is visible (two constituents of different contrast, their morphology, coarsening with time) from the inferences drawn from them, no longer assigns either constituent as the matrix, and names EBSD as the measurement that would distinguish grains from transformation products in Fig. 1d. The orientation information already available comes from the synchrotron data: the orientation distribution of the Rietveld refinement shows {111} and {100} fiber components in γ and a {110} fiber component in α along the wire axis, the drawing textures of cold-drawn FCC and BCC metals (Section 3.3).</w:t>
      </w:r>
    </w:p>
    <w:p>
      <w:pPr>
        <w:pStyle w:val="Compact"/>
        <w:numPr>
          <w:ilvl w:val="0"/>
          <w:numId w:val="1045"/>
        </w:numPr>
      </w:pPr>
      <w:r>
        <w:t xml:space="preserve">How were the quoted grain-size ranges estimated, and how many fields were inspected? …</w:t>
      </w:r>
    </w:p>
    <w:p>
      <w:pPr>
        <w:pStyle w:val="FirstParagraph"/>
      </w:pPr>
      <w:r>
        <w:t xml:space="preserve">They are visual estimates from the micrographs, not stereological measurements, and Section 3.1 now says so.</w:t>
      </w:r>
      <w:r>
        <w:t xml:space="preserve"> </w:t>
      </w:r>
      <w:r>
        <w:rPr>
          <w:b/>
          <w:bCs/>
        </w:rPr>
        <w:t xml:space="preserve">[OPEN — FC: number of fields inspected.]</w:t>
      </w:r>
    </w:p>
    <w:p>
      <w:pPr>
        <w:pStyle w:val="Compact"/>
        <w:numPr>
          <w:ilvl w:val="0"/>
          <w:numId w:val="1046"/>
        </w:numPr>
      </w:pPr>
      <w:r>
        <w:t xml:space="preserve">Could the authors report the acquisition conditions and available point or map data underlying the EDS interpretation …</w:t>
      </w:r>
    </w:p>
    <w:p>
      <w:pPr>
        <w:pStyle w:val="FirstParagraph"/>
      </w:pPr>
      <w:r>
        <w:t xml:space="preserve">Section 3.1 now states that EDS was used qualitatively, cannot measure carbon, and does not on its own identify crystal structure; the α/γ assignment rests on EDS, diffraction and the calculated partitioning together (Sections 3.1, 3.3 and 3.4).</w:t>
      </w:r>
      <w:r>
        <w:t xml:space="preserve"> </w:t>
      </w:r>
      <w:r>
        <w:rPr>
          <w:b/>
          <w:bCs/>
        </w:rPr>
        <w:t xml:space="preserve">[OPEN — SC: SEM/EDS acquisition conditions (kV, detector), and whether point or map data exist.]</w:t>
      </w:r>
    </w:p>
    <w:p>
      <w:pPr>
        <w:pStyle w:val="Compact"/>
        <w:numPr>
          <w:ilvl w:val="0"/>
          <w:numId w:val="1047"/>
        </w:numPr>
      </w:pPr>
      <w:r>
        <w:t xml:space="preserve">Were micrographs of the AGG-treated wire acquired? …</w:t>
      </w:r>
    </w:p>
    <w:p>
      <w:pPr>
        <w:pStyle w:val="FirstParagraph"/>
      </w:pPr>
      <w:r>
        <w:t xml:space="preserve">Yes. Fig. 1d (new) shows the 0.36 mm wire after the cyclic treatment: it retains a fine, banded two-constituent structure, and no bamboo structure formed (Section 3.1). For the cyclically treated rod, the manuscript makes no claim about grain structure beyond its diffraction pattern (Section 3.3).</w:t>
      </w:r>
    </w:p>
    <w:bookmarkEnd w:id="23"/>
    <w:bookmarkStart w:id="24" w:name="X77afcd40d0ae4f310af2cca863d3b5669dc0bb2"/>
    <w:p>
      <w:pPr>
        <w:pStyle w:val="Heading3"/>
      </w:pPr>
      <w:r>
        <w:t xml:space="preserve">13. Synchrotron geometry and acquisition details</w:t>
      </w:r>
    </w:p>
    <w:p>
      <w:pPr>
        <w:pStyle w:val="Compact"/>
        <w:numPr>
          <w:ilvl w:val="0"/>
          <w:numId w:val="1048"/>
        </w:numPr>
      </w:pPr>
      <w:r>
        <w:t xml:space="preserve">Could the authors report detector, sample-detector distance, calibration procedure, exposure time, number of frames, specimen-to-beam geometry, background measurement, intensity normalization, and any specimen rotation/translation?</w:t>
      </w:r>
    </w:p>
    <w:p>
      <w:pPr>
        <w:pStyle w:val="FirstParagraph"/>
      </w:pPr>
      <w:r>
        <w:t xml:space="preserve">Section 2.5 now reports transmission geometry, a 4288 × 4288-pixel area detector with 100 µm pixels, a sample-to-detector distance of ≈1.83 m (refined to 1827.4 mm), beam center and distance fitted from the rings themselves with a CeO₂ calibrant frame, and one or two frames per specimen. The exposure normalization of Fig. 6b is stated in its caption.</w:t>
      </w:r>
      <w:r>
        <w:t xml:space="preserve"> </w:t>
      </w:r>
      <w:r>
        <w:rPr>
          <w:b/>
          <w:bCs/>
        </w:rPr>
        <w:t xml:space="preserve">[OPEN — JY: detector model, exposure time, background measurement, whether the specimen was rotated or translated.]</w:t>
      </w:r>
    </w:p>
    <w:p>
      <w:pPr>
        <w:pStyle w:val="Compact"/>
        <w:numPr>
          <w:ilvl w:val="0"/>
          <w:numId w:val="1049"/>
        </w:numPr>
      </w:pPr>
      <w:r>
        <w:t xml:space="preserve">How was overspill from the 0.5 mm beam relative to the 0.36 mm wire handled, and was the same illuminated volume sampled before and after deformation?</w:t>
      </w:r>
    </w:p>
    <w:p>
      <w:pPr>
        <w:pStyle w:val="FirstParagraph"/>
      </w:pPr>
      <w:r>
        <w:rPr>
          <w:b/>
          <w:bCs/>
        </w:rPr>
        <w:t xml:space="preserve">[OPEN — JY.]</w:t>
      </w:r>
      <w:r>
        <w:t xml:space="preserve"> </w:t>
      </w:r>
      <w:r>
        <w:t xml:space="preserve">Before and after deformation are separate specimens (Section 2.5, Fig. 4 caption), so the same volume was not sampled; Section 3.3 notes that the different grains illuminated in a separate specimen may contribute to the observed changes.</w:t>
      </w:r>
    </w:p>
    <w:p>
      <w:pPr>
        <w:pStyle w:val="Compact"/>
        <w:numPr>
          <w:ilvl w:val="0"/>
          <w:numId w:val="1050"/>
        </w:numPr>
      </w:pPr>
      <w:r>
        <w:t xml:space="preserve">Were the post-deformation specimens measured under zero load, and at what location relative to the gauge and fracture/plastic-localization region?</w:t>
      </w:r>
    </w:p>
    <w:p>
      <w:pPr>
        <w:pStyle w:val="FirstParagraph"/>
      </w:pPr>
      <w:r>
        <w:t xml:space="preserve">Under zero load, after unloading (Section 2.5).</w:t>
      </w:r>
      <w:r>
        <w:t xml:space="preserve"> </w:t>
      </w:r>
      <w:r>
        <w:rPr>
          <w:b/>
          <w:bCs/>
        </w:rPr>
        <w:t xml:space="preserve">[OPEN — JY/FC: location along the gauge relative to the fracture or neck.]</w:t>
      </w:r>
    </w:p>
    <w:p>
      <w:pPr>
        <w:pStyle w:val="Compact"/>
        <w:numPr>
          <w:ilvl w:val="0"/>
          <w:numId w:val="1051"/>
        </w:numPr>
      </w:pPr>
      <w:r>
        <w:t xml:space="preserve">How many specimens, positions, and diffraction acquisitions are represented for each condition? …</w:t>
      </w:r>
    </w:p>
    <w:p>
      <w:pPr>
        <w:pStyle w:val="FirstParagraph"/>
      </w:pPr>
      <w:r>
        <w:t xml:space="preserve">One specimen per alloy and condition, at one position, with one or two frames (Section 2.5, Fig. 4 caption; Table S1).</w:t>
      </w:r>
    </w:p>
    <w:bookmarkEnd w:id="24"/>
    <w:bookmarkStart w:id="25" w:name="X7143b19022229b0cfd5dae2cef55225870acdff"/>
    <w:p>
      <w:pPr>
        <w:pStyle w:val="Heading3"/>
      </w:pPr>
      <w:r>
        <w:t xml:space="preserve">14. Rietveld refinement, texture, and phase-fraction reliability</w:t>
      </w:r>
    </w:p>
    <w:p>
      <w:pPr>
        <w:pStyle w:val="Compact"/>
        <w:numPr>
          <w:ilvl w:val="0"/>
          <w:numId w:val="1052"/>
        </w:numPr>
      </w:pPr>
      <w:r>
        <w:t xml:space="preserve">Could the authors report the crystallographic models/space groups, lattice parameters, refined variables and constraints, background/peak functions, texture treatment, Rwp/Rp/chi-squared values, residual curves, and the numerical basis used for the reported phase fractions?</w:t>
      </w:r>
    </w:p>
    <w:p>
      <w:pPr>
        <w:pStyle w:val="FirstParagraph"/>
      </w:pPr>
      <w:r>
        <w:t xml:space="preserve">Section 2.5 now reports:</w:t>
      </w:r>
    </w:p>
    <w:p>
      <w:pPr>
        <w:pStyle w:val="Compact"/>
        <w:numPr>
          <w:ilvl w:val="0"/>
          <w:numId w:val="1053"/>
        </w:numPr>
      </w:pPr>
      <w:r>
        <w:t xml:space="preserve">the three-phase model and space groups, with lattice parameters fixed (values given);</w:t>
      </w:r>
    </w:p>
    <w:p>
      <w:pPr>
        <w:pStyle w:val="Compact"/>
        <w:numPr>
          <w:ilvl w:val="0"/>
          <w:numId w:val="1053"/>
        </w:numPr>
      </w:pPr>
      <w:r>
        <w:t xml:space="preserve">pseudo-Voigt profiles with a d-dependent Caglioti instrumental function and Popa anisotropic crystallite size;</w:t>
      </w:r>
    </w:p>
    <w:p>
      <w:pPr>
        <w:pStyle w:val="Compact"/>
        <w:numPr>
          <w:ilvl w:val="0"/>
          <w:numId w:val="1053"/>
        </w:numPr>
      </w:pPr>
      <w:r>
        <w:t xml:space="preserve">interpolated backgrounds;</w:t>
      </w:r>
    </w:p>
    <w:p>
      <w:pPr>
        <w:pStyle w:val="Compact"/>
        <w:numPr>
          <w:ilvl w:val="0"/>
          <w:numId w:val="1053"/>
        </w:numPr>
      </w:pPr>
      <w:r>
        <w:t xml:space="preserve">the refined variables of each final refinement (undeformed and deformed);</w:t>
      </w:r>
    </w:p>
    <w:p>
      <w:pPr>
        <w:pStyle w:val="Compact"/>
        <w:numPr>
          <w:ilvl w:val="0"/>
          <w:numId w:val="1053"/>
        </w:numPr>
      </w:pPr>
      <w:r>
        <w:t xml:space="preserve">E-WIMV texture at 2° and 5° ODF resolution.</w:t>
      </w:r>
    </w:p>
    <w:p>
      <w:pPr>
        <w:pStyle w:val="FirstParagraph"/>
      </w:pPr>
      <w:r>
        <w:t xml:space="preserve">R_wp and R_p of both refinements are given in Section 3.3 and the Fig. 5 caption, which now shows both. We do not quote MAUD’s goodness-of-fit value, which its weighting scheme does not make comparable to a conventional χ². The basis of the phase fractions is stated plainly: they were not varied in either final refinement; the undeformed pattern’s were held at the values of an earlier refinement stage, and the deformed pattern’s are not reported as a measurement. They therefore carry no least-squares uncertainty and are labelled semi-quantitative.</w:t>
      </w:r>
      <w:r>
        <w:t xml:space="preserve"> </w:t>
      </w:r>
      <w:r>
        <w:rPr>
          <w:b/>
          <w:bCs/>
        </w:rPr>
        <w:t xml:space="preserve">[OPEN — FC/SC: confirm the earlier refinement stage that produced 0.62/0.34/0.04. Residual (difference) curves: MAUD saved neither analysis with its spectra, so Song must re-export observed/calculated/difference curves from both sessions with the .esg data, for a figure in Online Resource 2.]</w:t>
      </w:r>
    </w:p>
    <w:p>
      <w:pPr>
        <w:pStyle w:val="Compact"/>
        <w:numPr>
          <w:ilvl w:val="0"/>
          <w:numId w:val="1054"/>
        </w:numPr>
      </w:pPr>
      <w:r>
        <w:t xml:space="preserve">Were the 72 azimuthal spectra refined simultaneously in MAUD to determine an orientation distribution, or were they independently fitted? How were the sector results combined into 62/34/4%?</w:t>
      </w:r>
    </w:p>
    <w:p>
      <w:pPr>
        <w:pStyle w:val="FirstParagraph"/>
      </w:pPr>
      <w:r>
        <w:t xml:space="preserve">Simultaneously, with the orientation distribution computed by E-WIMV (Section 2.5). The fractions are those of the whole multi-spectrum refinement, not an average of sector results.</w:t>
      </w:r>
    </w:p>
    <w:p>
      <w:pPr>
        <w:pStyle w:val="Compact"/>
        <w:numPr>
          <w:ilvl w:val="0"/>
          <w:numId w:val="1055"/>
        </w:numPr>
      </w:pPr>
      <w:r>
        <w:t xml:space="preserve">Given the spotty rings and texture, could the authors discuss the limits of powder averaging and … label the absolute phase fractions as semi-quantitative?</w:t>
      </w:r>
    </w:p>
    <w:p>
      <w:pPr>
        <w:pStyle w:val="FirstParagraph"/>
      </w:pPr>
      <w:r>
        <w:t xml:space="preserve">Done. Section 3.3 discusses grain statistics in both alloys: they limit the LLM-alloy refinement and prevent refinement of the Omori alloy altogether. The fractions are labelled semi-quantitative in the Abstract, Section 3.3, Section 4.1 and the Conclusions.</w:t>
      </w:r>
    </w:p>
    <w:p>
      <w:pPr>
        <w:pStyle w:val="Compact"/>
        <w:numPr>
          <w:ilvl w:val="0"/>
          <w:numId w:val="1056"/>
        </w:numPr>
      </w:pPr>
      <w:r>
        <w:t xml:space="preserve">Please reconcile the reported composition of approximately 62% FCC + 34% BCC + 4% DO3 on p. 8 with approximately 62% FCC + 37% BCC on p. 10.</w:t>
      </w:r>
    </w:p>
    <w:p>
      <w:pPr>
        <w:pStyle w:val="FirstParagraph"/>
      </w:pPr>
      <w:r>
        <w:t xml:space="preserve">Corrected. The refinement gives 62% γ, 34% α and 4% D0₃;</w:t>
      </w:r>
      <w:r>
        <w:t xml:space="preserve"> </w:t>
      </w:r>
      <w:r>
        <w:t xml:space="preserve">“37%”</w:t>
      </w:r>
      <w:r>
        <w:t xml:space="preserve"> </w:t>
      </w:r>
      <w:r>
        <w:t xml:space="preserve">was an error and has been removed (Section 4.1).</w:t>
      </w:r>
    </w:p>
    <w:bookmarkEnd w:id="25"/>
    <w:bookmarkStart w:id="26" w:name="X477be29646d8e1baf052dd4e8daedc285a3c8d8"/>
    <w:p>
      <w:pPr>
        <w:pStyle w:val="Heading3"/>
      </w:pPr>
      <w:r>
        <w:t xml:space="preserve">15. What the ex situ diffraction data can and cannot establish</w:t>
      </w:r>
    </w:p>
    <w:p>
      <w:pPr>
        <w:pStyle w:val="Compact"/>
        <w:numPr>
          <w:ilvl w:val="0"/>
          <w:numId w:val="1057"/>
        </w:numPr>
      </w:pPr>
      <w:r>
        <w:t xml:space="preserve">Could the authors recast the diffraction conclusion as evidence for the retained post-unloading state …</w:t>
      </w:r>
    </w:p>
    <w:p>
      <w:pPr>
        <w:pStyle w:val="FirstParagraph"/>
      </w:pPr>
      <w:r>
        <w:t xml:space="preserve">Yes. Section 3.3 now states that an ex-situ measurement after unloading cannot exclude a fully reversible transformation, that the diffraction pattern describes the state retained after unloading, and that it corroborates the mechanical evidence rather than the other way round.</w:t>
      </w:r>
    </w:p>
    <w:p>
      <w:pPr>
        <w:pStyle w:val="Compact"/>
        <w:numPr>
          <w:ilvl w:val="0"/>
          <w:numId w:val="1058"/>
        </w:numPr>
      </w:pPr>
      <w:r>
        <w:t xml:space="preserve">… could the authors make this limitation explicit throughout the Abstract, Discussion, and Conclusions and avoid excluding a transient reversible transformation?</w:t>
      </w:r>
    </w:p>
    <w:p>
      <w:pPr>
        <w:pStyle w:val="FirstParagraph"/>
      </w:pPr>
      <w:r>
        <w:t xml:space="preserve">Done. The Abstract now says</w:t>
      </w:r>
      <w:r>
        <w:t xml:space="preserve"> </w:t>
      </w:r>
      <w:r>
        <w:t xml:space="preserve">“ex-situ”</w:t>
      </w:r>
      <w:r>
        <w:t xml:space="preserve">, Section 3.3 and the Conclusions state that a transformation reversing on unloading is bounded by the unloading curves rather than by diffraction (and Section 3.3 that the heating test only narrows the remaining route), and an in-situ measurement is named as the direct test (Sections 3.3 and 4.3).</w:t>
      </w:r>
    </w:p>
    <w:p>
      <w:pPr>
        <w:pStyle w:val="Compact"/>
        <w:numPr>
          <w:ilvl w:val="0"/>
          <w:numId w:val="1059"/>
        </w:numPr>
      </w:pPr>
      <w:r>
        <w:t xml:space="preserve">Do the existing data support a quantitative line-broadening or texture comparison? If not, could dislocation multiplication and subgrain formation be presented as possible interpretations …</w:t>
      </w:r>
    </w:p>
    <w:p>
      <w:pPr>
        <w:pStyle w:val="FirstParagraph"/>
      </w:pPr>
      <w:r>
        <w:t xml:space="preserve">No line-profile analysis was made. The spots-to-arcs change is now described as</w:t>
      </w:r>
      <w:r>
        <w:t xml:space="preserve"> </w:t>
      </w:r>
      <w:r>
        <w:t xml:space="preserve">“consistent with”</w:t>
      </w:r>
      <w:r>
        <w:t xml:space="preserve"> </w:t>
      </w:r>
      <w:r>
        <w:t xml:space="preserve">dislocation activity; Sections 3.3 and 4.1 note that it was not quantified and that texture evolution and the different grains sampled may also contribute.</w:t>
      </w:r>
    </w:p>
    <w:p>
      <w:pPr>
        <w:pStyle w:val="Compact"/>
        <w:numPr>
          <w:ilvl w:val="0"/>
          <w:numId w:val="1060"/>
        </w:numPr>
      </w:pPr>
      <w:r>
        <w:t xml:space="preserve">Why were different maximum strains used for the two alloys, and were intensities normalized …</w:t>
      </w:r>
    </w:p>
    <w:p>
      <w:pPr>
        <w:pStyle w:val="FirstParagraph"/>
      </w:pPr>
      <w:r>
        <w:rPr>
          <w:b/>
          <w:bCs/>
        </w:rPr>
        <w:t xml:space="preserve">[OPEN — FC: why 10% for the LLM alloy and 8% for the Omori alloy.]</w:t>
      </w:r>
      <w:r>
        <w:t xml:space="preserve"> </w:t>
      </w:r>
      <w:r>
        <w:t xml:space="preserve">The Omori alloy’s post-deformation spectrum is divided by 1.625, the exposure ratio recorded with the data, and the Fig. 6 caption now says so; the other spectra are as measured. The before/after comparisons are qualitative, and the text treats them so.</w:t>
      </w:r>
    </w:p>
    <w:bookmarkEnd w:id="26"/>
    <w:bookmarkStart w:id="27" w:name="X203d9001e044e8fcd753bb49d446334f4975888"/>
    <w:p>
      <w:pPr>
        <w:pStyle w:val="Heading3"/>
      </w:pPr>
      <w:r>
        <w:t xml:space="preserve">16. Identification and role of B2, DO3, and possible carbide precipitates</w:t>
      </w:r>
    </w:p>
    <w:p>
      <w:pPr>
        <w:pStyle w:val="Compact"/>
        <w:numPr>
          <w:ilvl w:val="0"/>
          <w:numId w:val="1061"/>
        </w:numPr>
      </w:pPr>
      <w:r>
        <w:t xml:space="preserve">What direct evidence in the existing dataset supports the identification and spatial scale of B2, DO3, or carbide-related features? …</w:t>
      </w:r>
    </w:p>
    <w:p>
      <w:pPr>
        <w:pStyle w:val="FirstParagraph"/>
      </w:pPr>
      <w:r>
        <w:t xml:space="preserve">The identification rests on superlattice intensities, now quantified in Section 3.3. The D0₃-only {111} reflection is present in the LLM alloy at a signal-to-noise ratio of 16–27 across four patterns and absent from the Omori alloy. The intensity at the B2-allowed {200} position in the LLM alloy (0.50–1.06% of maximum) is at most about 0.3 of the Omori alloy’s (3.83–7.17%) and is accounted for by D0₃. Spatial scale is not established; Section 3.3 states that transmission electron microscopy or atom-probe tomography would be required, and that a finer or more dilute B2 dispersion cannot be excluded.</w:t>
      </w:r>
    </w:p>
    <w:p>
      <w:pPr>
        <w:pStyle w:val="Compact"/>
        <w:numPr>
          <w:ilvl w:val="0"/>
          <w:numId w:val="1062"/>
        </w:numPr>
      </w:pPr>
      <w:r>
        <w:t xml:space="preserve">How unique are the superlattice reflections assigned to B2 and DO3, and were possible overlaps with the FCC/BCC matrix or carbide reflections tested in alternative refinement models?</w:t>
      </w:r>
    </w:p>
    <w:p>
      <w:pPr>
        <w:pStyle w:val="FirstParagraph"/>
      </w:pPr>
      <w:r>
        <w:t xml:space="preserve">The {200} position is shared by B2 and D0₃; the {111} reflection is D0₃-only, which is why it is the discriminating measurement (Section 3.3). κ-carbide was not tested in an alternative refinement model, and Section 3.3 now says that its presence at a small fraction is therefore not excluded.</w:t>
      </w:r>
    </w:p>
    <w:p>
      <w:pPr>
        <w:pStyle w:val="Compact"/>
        <w:numPr>
          <w:ilvl w:val="0"/>
          <w:numId w:val="1063"/>
        </w:numPr>
      </w:pPr>
      <w:r>
        <w:t xml:space="preserve">Is the DO3 phase a coarse constituent, an intragranular precipitate, or an ordering state within the BCC matrix? …</w:t>
      </w:r>
    </w:p>
    <w:p>
      <w:pPr>
        <w:pStyle w:val="FirstParagraph"/>
      </w:pPr>
      <w:r>
        <w:t xml:space="preserve">This cannot be decided from the present data. Sections 3.3 and 4.1 now say so and refer to an ordered D0₃ phase</w:t>
      </w:r>
      <w:r>
        <w:t xml:space="preserve"> </w:t>
      </w:r>
      <w:r>
        <w:t xml:space="preserve">“of unknown spatial scale”</w:t>
      </w:r>
      <w:r>
        <w:t xml:space="preserve">.</w:t>
      </w:r>
    </w:p>
    <w:p>
      <w:pPr>
        <w:pStyle w:val="Compact"/>
        <w:numPr>
          <w:ilvl w:val="0"/>
          <w:numId w:val="1064"/>
        </w:numPr>
      </w:pPr>
      <w:r>
        <w:t xml:space="preserve">Without direct precipitate evidence, could the authors avoid claiming that the matrix</w:t>
      </w:r>
      <w:r>
        <w:t xml:space="preserve"> </w:t>
      </w:r>
      <w:r>
        <w:t xml:space="preserve">‘lacks sufficient resistance to plastic flow’</w:t>
      </w:r>
      <w:r>
        <w:t xml:space="preserve"> </w:t>
      </w:r>
      <w:r>
        <w:t xml:space="preserve">specifically because B2 is absent?</w:t>
      </w:r>
    </w:p>
    <w:p>
      <w:pPr>
        <w:pStyle w:val="FirstParagraph"/>
      </w:pPr>
      <w:r>
        <w:t xml:space="preserve">Done. That sentence has been removed. Section 4.1 now states only that there is no evidence that the D0₃ raises the resistance to plastic flow in the way B2 does in the Omori alloy, and places B2 among several factors that bear on reversibility.</w:t>
      </w:r>
    </w:p>
    <w:bookmarkEnd w:id="27"/>
    <w:bookmarkStart w:id="28" w:name="Xcf53bb19afbc65d613ba527567c31c0ee43fc59"/>
    <w:p>
      <w:pPr>
        <w:pStyle w:val="Heading3"/>
      </w:pPr>
      <w:r>
        <w:t xml:space="preserve">17. Overinterpretation of phase stability, recrystallization, and grain growth</w:t>
      </w:r>
    </w:p>
    <w:p>
      <w:pPr>
        <w:pStyle w:val="Compact"/>
        <w:numPr>
          <w:ilvl w:val="0"/>
          <w:numId w:val="1065"/>
        </w:numPr>
      </w:pPr>
      <w:r>
        <w:t xml:space="preserve">Could the authors replace</w:t>
      </w:r>
      <w:r>
        <w:t xml:space="preserve"> </w:t>
      </w:r>
      <w:r>
        <w:t xml:space="preserve">‘stable state at 1200 °C’</w:t>
      </w:r>
      <w:r>
        <w:t xml:space="preserve"> </w:t>
      </w:r>
      <w:r>
        <w:t xml:space="preserve">with the narrower statement</w:t>
      </w:r>
      <w:r>
        <w:t xml:space="preserve"> </w:t>
      </w:r>
      <w:r>
        <w:t xml:space="preserve">‘retained at room temperature after the stated 1200 °C treatment and cooling’</w:t>
      </w:r>
      <w:r>
        <w:t xml:space="preserve"> </w:t>
      </w:r>
      <w:r>
        <w:t xml:space="preserve">…</w:t>
      </w:r>
    </w:p>
    <w:p>
      <w:pPr>
        <w:pStyle w:val="FirstParagraph"/>
      </w:pPr>
      <w:r>
        <w:t xml:space="preserve">Done. Section 3.3 now says that the dual-phase constitution</w:t>
      </w:r>
      <w:r>
        <w:t xml:space="preserve"> </w:t>
      </w:r>
      <w:r>
        <w:t xml:space="preserve">“is therefore retained at room temperature after this treatment …; whether it is also the constitution at 1200 °C cannot be established from room-temperature diffraction”</w:t>
      </w:r>
      <w:r>
        <w:t xml:space="preserve">. Section 4.1 discusses whether the γ formed at temperature or on cooling, and leaves this open.</w:t>
      </w:r>
    </w:p>
    <w:p>
      <w:pPr>
        <w:pStyle w:val="Compact"/>
        <w:numPr>
          <w:ilvl w:val="0"/>
          <w:numId w:val="1066"/>
        </w:numPr>
      </w:pPr>
      <w:r>
        <w:t xml:space="preserve">Could the recovery, recrystallization, and grain-growth regimes be presented as interpretations of the mechanical trends …</w:t>
      </w:r>
    </w:p>
    <w:p>
      <w:pPr>
        <w:pStyle w:val="FirstParagraph"/>
      </w:pPr>
      <w:r>
        <w:t xml:space="preserve">Done. Section 4.2 now states that microstructures were examined only after the 1200 °C anneals, so the regimes are</w:t>
      </w:r>
      <w:r>
        <w:t xml:space="preserve"> </w:t>
      </w:r>
      <w:r>
        <w:t xml:space="preserve">“interpretations of the mechanical trends rather than observed microstructural stages”</w:t>
      </w:r>
      <w:r>
        <w:t xml:space="preserve">, and each statement is worded as an interpretation.</w:t>
      </w:r>
    </w:p>
    <w:p>
      <w:pPr>
        <w:pStyle w:val="Compact"/>
        <w:numPr>
          <w:ilvl w:val="0"/>
          <w:numId w:val="1067"/>
        </w:numPr>
      </w:pPr>
      <w:r>
        <w:t xml:space="preserve">Could the Discussion consider plausible alternatives for the decrease in elongation above 1000 °C …</w:t>
      </w:r>
    </w:p>
    <w:p>
      <w:pPr>
        <w:pStyle w:val="FirstParagraph"/>
      </w:pPr>
      <w:r>
        <w:t xml:space="preserve">Done. Section 4.2 now notes that the decrease (33.0 → 25.6%) exceeds the specimen scatter (one standard deviation ≤1.2%), and that its cause is not identified: coarsening, surface oxidation or decarburization, quench effects and changes in phase fractions are all possible, and none was measured across the series.</w:t>
      </w:r>
    </w:p>
    <w:p>
      <w:pPr>
        <w:pStyle w:val="Compact"/>
        <w:numPr>
          <w:ilvl w:val="0"/>
          <w:numId w:val="1068"/>
        </w:numPr>
      </w:pPr>
      <w:r>
        <w:t xml:space="preserve">Please revise the single-phase strength-ductility statement and account explicitly for evolving multiphase fractions, ordering, texture, and prior cold work.</w:t>
      </w:r>
    </w:p>
    <w:p>
      <w:pPr>
        <w:pStyle w:val="FirstParagraph"/>
      </w:pPr>
      <w:r>
        <w:t xml:space="preserve">Done. The phrase has been removed. Section 4.2 now states that in this dual-phase wire the phase fractions, ordering and texture may also change across the series and the effect of prior cold work is not separated, so grain size need not be the only variable.</w:t>
      </w:r>
    </w:p>
    <w:bookmarkEnd w:id="28"/>
    <w:bookmarkStart w:id="29" w:name="X174677db47369b33796a325ff4c6ddb420ec450"/>
    <w:p>
      <w:pPr>
        <w:pStyle w:val="Heading3"/>
      </w:pPr>
      <w:r>
        <w:t xml:space="preserve">18. Scope of the Discussion and Conclusions on AI-assisted alloy design</w:t>
      </w:r>
    </w:p>
    <w:p>
      <w:pPr>
        <w:pStyle w:val="Compact"/>
        <w:numPr>
          <w:ilvl w:val="0"/>
          <w:numId w:val="1069"/>
        </w:numPr>
      </w:pPr>
      <w:r>
        <w:t xml:space="preserve">Could the authors rewrite Section 4.3 around the specific failure chain observed here …</w:t>
      </w:r>
    </w:p>
    <w:p>
      <w:pPr>
        <w:pStyle w:val="FirstParagraph"/>
      </w:pPr>
      <w:r>
        <w:t xml:space="preserve">Done. Section 4.3 now opens by stating the workflow as it was run: the request, the six ranked families, the choice of one, a composition outside its range, and no phase-stability calculation between report and melt. The next paragraph follows the failure chain link by link.</w:t>
      </w:r>
    </w:p>
    <w:p>
      <w:pPr>
        <w:pStyle w:val="Compact"/>
        <w:numPr>
          <w:ilvl w:val="0"/>
          <w:numId w:val="1070"/>
        </w:numPr>
      </w:pPr>
      <w:r>
        <w:t xml:space="preserve">Which failure can actually be attributed to the language model, and which may instead arise from synthesis deviation or non-optimized processing? …</w:t>
      </w:r>
    </w:p>
    <w:p>
      <w:pPr>
        <w:pStyle w:val="FirstParagraph"/>
      </w:pPr>
      <w:r>
        <w:t xml:space="preserve">The same paragraph answers this directly, using the calculations of Section 3.4:</w:t>
      </w:r>
    </w:p>
    <w:p>
      <w:pPr>
        <w:pStyle w:val="Compact"/>
        <w:numPr>
          <w:ilvl w:val="0"/>
          <w:numId w:val="1071"/>
        </w:numPr>
      </w:pPr>
      <w:r>
        <w:rPr>
          <w:b/>
          <w:bCs/>
        </w:rPr>
        <w:t xml:space="preserve">The proposal.</w:t>
      </w:r>
      <w:r>
        <w:t xml:space="preserve"> </w:t>
      </w:r>
      <w:r>
        <w:t xml:space="preserve">The carbon-bearing compositions sampled inside the agent’s own range cannot, on calculation, be solution-treated to single-phase α at 1200 °C, so the obstacle is not peculiar to the composition melted. This link is attributable to the model.</w:t>
      </w:r>
    </w:p>
    <w:p>
      <w:pPr>
        <w:pStyle w:val="Compact"/>
        <w:numPr>
          <w:ilvl w:val="0"/>
          <w:numId w:val="1071"/>
        </w:numPr>
      </w:pPr>
      <w:r>
        <w:rPr>
          <w:b/>
          <w:bCs/>
        </w:rPr>
        <w:t xml:space="preserve">The human down-selection.</w:t>
      </w:r>
      <w:r>
        <w:t xml:space="preserve"> </w:t>
      </w:r>
      <w:r>
        <w:t xml:space="preserve">The melt lies outside the range in Mn and Al. That deviation moves the alloy in the observed direction but, on calculation, does not decide the outcome.</w:t>
      </w:r>
    </w:p>
    <w:p>
      <w:pPr>
        <w:pStyle w:val="Compact"/>
        <w:numPr>
          <w:ilvl w:val="0"/>
          <w:numId w:val="1071"/>
        </w:numPr>
      </w:pPr>
      <w:r>
        <w:rPr>
          <w:b/>
          <w:bCs/>
        </w:rPr>
        <w:t xml:space="preserve">Synthesis.</w:t>
      </w:r>
      <w:r>
        <w:t xml:space="preserve"> </w:t>
      </w:r>
      <w:r>
        <w:t xml:space="preserve">Half the silicon was lost, but at its measured level silicon does not obstruct the α field once carbon is removed; whether the intended silicon would have opened it with carbon present is not answered by the calculations.</w:t>
      </w:r>
    </w:p>
    <w:p>
      <w:pPr>
        <w:pStyle w:val="Compact"/>
        <w:numPr>
          <w:ilvl w:val="0"/>
          <w:numId w:val="1071"/>
        </w:numPr>
      </w:pPr>
      <w:r>
        <w:rPr>
          <w:b/>
          <w:bCs/>
        </w:rPr>
        <w:t xml:space="preserve">Processing.</w:t>
      </w:r>
      <w:r>
        <w:t xml:space="preserve"> </w:t>
      </w:r>
      <w:r>
        <w:t xml:space="preserve">The route was not optimized for this composition, and this link remains open.</w:t>
      </w:r>
    </w:p>
    <w:p>
      <w:pPr>
        <w:pStyle w:val="FirstParagraph"/>
      </w:pPr>
      <w:r>
        <w:t xml:space="preserve">The omitted screening calculation is attributed to the workflow, not to the model, whose report recommended it.</w:t>
      </w:r>
    </w:p>
    <w:p>
      <w:pPr>
        <w:pStyle w:val="Compact"/>
        <w:numPr>
          <w:ilvl w:val="0"/>
          <w:numId w:val="1072"/>
        </w:numPr>
      </w:pPr>
      <w:r>
        <w:t xml:space="preserve">Could the authors compare their workflow with recent studies that use explicit datasets, specialized language models, CALPHAD/physics constraints, quantitative benchmarks, and/or closed-loop experimental validation?</w:t>
      </w:r>
    </w:p>
    <w:p>
      <w:pPr>
        <w:pStyle w:val="FirstParagraph"/>
      </w:pPr>
      <w:r>
        <w:t xml:space="preserve">Done. A new paragraph in Section 4.3 compares the workflow with four kinds of approach:</w:t>
      </w:r>
    </w:p>
    <w:p>
      <w:pPr>
        <w:pStyle w:val="Compact"/>
        <w:numPr>
          <w:ilvl w:val="0"/>
          <w:numId w:val="1073"/>
        </w:numPr>
      </w:pPr>
      <w:r>
        <w:t xml:space="preserve">domain-trained language models with explicit datasets and quantitative test errors (AlloyBERT; AlloyGPT, trained on CALPHAD-generated records);</w:t>
      </w:r>
    </w:p>
    <w:p>
      <w:pPr>
        <w:pStyle w:val="Compact"/>
        <w:numPr>
          <w:ilvl w:val="0"/>
          <w:numId w:val="1073"/>
        </w:numPr>
      </w:pPr>
      <w:r>
        <w:t xml:space="preserve">LLM agents that call physics tools (AtomAgents, atomistic simulation; an agentic system using Thermo-Calc calculations);</w:t>
      </w:r>
    </w:p>
    <w:p>
      <w:pPr>
        <w:pStyle w:val="Compact"/>
        <w:numPr>
          <w:ilvl w:val="0"/>
          <w:numId w:val="1073"/>
        </w:numPr>
      </w:pPr>
      <w:r>
        <w:t xml:space="preserve">adaptive and active-learning loops closed on experiment (Xue et al., NiTi-based SMAs, 36 compositions over nine loops; Rao et al., high-entropy Invar alloys);</w:t>
      </w:r>
    </w:p>
    <w:p>
      <w:pPr>
        <w:pStyle w:val="Compact"/>
        <w:numPr>
          <w:ilvl w:val="0"/>
          <w:numId w:val="1073"/>
        </w:numPr>
      </w:pPr>
      <w:r>
        <w:t xml:space="preserve">data-driven SMA selection confirmed experimentally (the AIMS framework).</w:t>
      </w:r>
    </w:p>
    <w:p>
      <w:pPr>
        <w:pStyle w:val="FirstParagraph"/>
      </w:pPr>
      <w:r>
        <w:t xml:space="preserve">In those workflows a calculation or an experiment stands between the proposal and the decision to pursue it. The single-shot, tool-free workflow tested here had no such step. Six references have been added.</w:t>
      </w:r>
    </w:p>
    <w:p>
      <w:pPr>
        <w:pStyle w:val="Compact"/>
        <w:numPr>
          <w:ilvl w:val="0"/>
          <w:numId w:val="1074"/>
        </w:numPr>
      </w:pPr>
      <w:r>
        <w:t xml:space="preserve">Please formulate conclusions that remain valid if another processing route were later found to produce superelasticity in this same nominal composition.</w:t>
      </w:r>
    </w:p>
    <w:p>
      <w:pPr>
        <w:pStyle w:val="FirstParagraph"/>
      </w:pPr>
      <w:r>
        <w:t xml:space="preserve">Done. The Conclusions state that the experimental conclusions</w:t>
      </w:r>
      <w:r>
        <w:t xml:space="preserve"> </w:t>
      </w:r>
      <w:r>
        <w:t xml:space="preserve">“are confined to the conditions reported and remain valid even if another processing route is later found to produce superelasticity in this composition”</w:t>
      </w:r>
      <w:r>
        <w:t xml:space="preserve">, and Section 4.1 that</w:t>
      </w:r>
      <w:r>
        <w:t xml:space="preserve"> </w:t>
      </w:r>
      <w:r>
        <w:t xml:space="preserve">“We do not claim that the composition is incapable of superelasticity under any processing”</w:t>
      </w:r>
      <w:r>
        <w:t xml:space="preserve">. The calculated conclusion, the absence of a single-phase α field in the solid state, is a property of the composition rather than of a route, and is presented as calculated.</w:t>
      </w:r>
    </w:p>
    <w:p>
      <w:pPr>
        <w:pStyle w:val="BlockText"/>
      </w:pPr>
      <w:r>
        <w:t xml:space="preserve">Final Recommendation to the Authors …</w:t>
      </w:r>
    </w:p>
    <w:p>
      <w:pPr>
        <w:pStyle w:val="FirstParagraph"/>
      </w:pPr>
      <w:r>
        <w:t xml:space="preserve">We thank the reviewer again. We have made the AI workflow auditable as far as the surviving record allows and stated where it does not; clarified the experimental and processing records; defined the sampling; and separated direct observations from calculated results, interpretations and open questions.</w:t>
      </w:r>
    </w:p>
    <w:p>
      <w:pPr>
        <w:pStyle w:val="BodyText"/>
      </w:pPr>
      <w:r>
        <w:t xml:space="preserve">Sincerely,</w:t>
      </w:r>
    </w:p>
    <w:p>
      <w:pPr>
        <w:pStyle w:val="BodyText"/>
      </w:pPr>
      <w:r>
        <w:t xml:space="preserve">Frank Y. Cai, on behalf of all authors</w:t>
      </w:r>
      <w:r>
        <w:t xml:space="preserve"> </w:t>
      </w:r>
      <w:r>
        <w:t xml:space="preserve">School of Engineering Technologies, Purdue University</w:t>
      </w:r>
      <w:r>
        <w:t xml:space="preserve"> </w:t>
      </w:r>
      <w:r>
        <w:t xml:space="preserve">cai485@purdue.edu</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1">
    <w:abstractNumId w:val="991"/>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1"/>
  </w:num>
  <w:num w:numId="107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Editor and Reviewers — JMEP-26-07-50730.R1</dc:title>
  <dc:creator/>
  <cp:keywords/>
  <dcterms:created xsi:type="dcterms:W3CDTF">2026-10-15T05:57:55Z</dcterms:created>
  <dcterms:modified xsi:type="dcterms:W3CDTF">2026-10-15T05:57:55Z</dcterms:modified>
</cp:coreProperties>
</file>

<file path=docProps/custom.xml><?xml version="1.0" encoding="utf-8"?>
<Properties xmlns="http://schemas.openxmlformats.org/officeDocument/2006/custom-properties" xmlns:vt="http://schemas.openxmlformats.org/officeDocument/2006/docPropsVTypes"/>
</file>