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jpg" ContentType="image/jpeg"/>
  <Override PartName="/word/media/rId22.jpg" ContentType="image/jpeg"/>
  <Override PartName="/word/media/rId25.jpg" ContentType="image/jpeg"/>
  <Override PartName="/word/media/rId29.jpg" ContentType="image/jpeg"/>
  <Override PartName="/word/media/rId32.jpg" ContentType="image/jpeg"/>
  <Override PartName="/word/media/rId35.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Experimental Validation of an LLM-Hypothesized Fe-Mn-Al-Ni-Si-C Alloy: Phase Stability Governs the Absence of Super-elasticity</w:t>
      </w:r>
    </w:p>
    <w:p>
      <w:pPr>
        <w:pStyle w:val="FirstParagraph"/>
      </w:pPr>
      <w:r>
        <w:t xml:space="preserve">Frank Y. Cai</w:t>
      </w:r>
      <w:r>
        <w:rPr>
          <w:vertAlign w:val="superscript"/>
        </w:rPr>
        <w:t xml:space="preserve">1</w:t>
      </w:r>
      <w:r>
        <w:t xml:space="preserve">*, S. Cai</w:t>
      </w:r>
      <w:r>
        <w:rPr>
          <w:vertAlign w:val="superscript"/>
        </w:rPr>
        <w:t xml:space="preserve">2</w:t>
      </w:r>
      <w:r>
        <w:t xml:space="preserve">, X. Wang</w:t>
      </w:r>
      <w:r>
        <w:rPr>
          <w:vertAlign w:val="superscript"/>
        </w:rPr>
        <w:t xml:space="preserve">3</w:t>
      </w:r>
      <w:r>
        <w:t xml:space="preserve">, J. Yan</w:t>
      </w:r>
      <w:r>
        <w:rPr>
          <w:vertAlign w:val="superscript"/>
        </w:rPr>
        <w:t xml:space="preserve">4</w:t>
      </w:r>
    </w:p>
    <w:p>
      <w:pPr>
        <w:pStyle w:val="BodyText"/>
      </w:pPr>
      <w:r>
        <w:rPr>
          <w:vertAlign w:val="superscript"/>
        </w:rPr>
        <w:t xml:space="preserve">1</w:t>
      </w:r>
      <w:r>
        <w:t xml:space="preserve">School of Engineering Technologies, Purdue University, West Lafayette, Indiana 47907, USA</w:t>
      </w:r>
    </w:p>
    <w:p>
      <w:pPr>
        <w:pStyle w:val="BodyText"/>
      </w:pPr>
      <w:r>
        <w:rPr>
          <w:vertAlign w:val="superscript"/>
        </w:rPr>
        <w:t xml:space="preserve">2</w:t>
      </w:r>
      <w:r>
        <w:t xml:space="preserve">Fort Wayne Metals, Fort Wayne, Indiana [ZIP — confirm], USA</w:t>
      </w:r>
    </w:p>
    <w:p>
      <w:pPr>
        <w:pStyle w:val="BodyText"/>
      </w:pPr>
      <w:r>
        <w:rPr>
          <w:vertAlign w:val="superscript"/>
        </w:rPr>
        <w:t xml:space="preserve">3</w:t>
      </w:r>
      <w:r>
        <w:t xml:space="preserve">School of Engineering Technologies, Purdue University, West Lafayette, Indiana 47907, USA</w:t>
      </w:r>
    </w:p>
    <w:p>
      <w:pPr>
        <w:pStyle w:val="BodyText"/>
      </w:pPr>
      <w:r>
        <w:rPr>
          <w:vertAlign w:val="superscript"/>
        </w:rPr>
        <w:t xml:space="preserve">4</w:t>
      </w:r>
      <w:r>
        <w:t xml:space="preserve">Shanghai Synchrotron Radiation Facility, Shanghai [postal code — confirm], China</w:t>
      </w:r>
    </w:p>
    <w:p>
      <w:pPr>
        <w:pStyle w:val="BodyText"/>
      </w:pPr>
      <w:r>
        <w:t xml:space="preserve">*Corresponding author. E-mail: cai485@purdue.edu</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Fe-Mn-Al-Ni-Si-C composition, benchmarked against an established super-elastic Fe-Mn-Al-Ni alloy processed under identical conditions. The LLM-hypothesized alloy was readily castable but failed to exhibit super-elasticity under any condition tested, deforming instead like a conventional elastic metal. Synchrotron X-ray diffraction showed that this failure stems from a phase-stability mismatch: the LLM-alloy forms a stable dual-phase microstructure with a minor ordered Fe-Al phase that does not support the transformation pathway the benchmark alloy relies on. Equilibrium CALPHAD calculations across three independent databases, validated against the benchmark, locate the cause precisely. The benchmark solution-treats to single-phase BCC α at 1200 °C, whereas the LLM-alloy is two-phase there and reaches single-phase α only at ≈1340 °C, above its accessible processing range; deleting carbon alone from the measured chemistry, with every other element held fixed, lowers that field to ≈1150 °C and restores the single-phase state. A carbon addition of ≈0.10 wt% is thus sufficient to close the processing window on which super-elasticity depends. We conclude that LLM-proposed alloy compositions cannot be assumed to work as intended and should be screened for competing phase stability and interstitial content before physical synthesis is attempted — a check that costs minutes of computation with openly available databases.</w:t>
      </w:r>
    </w:p>
    <w:p>
      <w:pPr>
        <w:pStyle w:val="BodyText"/>
      </w:pPr>
      <w:r>
        <w:rPr>
          <w:b/>
          <w:bCs/>
        </w:rPr>
        <w:t xml:space="preserve">Keywords:</w:t>
      </w:r>
      <w:r>
        <w:t xml:space="preserve"> </w:t>
      </w:r>
      <w:r>
        <w:t xml:space="preserve">Fe-based shape memory alloy; super-elasticity; AI-guided alloy design; CALPHAD;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[1]</w:t>
      </w:r>
      <w:r>
        <w:t xml:space="preserve">, and agentic large language models with deep-research capabilities can ingest decades of metallurgical literature and propose compositions in seconds</w:t>
      </w:r>
      <w:r>
        <w:t xml:space="preserve"> </w:t>
      </w:r>
      <w:r>
        <w:t xml:space="preserve">[2,3]</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t xml:space="preserve"> </w:t>
      </w:r>
      <w:r>
        <w:t xml:space="preserve">[4]</w:t>
      </w:r>
      <w:r>
        <w:t xml:space="preserve">, generative inverse design</w:t>
      </w:r>
      <w:r>
        <w:t xml:space="preserve"> </w:t>
      </w:r>
      <w:r>
        <w:t xml:space="preserve">[5]</w:t>
      </w:r>
      <w:r>
        <w:t xml:space="preserve">, and LLM-based hypothesis generation</w:t>
      </w:r>
      <w:r>
        <w:t xml:space="preserve"> </w:t>
      </w:r>
      <w:r>
        <w:t xml:space="preserve">[6]</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[1]</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[7,8]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[13,14]</w:t>
      </w:r>
      <w:r>
        <w:t xml:space="preserve">. However, achieving a bamboo-like grain structure poses significant challenges, especially at industrial scale. In this study, we adopted this alloy system, trained an LLM agent on over 200 published papers on Fe-based SMAs along with other publicly available information, and asked it for lower-cost alternatives with the potential to exhibit super-elasticity with small grain sizes. We processed one of the LLM-hypothesized compositions alongside the alloy reported by Omori</w:t>
      </w:r>
      <w:r>
        <w:t xml:space="preserve"> </w:t>
      </w:r>
      <w:r>
        <w:rPr>
          <w:i/>
          <w:iCs/>
        </w:rPr>
        <w:t xml:space="preserve">et al.</w:t>
      </w:r>
      <w:r>
        <w:t xml:space="preserve"> </w:t>
      </w:r>
      <w:r>
        <w:t xml:space="preserve">[12]</w:t>
      </w:r>
      <w:r>
        <w:t xml:space="preserve">. Both alloys were then put through the same nominal processing route. Identical nominal parameters do not guarantee identical recrystallization, grain size, texture or precipitation state in two different compositions, so what follows is a comparison of how each alloy responds to a common route rather than a controlled isolation of composition; the limits of that comparison are stated in Sec. 4.1.</w:t>
      </w:r>
    </w:p>
    <w:p>
      <w:r>
        <w:pict>
          <v:rect style="width:0;height:1.5pt" o:hralign="center" o:hrstd="t" o:hr="t"/>
        </w:pict>
      </w:r>
    </w:p>
    <w:bookmarkEnd w:id="10"/>
    <w:bookmarkStart w:id="17"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LLM-hypothesized composition was generated by an LLM deep-research agent (Gemini 2.5 with the Deep Research tool</w:t>
      </w:r>
      <w:r>
        <w:t xml:space="preserve"> </w:t>
      </w:r>
      <w:r>
        <w:t xml:space="preserve">[2]</w:t>
      </w:r>
      <w:r>
        <w:t xml:space="preserve">) prompted to propose an Fe-Mn-Al-based composition optimized for room-temperature super-elasticity. The agent was instructed to (i) reason from the Fe-Mn-Al-Ni family established by Omori and co-workers</w:t>
      </w:r>
      <w:r>
        <w:t xml:space="preserve"> </w:t>
      </w:r>
      <w:r>
        <w:t xml:space="preserve">[12,15]</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t xml:space="preserve"> </w:t>
      </w:r>
      <w:r>
        <w:t xml:space="preserve">[12]</w:t>
      </w:r>
      <w:r>
        <w:t xml:space="preserve">, was synthesized under identical conditions. These alloys are hereafter named the LLM-alloy and benchmark alloy, respectively.</w:t>
      </w:r>
    </w:p>
    <w:p>
      <w:pPr>
        <w:pStyle w:val="BodyText"/>
      </w:pPr>
      <w:r>
        <w:t xml:space="preserve">Using high-purity raw elements, about 2 kg of each alloy was melted in a vacuum induction furnace and cast into ø50 mm ingots. Measured chemistries, determined by inductively coupled plasma atomic emission spectroscopy (ICP-AES) with carbon by ASTM E1019, are listed in</w:t>
      </w:r>
      <w:r>
        <w:t xml:space="preserve"> </w:t>
      </w:r>
      <w:r>
        <w:rPr>
          <w:b/>
          <w:bCs/>
        </w:rPr>
        <w:t xml:space="preserve">Table 1</w:t>
      </w:r>
      <w:r>
        <w:t xml:space="preserve">.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target it was drawn from. The benchmark alloy additionally carries 0.06 wt% (≈0.10 at%) phosphorus, a residual from commercial melting stock. This is below the 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LLM-alloy (nominal)</w:t>
            </w:r>
          </w:p>
        </w:tc>
        <w:tc>
          <w:tcPr/>
          <w:p>
            <w:pPr>
              <w:pStyle w:val="Compact"/>
            </w:pPr>
            <w:r>
              <w:t xml:space="preserve">LLM-alloy (actual)</w:t>
            </w:r>
          </w:p>
        </w:tc>
        <w:tc>
          <w:tcPr/>
          <w:p>
            <w:pPr>
              <w:pStyle w:val="Compact"/>
            </w:pPr>
            <w:r>
              <w:t xml:space="preserve">benchmark alloy (nominal)</w:t>
            </w:r>
          </w:p>
        </w:tc>
        <w:tc>
          <w:tcPr/>
          <w:p>
            <w:pPr>
              <w:pStyle w:val="Compact"/>
            </w:pPr>
            <w:r>
              <w:t xml:space="preserve">benchmark 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t xml:space="preserve"> </w:t>
      </w:r>
      <w:r>
        <w:t xml:space="preserve">[16]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and unloaded to zero stress, after which the crosshead was returned to its starting position (nominal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[17,18]</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t xml:space="preserve"> </w:t>
      </w:r>
      <w:r>
        <w:t xml:space="preserve">[19]</w:t>
      </w:r>
      <w:r>
        <w:t xml:space="preserve">, where diffraction data were sliced at 5-degree intervals along the 360-degree azimuth and integrated to generate 72 diffraction spectra, which were then fitted by Rietveld refinement</w:t>
      </w:r>
      <w:r>
        <w:t xml:space="preserve"> </w:t>
      </w:r>
      <w:r>
        <w:t xml:space="preserve">[20]</w:t>
      </w:r>
      <w:r>
        <w:t xml:space="preserve"> </w:t>
      </w:r>
      <w:r>
        <w:t xml:space="preserve">in MAUD version 2.33</w:t>
      </w:r>
      <w:r>
        <w:t xml:space="preserve"> </w:t>
      </w:r>
      <w:r>
        <w:t xml:space="preserve">[21]</w:t>
      </w:r>
      <w:r>
        <w:t xml:space="preserve"> </w:t>
      </w:r>
      <w:r>
        <w:t xml:space="preserve">to identify phase constitutions, volume fractions, and crystal orientations of the different phases.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a strong fibre texture, so that no single azimuthal slice is representative of the bulk and the azimuthal dimension must be retained in the fit. Profile residuals are quoted with the corresponding patterns in Sec. 3.3. Quantitative refinement proved feasible for the LLM-alloy only; the reason is microstructural and is given in Sec. 3.3.</w:t>
      </w:r>
    </w:p>
    <w:bookmarkEnd w:id="15"/>
    <w:bookmarkStart w:id="16" w:name="equilibrium-thermodynamic-calculations"/>
    <w:p>
      <w:pPr>
        <w:pStyle w:val="Heading2"/>
      </w:pPr>
      <w:r>
        <w:t xml:space="preserve">2.6 Equilibrium thermodynamic calculations</w:t>
      </w:r>
    </w:p>
    <w:p>
      <w:pPr>
        <w:pStyle w:val="FirstParagraph"/>
      </w:pPr>
      <w:r>
        <w:t xml:space="preserve">Equilibrium phase fractions were computed with the CALPHAD method</w:t>
      </w:r>
      <w:r>
        <w:t xml:space="preserve"> </w:t>
      </w:r>
      <w:r>
        <w:t xml:space="preserve">[22]</w:t>
      </w:r>
      <w:r>
        <w:t xml:space="preserve"> </w:t>
      </w:r>
      <w:r>
        <w:t xml:space="preserve">using pycalphad 0.11.2, an open-source Python implementation of the Gibbs-energy-minimization formalism</w:t>
      </w:r>
      <w:r>
        <w:t xml:space="preserve"> </w:t>
      </w:r>
      <w:r>
        <w:t xml:space="preserve">[23]</w:t>
      </w:r>
      <w:r>
        <w:t xml:space="preserve">. Isoplethal step diagrams were calculated at 1 atm from 400 to 1400 °C in 10 °C increments; a first pass on a 20 °C grid reproduced every shared point exactly, confirming that the results are grid-independent. Input compositions were the ICP-AES chemistries of</w:t>
      </w:r>
      <w:r>
        <w:t xml:space="preserve"> </w:t>
      </w:r>
      <w:r>
        <w:rPr>
          <w:b/>
          <w:bCs/>
        </w:rPr>
        <w:t xml:space="preserve">Table 1</w:t>
      </w:r>
      <w:r>
        <w:t xml:space="preserve"> </w:t>
      </w:r>
      <w:r>
        <w:t xml:space="preserve">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heats can do.</w:t>
      </w:r>
    </w:p>
    <w:p>
      <w:pPr>
        <w:pStyle w:val="BodyText"/>
      </w:pPr>
      <w:r>
        <w:t xml:space="preserve">No single publicly available thermodynamic database assesses Fe–Mn–Al–Ni–Si–C simultaneously</w:t>
      </w:r>
      <w:r>
        <w:t xml:space="preserve"> </w:t>
      </w:r>
      <w:r>
        <w:rPr>
          <w:i/>
          <w:iCs/>
        </w:rPr>
        <w:t xml:space="preserve">and</w:t>
      </w:r>
      <w:r>
        <w:t xml:space="preserve"> </w:t>
      </w:r>
      <w:r>
        <w:t xml:space="preserve">models the B2, D0₃ and κ ordered phases relevant here, so three independent assessments were used and only their points of agreement are reported. Agreement between separately assessed databases is stronger evidence than a single calculation. The primary database was</w:t>
      </w:r>
      <w:r>
        <w:t xml:space="preserve"> </w:t>
      </w:r>
      <w:r>
        <w:rPr>
          <w:b/>
          <w:bCs/>
        </w:rPr>
        <w:t xml:space="preserve">mpea-02b</w:t>
      </w:r>
      <w:r>
        <w:t xml:space="preserve"> </w:t>
      </w:r>
      <w:r>
        <w:t xml:space="preserve">[24,25]</w:t>
      </w:r>
      <w:r>
        <w:t xml:space="preserve">, the only one covering Fe–Mn–Al–Ni–C together, in which B2 is treated as an ordered partition of the disordered A2 lattice; it does not contain Si.</w:t>
      </w:r>
      <w:r>
        <w:t xml:space="preserve"> </w:t>
      </w:r>
      <w:r>
        <w:rPr>
          <w:b/>
          <w:bCs/>
        </w:rPr>
        <w:t xml:space="preserve">PrecHiMn-04</w:t>
      </w:r>
      <w:r>
        <w:t xml:space="preserve"> </w:t>
      </w:r>
      <w:r>
        <w:t xml:space="preserve">[26]</w:t>
      </w:r>
      <w:r>
        <w:t xml:space="preserve"> </w:t>
      </w:r>
      <w:r>
        <w:t xml:space="preserve">was used as a cross-check because it is the only one that models D0₃ (through a four-sublattice bcc description) and κ-(Fe,Mn)₃AlC while also carrying Si, though it contains no Ni.</w:t>
      </w:r>
      <w:r>
        <w:t xml:space="preserve"> </w:t>
      </w:r>
      <w:r>
        <w:rPr>
          <w:b/>
          <w:bCs/>
        </w:rPr>
        <w:t xml:space="preserve">mc_fe v2.059</w:t>
      </w:r>
      <w:r>
        <w:t xml:space="preserve"> </w:t>
      </w:r>
      <w:r>
        <w:t xml:space="preserve">[27]</w:t>
      </w:r>
      <w:r>
        <w:t xml:space="preserve"> </w:t>
      </w:r>
      <w:r>
        <w:t xml:space="preserve">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pPr>
        <w:pStyle w:val="BodyText"/>
      </w:pPr>
      <w:r>
        <w:t xml:space="preserve">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 Both of the other databases carry Si at its measured 2.04 at%, and both return</w:t>
      </w:r>
      <w:r>
        <w:t xml:space="preserve"> </w:t>
      </w:r>
      <w:r>
        <w:rPr>
          <w:i/>
          <w:iCs/>
        </w:rPr>
        <w:t xml:space="preserve">less</w:t>
      </w:r>
      <w:r>
        <w:t xml:space="preserve"> </w:t>
      </w:r>
      <w:r>
        <w:t xml:space="preserve">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unphysical β-Mn-dominated result below ≈600 °C; its use is therefore restricted to the D0₃ and κ questions and to the high-temperature α field. All calculation scripts, database provenance and raw output are archived with the data for this paper.</w:t>
      </w:r>
    </w:p>
    <w:p>
      <w:r>
        <w:pict>
          <v:rect style="width:0;height:1.5pt" o:hralign="center" o:hrstd="t" o:hr="t"/>
        </w:pict>
      </w:r>
    </w:p>
    <w:bookmarkEnd w:id="16"/>
    <w:bookmarkEnd w:id="17"/>
    <w:bookmarkStart w:id="43" w:name="experiment-results"/>
    <w:p>
      <w:pPr>
        <w:pStyle w:val="Heading1"/>
      </w:pPr>
      <w:r>
        <w:t xml:space="preserve">3. Experiment Results</w:t>
      </w:r>
    </w:p>
    <w:bookmarkStart w:id="21" w:name="microstructure"/>
    <w:p>
      <w:pPr>
        <w:pStyle w:val="Heading2"/>
      </w:pPr>
      <w:r>
        <w:t xml:space="preserve">3.1 Microstructure</w:t>
      </w:r>
    </w:p>
    <w:p>
      <w:pPr>
        <w:pStyle w:val="FirstParagraph"/>
      </w:pPr>
      <w:r>
        <w:rPr>
          <w:b/>
          <w:bCs/>
        </w:rPr>
        <w:t xml:space="preserve">Fig. 1a</w:t>
      </w:r>
      <w:r>
        <w:t xml:space="preserve"> </w:t>
      </w:r>
      <w:r>
        <w:t xml:space="preserve">shows the microstructure of the LLM-alloy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resolves this morphology as an intimately interlocked two-phase mixture of a darker grey constituent and a brighter, blockier one. EDS detected higher Al in the darker constituent and higher Mn in the brighter one, consistent with a duplex structure in which the Al-rich regions are BCC α-phase and the Mn-rich regions are FCC γ-phase.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LLM-alloy after heat treatment: (a) 1200 °C, 1 min, optical; (b) 1200 °C, 1 min, SEM; (c) 1200 °C, 40 min, optical." title="" id="19" name="Picture"/>
            <a:graphic>
              <a:graphicData uri="http://schemas.openxmlformats.org/drawingml/2006/picture">
                <pic:pic>
                  <pic:nvPicPr>
                    <pic:cNvPr descr="figures/Figure_1.jpg" id="20" name="Picture"/>
                    <pic:cNvPicPr>
                      <a:picLocks noChangeArrowheads="1" noChangeAspect="1"/>
                    </pic:cNvPicPr>
                  </pic:nvPicPr>
                  <pic:blipFill>
                    <a:blip r:embed="rId18"/>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LLM-alloy after heat treatment: (a) 1200 °C, 1 min, optical; (b) 1200 °C, 1 min, SEM; (c) 1200 °C, 40 min, optical.</w:t>
      </w:r>
    </w:p>
    <w:bookmarkEnd w:id="21"/>
    <w:bookmarkStart w:id="28" w:name="cyclic-stressstrain-response"/>
    <w:p>
      <w:pPr>
        <w:pStyle w:val="Heading2"/>
      </w:pPr>
      <w:r>
        <w:t xml:space="preserve">3.2 Cyclic stress–strain response</w:t>
      </w:r>
    </w:p>
    <w:p>
      <w:pPr>
        <w:pStyle w:val="FirstParagraph"/>
      </w:pPr>
      <w:r>
        <w:t xml:space="preserve">Cyclic tensile stress–strain curves for the LLM-alloy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LLM-alloy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 xml:space="preserve">[28,29]</w:t>
      </w:r>
      <w:r>
        <w:t xml:space="preserve">; this was not the case for the LLM-alloy (</w:t>
      </w:r>
      <w:r>
        <w:rPr>
          <w:b/>
          <w:bCs/>
        </w:rPr>
        <w:t xml:space="preserve">Fig. 2f</w:t>
      </w:r>
      <w:r>
        <w:t xml:space="preserve">).</w:t>
      </w:r>
    </w:p>
    <w:p>
      <w:pPr>
        <w:pStyle w:val="BodyText"/>
      </w:pPr>
      <w:r>
        <w:rPr>
          <w:b/>
          <w:bCs/>
        </w:rPr>
        <w:t xml:space="preserve">Table 2.</w:t>
      </w:r>
      <w:r>
        <w:t xml:space="preserve"> </w:t>
      </w:r>
      <w:r>
        <w:t xml:space="preserve">Mechanical properties of the LLM-alloy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LLM-alloy after annealing for 1 minute at various temperatures. Wire diameter is 0.36 mm. Panel (f) shows the stress–strain response of the annealed-plus-aged sample." title="" id="23" name="Picture"/>
            <a:graphic>
              <a:graphicData uri="http://schemas.openxmlformats.org/drawingml/2006/picture">
                <pic:pic>
                  <pic:nvPicPr>
                    <pic:cNvPr descr="figures/Figure_2.jpg" id="24" name="Picture"/>
                    <pic:cNvPicPr>
                      <a:picLocks noChangeArrowheads="1" noChangeAspect="1"/>
                    </pic:cNvPicPr>
                  </pic:nvPicPr>
                  <pic:blipFill>
                    <a:blip r:embed="rId22"/>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LLM-alloy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LLM- and benchmark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benchmark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benchmark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LLM-alloy during this test, indicating that it deforms plastically with no pseudo-elasticity regardless of heat-treating condition. We conclude that the microstructure of the LLM-alloy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LLM-alloy and (b) the benchmark alloy. Samples were heat treated at 1200 °C for 1 minute. Black arrows show the deformation path; the red arrow highlights the strain recovery caused by heating." title="" id="26" name="Picture"/>
            <a:graphic>
              <a:graphicData uri="http://schemas.openxmlformats.org/drawingml/2006/picture">
                <pic:pic>
                  <pic:nvPicPr>
                    <pic:cNvPr descr="figures/Figure_3.jpg" id="27" name="Picture"/>
                    <pic:cNvPicPr>
                      <a:picLocks noChangeArrowheads="1" noChangeAspect="1"/>
                    </pic:cNvPicPr>
                  </pic:nvPicPr>
                  <pic:blipFill>
                    <a:blip r:embed="rId25"/>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LLM-alloy and (b) the benchmark alloy. Samples were heat treated at 1200 °C for 1 minute. Black arrows show the deformation path; the red arrow highlights the strain recovery caused by heating.</w:t>
      </w:r>
    </w:p>
    <w:bookmarkEnd w:id="28"/>
    <w:bookmarkStart w:id="38"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of each panel) and the results of Rietveld refinement (upper half), both before deformation (</w:t>
      </w:r>
      <w:r>
        <w:rPr>
          <w:b/>
          <w:bCs/>
        </w:rPr>
        <w:t xml:space="preserve">Fig. 5a</w:t>
      </w:r>
      <w:r>
        <w:t xml:space="preserve">) and after unloading from 10% strain (</w:t>
      </w:r>
      <w:r>
        <w:rPr>
          <w:b/>
          <w:bCs/>
        </w:rPr>
        <w:t xml:space="preserve">Fig. 5b</w:t>
      </w:r>
      <w:r>
        <w:t xml:space="preserve">). The fit is measurably better for the 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 alloy, below. Based on this result, the LLM-alloy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benchmark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benchmark alloy is also clearly shown in</w:t>
      </w:r>
      <w:r>
        <w:t xml:space="preserve"> </w:t>
      </w:r>
      <w:r>
        <w:rPr>
          <w:b/>
          <w:bCs/>
        </w:rPr>
        <w:t xml:space="preserve">Fig. 6b</w:t>
      </w:r>
      <w:r>
        <w:t xml:space="preserve">.</w:t>
      </w:r>
    </w:p>
    <w:p>
      <w:pPr>
        <w:pStyle w:val="BodyText"/>
      </w:pPr>
      <w:r>
        <w:t xml:space="preserve">The two alloys are not equally amenable to quantitative diffraction analysis, and the reason is itself microstructural. After the identical 1200 °C anneal the LLM-alloy retains a fine equiaxed structure with grain diameters well under 20 µm (</w:t>
      </w:r>
      <w:r>
        <w:rPr>
          <w:b/>
          <w:bCs/>
        </w:rPr>
        <w:t xml:space="preserve">Fig. 1a</w:t>
      </w:r>
      <w:r>
        <w:t xml:space="preserve">),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 xml:space="preserve">Fig. 4c, d</w:t>
      </w:r>
      <w:r>
        <w:t xml:space="preserve">),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pPr>
        <w:pStyle w:val="BodyText"/>
      </w:pPr>
      <w:r>
        <w:t xml:space="preserve">This restriction does not affect the comparison on which the present work rests. That the benchmark alloy undergoes a stress-induced transformation is not in question: the diffracted intensities change markedly with deformation (</w:t>
      </w:r>
      <w:r>
        <w:rPr>
          <w:b/>
          <w:bCs/>
        </w:rPr>
        <w:t xml:space="preserve">Fig. 6b</w:t>
      </w:r>
      <w:r>
        <w:t xml:space="preserve">), the alloy recovers strain on heating (</w:t>
      </w:r>
      <w:r>
        <w:rPr>
          <w:b/>
          <w:bCs/>
        </w:rPr>
        <w:t xml:space="preserve">Fig. 3b</w:t>
      </w:r>
      <w:r>
        <w:t xml:space="preserve">), and the transformation behaviour of this composition is well established in the literature</w:t>
      </w:r>
      <w:r>
        <w:t xml:space="preserve"> </w:t>
      </w:r>
      <w:r>
        <w:t xml:space="preserve">[12–14]</w:t>
      </w:r>
      <w:r>
        <w:t xml:space="preserve">. What the coarse grain structure withholds is a number for how much of the parent phase transformed, not the fact that it transformed. The question addressed here is the converse one: why the LLM-alloy, processed identically, shows no corresponding change (</w:t>
      </w:r>
      <w:r>
        <w:rPr>
          <w:b/>
          <w:bCs/>
        </w:rPr>
        <w:t xml:space="preserve">Fig. 6a</w:t>
      </w:r>
      <w:r>
        <w:t xml:space="preserve">) and is instead dominated by the γ phase.</w:t>
      </w:r>
    </w:p>
    <w:p>
      <w:pPr>
        <w:pStyle w:val="BodyText"/>
      </w:pPr>
      <w:r>
        <w:t xml:space="preserve">It is worth noting that the LLM-alloy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LLM-alloy annealed at 1200 °C for 1 min, (b) annealed LLM-alloy after 10% tensile strain, (c) benchmark alloy annealed at 1200 °C for 1 min, and (d) annealed benchmark alloy after 8% tensile strain." title="" id="30" name="Picture"/>
            <a:graphic>
              <a:graphicData uri="http://schemas.openxmlformats.org/drawingml/2006/picture">
                <pic:pic>
                  <pic:nvPicPr>
                    <pic:cNvPr descr="figures/Figure_4.jpg" id="31" name="Picture"/>
                    <pic:cNvPicPr>
                      <a:picLocks noChangeArrowheads="1" noChangeAspect="1"/>
                    </pic:cNvPicPr>
                  </pic:nvPicPr>
                  <pic:blipFill>
                    <a:blip r:embed="rId29"/>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LLM-alloy annealed at 1200 °C for 1 min, (b) annealed LLM-alloy after 10% tensile strain, (c) benchmark alloy annealed at 1200 °C for 1 min, and (d) annealed benchmark alloy after 8% tensile strain.</w:t>
      </w:r>
    </w:p>
    <w:p>
      <w:pPr>
        <w:pStyle w:val="CaptionedFigure"/>
      </w:pPr>
      <w:r>
        <w:drawing>
          <wp:inline>
            <wp:extent cx="2993136" cy="4465320"/>
            <wp:effectExtent b="0" l="0" r="0" t="0"/>
            <wp:docPr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title="" id="33" name="Picture"/>
            <a:graphic>
              <a:graphicData uri="http://schemas.openxmlformats.org/drawingml/2006/picture">
                <pic:pic>
                  <pic:nvPicPr>
                    <pic:cNvPr descr="figures/Figure_5.jpg" id="34" name="Picture"/>
                    <pic:cNvPicPr>
                      <a:picLocks noChangeArrowheads="1" noChangeAspect="1"/>
                    </pic:cNvPicPr>
                  </pic:nvPicPr>
                  <pic:blipFill>
                    <a:blip r:embed="rId32"/>
                    <a:stretch>
                      <a:fillRect/>
                    </a:stretch>
                  </pic:blipFill>
                  <pic:spPr bwMode="auto">
                    <a:xfrm>
                      <a:off x="0" y="0"/>
                      <a:ext cx="2993136" cy="4465320"/>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w:t>
      </w:r>
    </w:p>
    <w:p>
      <w:pPr>
        <w:pStyle w:val="CaptionedFigure"/>
      </w:pPr>
      <w:r>
        <w:drawing>
          <wp:inline>
            <wp:extent cx="2337816" cy="2709672"/>
            <wp:effectExtent b="0" l="0" r="0" t="0"/>
            <wp:docPr descr="Fig. 6. Azimuthally integrated X-ray diffraction spectra of (a) the LLM-alloy and (b) the benchmark alloy before and after deformation. Samples were heat treated at 1200 °C for 1 minute before deformation." title="" id="36" name="Picture"/>
            <a:graphic>
              <a:graphicData uri="http://schemas.openxmlformats.org/drawingml/2006/picture">
                <pic:pic>
                  <pic:nvPicPr>
                    <pic:cNvPr descr="figures/Figure_6.jpg" id="37" name="Picture"/>
                    <pic:cNvPicPr>
                      <a:picLocks noChangeArrowheads="1" noChangeAspect="1"/>
                    </pic:cNvPicPr>
                  </pic:nvPicPr>
                  <pic:blipFill>
                    <a:blip r:embed="rId35"/>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LLM-alloy and (b) the benchmark alloy before and after deformation. Samples were heat treated at 1200 °C for 1 minute before deformation.</w:t>
      </w:r>
    </w:p>
    <w:bookmarkEnd w:id="38"/>
    <w:bookmarkStart w:id="42" w:name="equilibrium-phase-stability"/>
    <w:p>
      <w:pPr>
        <w:pStyle w:val="Heading2"/>
      </w:pPr>
      <w:r>
        <w:t xml:space="preserve">3.4 Equilibrium phase stability</w:t>
      </w:r>
    </w:p>
    <w:p>
      <w:pPr>
        <w:pStyle w:val="FirstParagraph"/>
      </w:pPr>
      <w:r>
        <w:rPr>
          <w:b/>
          <w:bCs/>
        </w:rPr>
        <w:t xml:space="preserve">Fig. 7</w:t>
      </w:r>
      <w:r>
        <w:t xml:space="preserve"> </w:t>
      </w:r>
      <w:r>
        <w:t xml:space="preserve">shows the calculated equilibrium step diagrams for the two alloys as cast, using the measured chemistries of</w:t>
      </w:r>
      <w:r>
        <w:t xml:space="preserve"> </w:t>
      </w:r>
      <w:r>
        <w:rPr>
          <w:b/>
          <w:bCs/>
        </w:rPr>
        <w:t xml:space="preserve">Table 1</w:t>
      </w:r>
      <w:r>
        <w:t xml:space="preserve">. The virtual carbon-free composition described in Sec. 2.6 was evaluated on the same basis; because all three databases agree on it, it is reported numerically in</w:t>
      </w:r>
      <w:r>
        <w:t xml:space="preserve"> </w:t>
      </w:r>
      <w:r>
        <w:rPr>
          <w:b/>
          <w:bCs/>
        </w:rPr>
        <w:t xml:space="preserve">Table 3</w:t>
      </w:r>
      <w:r>
        <w:t xml:space="preserve"> </w:t>
      </w:r>
      <w:r>
        <w:t xml:space="preserve">rather than plotted.</w:t>
      </w:r>
    </w:p>
    <w:p>
      <w:pPr>
        <w:pStyle w:val="BodyText"/>
      </w:pPr>
      <w:r>
        <w:t xml:space="preserve">The benchmark alloy (</w:t>
      </w:r>
      <w:r>
        <w:rPr>
          <w:b/>
          <w:bCs/>
        </w:rPr>
        <w:t xml:space="preserve">Fig. 7a</w:t>
      </w:r>
      <w:r>
        <w:t xml:space="preserve">) reproduces the phase sequence its processing route assumes. A single-phase disordered bcc α field opens at ≈1140 °C and extends to the top of the calculated range, so the 1200 °C solution treatment of Sec. 2.2 lies inside it. On cooling below ≈1090 °C the bcc orders: between ≈700 and 1000 °C the calculated bcc is fully B2-ordered and accounts for 19–21% of the alloy, the balance being γ. The equilibrium state below ≈1090 °C is thus B2 + γ, and not the coherent B2-in-α nanostructure on which the benchmark’s super-elasticity actually rests; that nanostructure is a kinetically arrested approach to this equilibrium, obtained by quenching the single-phase α and ageing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here; the calculation is a control, and it recovers the ≈20% ordered bcc that is observed directly in</w:t>
      </w:r>
      <w:r>
        <w:t xml:space="preserve"> </w:t>
      </w:r>
      <w:r>
        <w:rPr>
          <w:b/>
          <w:bCs/>
        </w:rPr>
        <w:t xml:space="preserve">Fig. 4c</w:t>
      </w:r>
      <w:r>
        <w:t xml:space="preserve">.</w:t>
      </w:r>
    </w:p>
    <w:p>
      <w:pPr>
        <w:pStyle w:val="BodyText"/>
      </w:pPr>
      <w:r>
        <w:t xml:space="preserve">The LLM-alloy behaves differently in every respect that matters (</w:t>
      </w:r>
      <w:r>
        <w:rPr>
          <w:b/>
          <w:bCs/>
        </w:rPr>
        <w:t xml:space="preserve">Fig. 7b</w:t>
      </w:r>
      <w:r>
        <w:t xml:space="preserve">). At 1200 °C it is not single-phase but a duplex mixture of 71.1% α and 28.9% γ. Its single-phase α field does not open until ≈1340 °C — some 140 °C above the 1200 °C ceiling imposed by oxidation and furnace contamination (Sec. 2.2). The margin is in fact larger than that ceiling alone implies: mc_fe, the only database here carrying all six elements plus P, places the onset of incipient melting in this alloy at ≈1240 °C, so the single-phase α field would be unreachable even if oxidation were not the limiting factor. The databases do not agree on the solidus — mpea-02b returns no liquid at all below 1400 °C — but they agree on what matters here, which is that the temperature at which this composition becomes single-phase α lies outside the window in which it can be annealed. Between ≈850 and ≈1050 °C the alloy is calculated to be fully austenitic. Ordered bcc appears only below ≈850 °C, reaches at most ≈11% at 400 °C, and forms within a γ matrix rather than an α one. There is thus no temperature at which this composition can be solution-treated to single-phase α and subsequently aged into coherent ordered precipitates within that α — the sequence on which the benchmark relies.</w:t>
      </w:r>
    </w:p>
    <w:p>
      <w:pPr>
        <w:pStyle w:val="BodyText"/>
      </w:pPr>
      <w:r>
        <w:t xml:space="preserve">Removing carbon and holding every other element fixed restores the missing field, and does so in every database. The single-phase α window opens at ≈1150 °C instead of ≈1340 °C in mpea-02b and at ≈1160 °C instead of ≈1390 °C in PrecHiMn-04, while mc_fe — which returns no single-phase α at all for the carbon-bearing composition below 1400 °C — places it at ≈1130 °C. The 1200 °C solution treatment therefore lands inside the single-phase field once carbon is removed, and the alloy reaches 100% α exactly as the benchmark does, in all three databases and despite their covering different element sets (</w:t>
      </w:r>
      <w:r>
        <w:rPr>
          <w:b/>
          <w:bCs/>
        </w:rPr>
        <w:t xml:space="preserve">Table 3</w:t>
      </w:r>
      <w:r>
        <w:t xml:space="preserve">).</w:t>
      </w:r>
    </w:p>
    <w:p>
      <w:pPr>
        <w:pStyle w:val="BodyText"/>
      </w:pPr>
      <w:r>
        <w:rPr>
          <w:b/>
          <w:bCs/>
        </w:rPr>
        <w:t xml:space="preserve">Table 3.</w:t>
      </w:r>
      <w:r>
        <w:t xml:space="preserve"> </w:t>
      </w:r>
      <w:r>
        <w:t xml:space="preserve">Calculated equilibrium phase fractions (mol%) at 1200 °C, the solution-treatment temperature. The benchmark alloy cannot be evaluated in PrecHiMn-04, which contains no 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Alloy</w:t>
            </w:r>
          </w:p>
        </w:tc>
        <w:tc>
          <w:tcPr/>
          <w:p>
            <w:pPr>
              <w:pStyle w:val="Compact"/>
            </w:pPr>
            <w:r>
              <w:t xml:space="preserve">mpea-02b</w:t>
            </w:r>
          </w:p>
        </w:tc>
        <w:tc>
          <w:tcPr/>
          <w:p>
            <w:pPr>
              <w:pStyle w:val="Compact"/>
            </w:pPr>
            <w:r>
              <w:t xml:space="preserve">PrecHiMn-04</w:t>
            </w:r>
          </w:p>
        </w:tc>
        <w:tc>
          <w:tcPr/>
          <w:p>
            <w:pPr>
              <w:pStyle w:val="Compact"/>
            </w:pPr>
            <w:r>
              <w:t xml:space="preserve">mc_fe v2.059</w:t>
            </w:r>
          </w:p>
        </w:tc>
      </w:tr>
      <w:tr>
        <w:tc>
          <w:tcPr/>
          <w:p>
            <w:pPr>
              <w:pStyle w:val="Compact"/>
            </w:pPr>
            <w:r>
              <w:t xml:space="preserve">benchmark alloy</w:t>
            </w:r>
          </w:p>
        </w:tc>
        <w:tc>
          <w:tcPr/>
          <w:p>
            <w:pPr>
              <w:pStyle w:val="Compact"/>
            </w:pPr>
            <w:r>
              <w:t xml:space="preserve">100 α</w:t>
            </w:r>
          </w:p>
        </w:tc>
        <w:tc>
          <w:tcPr/>
          <w:p>
            <w:pPr>
              <w:pStyle w:val="Compact"/>
            </w:pPr>
            <w:r>
              <w:t xml:space="preserve">–</w:t>
            </w:r>
          </w:p>
        </w:tc>
        <w:tc>
          <w:tcPr/>
          <w:p>
            <w:pPr>
              <w:pStyle w:val="Compact"/>
            </w:pPr>
            <w:r>
              <w:t xml:space="preserve">100 α</w:t>
            </w:r>
          </w:p>
        </w:tc>
      </w:tr>
      <w:tr>
        <w:tc>
          <w:tcPr/>
          <w:p>
            <w:pPr>
              <w:pStyle w:val="Compact"/>
            </w:pPr>
            <w:r>
              <w:t xml:space="preserve">LLM-alloy</w:t>
            </w:r>
          </w:p>
        </w:tc>
        <w:tc>
          <w:tcPr/>
          <w:p>
            <w:pPr>
              <w:pStyle w:val="Compact"/>
            </w:pPr>
            <w:r>
              <w:t xml:space="preserve">71.1 α + 28.9 γ</w:t>
            </w:r>
          </w:p>
        </w:tc>
        <w:tc>
          <w:tcPr/>
          <w:p>
            <w:pPr>
              <w:pStyle w:val="Compact"/>
            </w:pPr>
            <w:r>
              <w:t xml:space="preserve">64.5 α + 35.5 γ</w:t>
            </w:r>
          </w:p>
        </w:tc>
        <w:tc>
          <w:tcPr/>
          <w:p>
            <w:pPr>
              <w:pStyle w:val="Compact"/>
            </w:pPr>
            <w:r>
              <w:t xml:space="preserve">61.9 α + 38.1 γ</w:t>
            </w:r>
          </w:p>
        </w:tc>
      </w:tr>
      <w:tr>
        <w:tc>
          <w:tcPr/>
          <w:p>
            <w:pPr>
              <w:pStyle w:val="Compact"/>
            </w:pPr>
            <w:r>
              <w:t xml:space="preserve">LLM-alloy, C removed</w:t>
            </w:r>
          </w:p>
        </w:tc>
        <w:tc>
          <w:tcPr/>
          <w:p>
            <w:pPr>
              <w:pStyle w:val="Compact"/>
            </w:pPr>
            <w:r>
              <w:t xml:space="preserve">100 α</w:t>
            </w:r>
          </w:p>
        </w:tc>
        <w:tc>
          <w:tcPr/>
          <w:p>
            <w:pPr>
              <w:pStyle w:val="Compact"/>
            </w:pPr>
            <w:r>
              <w:t xml:space="preserve">100 α</w:t>
            </w:r>
          </w:p>
        </w:tc>
        <w:tc>
          <w:tcPr/>
          <w:p>
            <w:pPr>
              <w:pStyle w:val="Compact"/>
            </w:pPr>
            <w:r>
              <w:t xml:space="preserve">100 α</w:t>
            </w:r>
          </w:p>
        </w:tc>
      </w:tr>
    </w:tbl>
    <w:p>
      <w:pPr>
        <w:pStyle w:val="BodyText"/>
      </w:pPr>
      <w:r>
        <w:t xml:space="preserve">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indicating that at ≈12 at% Al this composition lies below the equilibrium Fe₃Al D0₃ field.</w:t>
      </w:r>
    </w:p>
    <w:p>
      <w:pPr>
        <w:pStyle w:val="CaptionedFigure"/>
      </w:pPr>
      <w:r>
        <w:drawing>
          <wp:inline>
            <wp:extent cx="5334000" cy="2444750"/>
            <wp:effectExtent b="0" l="0" r="0" t="0"/>
            <wp:docPr descr="Fig. 7. Calculated equilibrium step diagrams (mpea-02b database) for (a) the benchmark alloy, the benchmark, and (b) the LLM-alloy, the LLM-hypothesized composition.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The carbon-free control composition is reported in Table 3." title="" id="40" name="Picture"/>
            <a:graphic>
              <a:graphicData uri="http://schemas.openxmlformats.org/drawingml/2006/picture">
                <pic:pic>
                  <pic:nvPicPr>
                    <pic:cNvPr descr="figures/Figure_7.png" id="41" name="Picture"/>
                    <pic:cNvPicPr>
                      <a:picLocks noChangeArrowheads="1" noChangeAspect="1"/>
                    </pic:cNvPicPr>
                  </pic:nvPicPr>
                  <pic:blipFill>
                    <a:blip r:embed="rId39"/>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Calculated equilibrium step diagrams (mpea-02b database) for (a) the benchmark alloy, the benchmark, and (b) the LLM-alloy, the LLM-hypothesized composition. Both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dashed line marks the 1200 °C solution-treatment temperature. The carbon-free control composition is reported in Table 3.</w:t>
      </w:r>
    </w:p>
    <w:p>
      <w:r>
        <w:pict>
          <v:rect style="width:0;height:1.5pt" o:hralign="center" o:hrstd="t" o:hr="t"/>
        </w:pict>
      </w:r>
    </w:p>
    <w:bookmarkEnd w:id="42"/>
    <w:bookmarkEnd w:id="43"/>
    <w:bookmarkStart w:id="48" w:name="discussion"/>
    <w:p>
      <w:pPr>
        <w:pStyle w:val="Heading1"/>
      </w:pPr>
      <w:r>
        <w:t xml:space="preserve">4. Discussion</w:t>
      </w:r>
    </w:p>
    <w:bookmarkStart w:id="44" w:name="X58357b202da789a88ec9478e0111cd3c94b5213"/>
    <w:p>
      <w:pPr>
        <w:pStyle w:val="Heading2"/>
      </w:pPr>
      <w:r>
        <w:t xml:space="preserve">4.1 Origin of the absence of stress-induced phase transformation</w:t>
      </w:r>
    </w:p>
    <w:p>
      <w:pPr>
        <w:pStyle w:val="FirstParagraph"/>
      </w:pPr>
      <w:r>
        <w:t xml:space="preserve">The failure of the LLM-hypothesized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LLM-alloy is structurally dominated by the γ-phase (≈62%), whereas the α-phase accounts for only ≈34% of the volume fraction, with a further ≈4% present as ordered D0₃ (Sec. 3.3). Compared to the benchmark alloy (43.5Fe-34Mn-15Al-7.5Ni at%), the LLM-alloy has less Mn, Al, and Ni, but higher Fe, Si, and C. It is known that Fe, Si, and Al stabilize the BCC α-phase, while Mn, Ni, and C stabilize the FCC γ-phase</w:t>
      </w:r>
      <w:r>
        <w:t xml:space="preserve"> </w:t>
      </w:r>
      <w:r>
        <w:t xml:space="preserve">[30]</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and the equilibrium calculations of Sec. 3.4 identify carbon as the element that closes the single-phase α field at the solution-treatment temperature (Sec. 4.2).</w:t>
      </w:r>
    </w:p>
    <w:p>
      <w:pPr>
        <w:pStyle w:val="BodyText"/>
      </w:pPr>
      <w:r>
        <w:t xml:space="preserve">The thermodynamic calculations place this argument on a quantitative footing and change its emphasis. The problem is not that the LLM-alloy possesses a BCC parent phase with an insufficient driving force for transformation; it is that no accessible heat treatment produces that parent phase in the first place. At 1200 °C the alloy is calculated to be a two-phase α + γ mixture in all three databases, and its single-phase α field lies at ≈1340 °C, above both the oxidation limit of the process and the ≈1240 °C solidus returned by mc_fe (Sec. 3.4). The duplex constitution that the calculation predicts at the solution-treatment temperature is precisely what is observed: the interlocked two-phase morphology of</w:t>
      </w:r>
      <w:r>
        <w:t xml:space="preserve"> </w:t>
      </w:r>
      <w:r>
        <w:rPr>
          <w:b/>
          <w:bCs/>
        </w:rPr>
        <w:t xml:space="preserve">Fig. 1b</w:t>
      </w:r>
      <w:r>
        <w:t xml:space="preserve">, the Al-rich and Mn-rich EDS partitioning that accompanies it, and the coexisting α and γ reflections of</w:t>
      </w:r>
      <w:r>
        <w:t xml:space="preserve"> </w:t>
      </w:r>
      <w:r>
        <w:rPr>
          <w:b/>
          <w:bCs/>
        </w:rPr>
        <w:t xml:space="preserve">Figs. 4a and 5</w:t>
      </w:r>
      <w:r>
        <w:t xml:space="preserve">. It also explains why the microstructure is insensitive to annealing time — the duplex state survives 40 minutes at 1200 °C (</w:t>
      </w:r>
      <w:r>
        <w:rPr>
          <w:b/>
          <w:bCs/>
        </w:rPr>
        <w:t xml:space="preserve">Fig. 1c</w:t>
      </w:r>
      <w:r>
        <w:t xml:space="preserve">) and the full AGG cycle (Sec. 3.3) because it is the equilibrium state at that temperature, not an incompletely transformed one. That the same calculations independently reproduce the benchmark alloy’s single-phase α field and its ≈20% ordered B2 (</w:t>
      </w:r>
      <w:r>
        <w:rPr>
          <w:b/>
          <w:bCs/>
        </w:rPr>
        <w:t xml:space="preserve">Fig. 7a</w:t>
      </w:r>
      <w:r>
        <w:t xml:space="preserve">), neither of which was fitted here, is what licenses their application to the test alloy.</w:t>
      </w:r>
    </w:p>
    <w:p>
      <w:pPr>
        <w:pStyle w:val="BodyText"/>
      </w:pPr>
      <w:r>
        <w:t xml:space="preserve">One quantitative discrepancy should be stated plainly. The calculations place α in the majority at 1200 °C (62–71%), whereas the refinement of the quenched wire places γ in the majority (≈62%); the two agree that the alloy is duplex but not on which phase dominates. Because γ is the transformation product rather than the parent in this system, a partial α → γ transformation during cooling would invert the ratio, which would place the martensite start temperature above room temperature. That reading would supply a more complete account of the absence of super-elasticity than a driving-force argument alone — the transformation would already have run before the specimen was ever loaded, leaving nothing to induce — and it is what elevated carbon content would be expected to produce. The duplex morphology of Sec. 3.1 is consistent with this reading without establishing it, since a two-dimensional section does not reveal which constituent is continuous. We note it as the reading the present data favor rather than as an established result; direct calorimetric measurement of the transformation temperatures is required to confirm it, and is the most informative single experiment remaining on this alloy.</w:t>
      </w:r>
    </w:p>
    <w:p>
      <w:pPr>
        <w:pStyle w:val="BodyText"/>
      </w:pPr>
      <w:r>
        <w:t xml:space="preserve">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B2 orders coherently within α before γ has time to nucleate. The LLM-alloy has no accessible single-phase α field to quench from (Sec. 3.4), so there is no α matrix in which coherent B2 could form, and the microstructure the benchmark relies upon is unavailable to this composition at any temperature. This is a stronger statement than the absence of a B2 reflection alone would support, and it accounts for the failure of the 200 °C ageing treatment (</w:t>
      </w:r>
      <w:r>
        <w:rPr>
          <w:b/>
          <w:bCs/>
        </w:rPr>
        <w:t xml:space="preserve">Fig. 2f</w:t>
      </w:r>
      <w:r>
        <w:t xml:space="preserve">) to induce any pseudo-elastic response.</w:t>
      </w:r>
    </w:p>
    <w:p>
      <w:pPr>
        <w:pStyle w:val="BodyText"/>
      </w:pPr>
      <w:r>
        <w:t xml:space="preserve">Furthermore, mechanical and structural analyses indicate that the LLM-alloy accommodates macroscopic deformation via irreversible dislocation slip rather than phase transitions. Coherent, ordered β-NiAl (B2) precipitates within a BCC matrix contribute to, rather than solely determine, the transformation reversibility of the benchmark; parent-phase stability, transformation temperature, grain size, crystallographic orientation and texture, and the competition between the transformation stress and the plastic yield stress all bear on whether a stress-induced transformation can proceed reversibly. In the LLM-alloy the ordered phase that forms is D0₃ Fe₃Al, present as a bulk constituent rather than as a fine coherent dispersion, so it does not raise the resistance to plastic flow in the way that B2 does in the benchmark. This is confirmed by the post-deformation synchrotron XRD patterns, where the transition from sharp, discrete spots to broad, partially arced rings reflects dislocation multiplication and sub-grain formation. Thus, the microstructural state of the LLM-alloy remains highly stable at 1200 °C, favoring dislocation- or twinning-mediated plasticity over stress-induced martensitic transformation.</w:t>
      </w:r>
    </w:p>
    <w:bookmarkEnd w:id="44"/>
    <w:bookmarkStart w:id="45" w:name="the-role-of-carbon"/>
    <w:p>
      <w:pPr>
        <w:pStyle w:val="Heading2"/>
      </w:pPr>
      <w:r>
        <w:t xml:space="preserve">4.2 The role of carbon</w:t>
      </w:r>
    </w:p>
    <w:p>
      <w:pPr>
        <w:pStyle w:val="FirstParagraph"/>
      </w:pPr>
      <w:r>
        <w:t xml:space="preserve">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measured in the cast wire.</w:t>
      </w:r>
    </w:p>
    <w:p>
      <w:pPr>
        <w:pStyle w:val="BodyText"/>
      </w:pPr>
      <w:r>
        <w:t xml:space="preserve">The result is unambiguous and reproduces across all three databases (</w:t>
      </w:r>
      <w:r>
        <w:rPr>
          <w:b/>
          <w:bCs/>
        </w:rPr>
        <w:t xml:space="preserve">Table 3</w:t>
      </w:r>
      <w:r>
        <w:t xml:space="preserve">). Deleting 0.45 at% (≈0.10 wt%) carbon moves the α solvus of the LLM-alloy from ≈1340 °C to ≈1150 °C, a shift of roughly 190 °C, and converts the equilibrium constitution at 1200 °C from a 62–71% α + 29–38% γ mixture into 100% α — the same single-phase state the benchmark alloy reaches at that temperature. Carbon, at a concentration of one part in a thousand by weight, is what closes the solution-treatment window on which the entire processing route depends.</w:t>
      </w:r>
    </w:p>
    <w:p>
      <w:pPr>
        <w:pStyle w:val="BodyText"/>
      </w:pPr>
      <w:r>
        <w:t xml:space="preserve">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same argument applies to the reduction in Ni from 7.8 to 4.2 at%, which is likewise held at its measured value in the control.</w:t>
      </w:r>
    </w:p>
    <w:p>
      <w:pPr>
        <w:pStyle w:val="BodyText"/>
      </w:pPr>
      <w:r>
        <w:t xml:space="preserve">The limits of this conclusion should be stated as clearly as the conclusion itself. Carbon is decisive at the temperature where the process operates, not across the whole temperature range. Over roughly 850–1020 °C both the as-measured composition (</w:t>
      </w:r>
      <w:r>
        <w:rPr>
          <w:b/>
          <w:bCs/>
        </w:rPr>
        <w:t xml:space="preserve">Fig. 7b</w:t>
      </w:r>
      <w:r>
        <w:t xml:space="preserve">) and the carbon-free control are calculated to be fully austenitic, so the lower Al and Ni contents of the LLM-alloy do move the α/γ boundary independently of carbon. The defensible claim is therefore narrower and more useful than</w:t>
      </w:r>
      <w:r>
        <w:t xml:space="preserve"> </w:t>
      </w:r>
      <w:r>
        <w:t xml:space="preserve">“carbon caused the failure”</w:t>
      </w:r>
      <w:r>
        <w:t xml:space="preserve">: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well-specified heat.</w:t>
      </w:r>
    </w:p>
    <w:p>
      <w:pPr>
        <w:pStyle w:val="BodyText"/>
      </w:pPr>
      <w:r>
        <w:t xml:space="preserve">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strengthening that would justify it.</w:t>
      </w:r>
    </w:p>
    <w:p>
      <w:pPr>
        <w:pStyle w:val="BodyText"/>
      </w:pPr>
      <w:r>
        <w:t xml:space="preserve">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the intended 1200 °C solution treatment was found to lie 140 °C below the alloy’s single-phase α field.</w:t>
      </w:r>
    </w:p>
    <w:bookmarkEnd w:id="45"/>
    <w:bookmarkStart w:id="46" w:name="X14190cefc5af7e6c61eb8a7f0ac8ec72264613c"/>
    <w:p>
      <w:pPr>
        <w:pStyle w:val="Heading2"/>
      </w:pPr>
      <w:r>
        <w:t xml:space="preserve">4.3 Anneal-temperature dependence of mechanical properties</w:t>
      </w:r>
    </w:p>
    <w:p>
      <w:pPr>
        <w:pStyle w:val="FirstParagraph"/>
      </w:pPr>
      <w:r>
        <w:t xml:space="preserve">Although the LLM-alloy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is consistent with the onset of recrystallization. Elongation jumps from 2.2% at 700 °C to 24.0% at 800 °C, while tensile strength falls from 2009 to 1216 MPa and yield strength from 1683 to 1167 MPa. A discontinuity of this kind — rather than a smooth softening — is the signature of recrystallization: new equiaxed, strain-free grains nucleate and consume the deformed matrix, removing most of the stored dislocation content and abruptly restoring ductility. We infer the recrystallization threshold from the mechanical response rather than observe it directly, since micrographs were not taken at every anneal temperature; electron backscatter diffraction across the anneal series would settle it.</w:t>
      </w:r>
    </w:p>
    <w:p>
      <w:pPr>
        <w:pStyle w:val="BodyText"/>
      </w:pPr>
      <w:r>
        <w:t xml:space="preserve">From 800 to 1200 °C the behaviour is that of a recrystallized wire in which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structural metal whose flow stress is grain-size controlled.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p>
      <w:pPr>
        <w:pStyle w:val="BodyText"/>
      </w:pPr>
      <w:r>
        <w:t xml:space="preserve">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≈670 MPa yield strength with ≈33% elongation. What it does not do is transform. The alloy is therefore best read not as a failed material but as a serviceable structural metal that was hypothesized to be a shape-memory alloy and is not one — a distinction that matters for how AI-proposed compositions should be evaluated (Sec. 4.4).</w:t>
      </w:r>
    </w:p>
    <w:bookmarkEnd w:id="46"/>
    <w:bookmarkStart w:id="47" w:name="implications-for-ai-guided-alloy-design"/>
    <w:p>
      <w:pPr>
        <w:pStyle w:val="Heading2"/>
      </w:pPr>
      <w:r>
        <w:t xml:space="preserve">4.4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LLM-hypothesized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w:t>
      </w:r>
      <w:r>
        <w:t xml:space="preserve"> </w:t>
      </w:r>
      <w:r>
        <w:rPr>
          <w:i/>
          <w:iCs/>
        </w:rPr>
        <w:t xml:space="preserve">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It is notable that the deep-research agent was explicitly instructed to consult thermodynamic-stability data (Sec. 2.1) and nonetheless proposed a composition that fails this test, which suggests that the useful distinction is not between AI-assisted and conventional design but between design workflows that terminate in a verified calculation and those that terminate in a plausible narrative. A generated composition should be treated as a hypothesis to be screened, not as a result.</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7"/>
    <w:bookmarkEnd w:id="48"/>
    <w:bookmarkStart w:id="49"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LLM-designed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Equilibrium CALPHAD calculations, performed with three independent open databases and validated against the benchmark alloy, identify the origin of this failure. The benchmark solution-treats to single-phase α at 1200 °C and orders on cooling below ≈1090 °C to the ≈20% ordered bcc that its processing route requires. The LLM-alloy does neither: at 1200 °C it is a two-phase α + γ mixture, and its single-phase α field lies at ≈1340 °C, above the temperature at which the alloy can be annealed without oxidation or incipient melting. Removing carbon alone from the measured chemistry, with every other element held fixed, lowers that field to ≈1150 °C and restores the single-phase state at 1200 °C in all three databases. A carbon addition of ≈0.10 wt%, the smallest compositional change of the five that distinguish the two alloys, is therefore sufficient to close the processing window on which super-elasticity depends.</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They also point to a specific and inexpensive remedy: an equilibrium step diagram, checked for overlap between the phase fields the intended processing route requires and the temperatures at which that route can be run, would have rejected this composition before 2 kg of it was melted.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9"/>
    <w:bookmarkStart w:id="50"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50"/>
    <w:bookmarkStart w:id="107"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Generative AI enters this work in two distinct roles, which are reported separately. First, an LLM deep-research agent (Google Gemini 2.5, Deep Research) was used to hypothesize the LLM-alloy composition under study, as described in Sec. 2.1; this use is a study method and is itself the object of the investigation. Second, during preparation of this revision a generative AI assistant (Anthropic Claude) was used to help write and debug the pycalphad scripts underlying Secs. 2.6 and 3.4, to assist in extracting and checking numerical results from the Rietveld refinement output, and to draft and edit portions of the text. No AI system generated experimental data or determined any reported measurement. All calculations were checked against their source databases, all numerical values were verified against the primary records, and the authors reviewed the entire manuscript and take full responsibility for its content.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 The scripts used to compute the equilibrium step diagrams of Sec. 3.4, together with the resulting phase-fraction tables and the calculation logs, are also available on request; the thermodynamic databases themselves are the property of their respective authors and must be obtained from the sources cited in Sec. 2.6.</w:t>
      </w:r>
    </w:p>
    <w:p>
      <w:r>
        <w:pict>
          <v:rect style="width:0;height:1.5pt" o:hralign="center" o:hrstd="t" o:hr="t"/>
        </w:pict>
      </w:r>
    </w:p>
    <w:bookmarkStart w:id="106" w:name="refs"/>
    <w:bookmarkStart w:id="52" w:name="ref-merchant2023gnome"/>
    <w:p>
      <w:pPr>
        <w:pStyle w:val="Bibliography"/>
      </w:pPr>
      <w:r>
        <w:t xml:space="preserve">[1]</w:t>
      </w:r>
      <w:r>
        <w:t xml:space="preserve"> </w:t>
      </w:r>
      <w:r>
        <w:t xml:space="preserve">	</w:t>
      </w:r>
      <w:r>
        <w:t xml:space="preserve">A. Merchant, S. Batzner, S.S. Schoenholz, M. Aykol, G. Cheon, E.D. Cubuk, Scaling deep learning for materials discovery, Nature 624 (2023) 80–85. https://doi.org/</w:t>
      </w:r>
      <w:hyperlink r:id="rId51">
        <w:r>
          <w:rPr>
            <w:rStyle w:val="Hyperlink"/>
          </w:rPr>
          <w:t xml:space="preserve">10.1038/s41586-023-06735-9</w:t>
        </w:r>
      </w:hyperlink>
      <w:r>
        <w:t xml:space="preserve">.</w:t>
      </w:r>
    </w:p>
    <w:bookmarkEnd w:id="52"/>
    <w:bookmarkStart w:id="54" w:name="ref-comanici2025gemini"/>
    <w:p>
      <w:pPr>
        <w:pStyle w:val="Bibliography"/>
      </w:pPr>
      <w:r>
        <w:t xml:space="preserve">[2]</w:t>
      </w:r>
      <w:r>
        <w:t xml:space="preserve"> </w:t>
      </w:r>
      <w:r>
        <w:t xml:space="preserve">	</w:t>
      </w:r>
      <w:r>
        <w:t xml:space="preserve">Google DeepMind,</w:t>
      </w:r>
      <w:r>
        <w:t xml:space="preserve"> </w:t>
      </w:r>
      <w:r>
        <w:t xml:space="preserve">Gemini 2.5</w:t>
      </w:r>
      <w:r>
        <w:t xml:space="preserve">: Pushing the frontier with advanced reasoning, multimodality, long context, and next-generation agentic capabilities, (2025).</w:t>
      </w:r>
      <w:r>
        <w:t xml:space="preserve"> </w:t>
      </w:r>
      <w:hyperlink r:id="rId53">
        <w:r>
          <w:rPr>
            <w:rStyle w:val="Hyperlink"/>
          </w:rPr>
          <w:t xml:space="preserve">https://arxiv.org/abs/2507.06261</w:t>
        </w:r>
      </w:hyperlink>
      <w:r>
        <w:t xml:space="preserve">.</w:t>
      </w:r>
    </w:p>
    <w:bookmarkEnd w:id="54"/>
    <w:bookmarkStart w:id="56" w:name="ref-xu2025deepresearch"/>
    <w:p>
      <w:pPr>
        <w:pStyle w:val="Bibliography"/>
      </w:pPr>
      <w:r>
        <w:t xml:space="preserve">[3]</w:t>
      </w:r>
      <w:r>
        <w:t xml:space="preserve"> </w:t>
      </w:r>
      <w:r>
        <w:t xml:space="preserve">	</w:t>
      </w:r>
      <w:r>
        <w:t xml:space="preserve">R. Xu, J. Peng, A comprehensive survey of deep research: Systems, methodologies, and applications, (2025).</w:t>
      </w:r>
      <w:r>
        <w:t xml:space="preserve"> </w:t>
      </w:r>
      <w:hyperlink r:id="rId55">
        <w:r>
          <w:rPr>
            <w:rStyle w:val="Hyperlink"/>
          </w:rPr>
          <w:t xml:space="preserve">https://arxiv.org/abs/2506.12594</w:t>
        </w:r>
      </w:hyperlink>
      <w:r>
        <w:t xml:space="preserve">.</w:t>
      </w:r>
    </w:p>
    <w:bookmarkEnd w:id="56"/>
    <w:bookmarkStart w:id="58" w:name="ref-aims2022"/>
    <w:p>
      <w:pPr>
        <w:pStyle w:val="Bibliography"/>
      </w:pPr>
      <w:r>
        <w:t xml:space="preserve">[4]</w:t>
      </w:r>
      <w:r>
        <w:t xml:space="preserve"> </w:t>
      </w:r>
      <w:r>
        <w:t xml:space="preserve">	</w:t>
      </w:r>
      <w:r>
        <w:t xml:space="preserve">W. Trehern, R. Ortiz-Ayala, K.C. Atli, R. Arróyave, I. Karaman, Data-driven shape memory alloy discovery using artificial intelligence materials selection (</w:t>
      </w:r>
      <w:r>
        <w:t xml:space="preserve">AIMS</w:t>
      </w:r>
      <w:r>
        <w:t xml:space="preserve">) framework, Acta Materialia 228 (2022) 117751. https://doi.org/</w:t>
      </w:r>
      <w:hyperlink r:id="rId57">
        <w:r>
          <w:rPr>
            <w:rStyle w:val="Hyperlink"/>
          </w:rPr>
          <w:t xml:space="preserve">10.1016/j.actamat.2022.117751</w:t>
        </w:r>
      </w:hyperlink>
      <w:r>
        <w:t xml:space="preserve">.</w:t>
      </w:r>
    </w:p>
    <w:bookmarkEnd w:id="58"/>
    <w:bookmarkStart w:id="60" w:name="ref-generativeinversion2025"/>
    <w:p>
      <w:pPr>
        <w:pStyle w:val="Bibliography"/>
      </w:pPr>
      <w:r>
        <w:t xml:space="preserve">[5]</w:t>
      </w:r>
      <w:r>
        <w:t xml:space="preserve"> </w:t>
      </w:r>
      <w:r>
        <w:t xml:space="preserve">	</w:t>
      </w:r>
      <w:r>
        <w:t xml:space="preserve">C. Li, P. Dang, Y. Xian, Y. Zhou, B. Shi, X. Ding, J. Sun, D. Xue, Generative inverse design for property-targeted materials design: Application to shape memory alloys, Advanced Functional Materials 36 (2026) 2527774. https://doi.org/</w:t>
      </w:r>
      <w:hyperlink r:id="rId59">
        <w:r>
          <w:rPr>
            <w:rStyle w:val="Hyperlink"/>
          </w:rPr>
          <w:t xml:space="preserve">10.1002/adfm.202527774</w:t>
        </w:r>
      </w:hyperlink>
      <w:r>
        <w:t xml:space="preserve">.</w:t>
      </w:r>
    </w:p>
    <w:bookmarkEnd w:id="60"/>
    <w:bookmarkStart w:id="62" w:name="ref-hu2024beyond"/>
    <w:p>
      <w:pPr>
        <w:pStyle w:val="Bibliography"/>
      </w:pPr>
      <w:r>
        <w:t xml:space="preserve">[6]</w:t>
      </w:r>
      <w:r>
        <w:t xml:space="preserve"> </w:t>
      </w:r>
      <w:r>
        <w:t xml:space="preserve">	</w:t>
      </w:r>
      <w:r>
        <w:t xml:space="preserve">Q. Hu, R. Han, M.J. Buehler, Beyond designer’s knowledge: Generating materials design hypotheses via large language models, (2024).</w:t>
      </w:r>
      <w:r>
        <w:t xml:space="preserve"> </w:t>
      </w:r>
      <w:hyperlink r:id="rId61">
        <w:r>
          <w:rPr>
            <w:rStyle w:val="Hyperlink"/>
          </w:rPr>
          <w:t xml:space="preserve">https://arxiv.org/abs/2409.06756</w:t>
        </w:r>
      </w:hyperlink>
      <w:r>
        <w:t xml:space="preserve">.</w:t>
      </w:r>
    </w:p>
    <w:bookmarkEnd w:id="62"/>
    <w:bookmarkStart w:id="63" w:name="ref-otsuka2005physical"/>
    <w:p>
      <w:pPr>
        <w:pStyle w:val="Bibliography"/>
      </w:pPr>
      <w:r>
        <w:t xml:space="preserve">[7]</w:t>
      </w:r>
      <w:r>
        <w:t xml:space="preserve"> </w:t>
      </w:r>
      <w:r>
        <w:t xml:space="preserve">	</w:t>
      </w:r>
      <w:r>
        <w:t xml:space="preserve">K. Otsuka, C.M. Wayman, Physical metallurgy of titanium-nickel-based shape memory alloys, Cambridge University Press, Cambridge, UK, 1998.</w:t>
      </w:r>
    </w:p>
    <w:bookmarkEnd w:id="63"/>
    <w:bookmarkStart w:id="65" w:name="ref-lagoudas2008shape"/>
    <w:p>
      <w:pPr>
        <w:pStyle w:val="Bibliography"/>
      </w:pPr>
      <w:r>
        <w:t xml:space="preserve">[8]</w:t>
      </w:r>
      <w:r>
        <w:t xml:space="preserve"> </w:t>
      </w:r>
      <w:r>
        <w:t xml:space="preserve">	</w:t>
      </w:r>
      <w:r>
        <w:t xml:space="preserve">D.C. Lagoudas, ed., Shape memory alloys: Modeling and engineering applications, Springer, New York, 2008. https://doi.org/</w:t>
      </w:r>
      <w:hyperlink r:id="rId64">
        <w:r>
          <w:rPr>
            <w:rStyle w:val="Hyperlink"/>
          </w:rPr>
          <w:t xml:space="preserve">10.1007/978-0-387-47685-8</w:t>
        </w:r>
      </w:hyperlink>
      <w:r>
        <w:t xml:space="preserve">.</w:t>
      </w:r>
    </w:p>
    <w:bookmarkEnd w:id="65"/>
    <w:bookmarkStart w:id="67" w:name="ref-duerig1999overview"/>
    <w:p>
      <w:pPr>
        <w:pStyle w:val="Bibliography"/>
      </w:pPr>
      <w:r>
        <w:t xml:space="preserve">[9]</w:t>
      </w:r>
      <w:r>
        <w:t xml:space="preserve"> </w:t>
      </w:r>
      <w:r>
        <w:t xml:space="preserve">	</w:t>
      </w:r>
      <w:r>
        <w:t xml:space="preserve">T. Duerig, A. Pelton, D. Stöckel, An overview of nitinol medical applications, Materials Science and Engineering: A 273–275 (1999) 149–160. https://doi.org/</w:t>
      </w:r>
      <w:hyperlink r:id="rId66">
        <w:r>
          <w:rPr>
            <w:rStyle w:val="Hyperlink"/>
          </w:rPr>
          <w:t xml:space="preserve">10.1016/S0921-5093(99)00294-4</w:t>
        </w:r>
      </w:hyperlink>
      <w:r>
        <w:t xml:space="preserve">.</w:t>
      </w:r>
    </w:p>
    <w:bookmarkEnd w:id="67"/>
    <w:bookmarkStart w:id="69" w:name="ref-mohd2014nitinol"/>
    <w:p>
      <w:pPr>
        <w:pStyle w:val="Bibliography"/>
      </w:pPr>
      <w:r>
        <w:t xml:space="preserve">[10]</w:t>
      </w:r>
      <w:r>
        <w:t xml:space="preserve"> </w:t>
      </w:r>
      <w:r>
        <w:t xml:space="preserve">	</w:t>
      </w:r>
      <w:r>
        <w:t xml:space="preserve">J. Mohd Jani, M. Leary, A. Subic, M.A. Gibson, A review of shape memory alloy research, applications and opportunities, Materials</w:t>
      </w:r>
      <w:r>
        <w:t xml:space="preserve"> </w:t>
      </w:r>
      <w:r>
        <w:t xml:space="preserve">&amp;</w:t>
      </w:r>
      <w:r>
        <w:t xml:space="preserve"> </w:t>
      </w:r>
      <w:r>
        <w:t xml:space="preserve">Design 56 (2014) 1078–1113. https://doi.org/</w:t>
      </w:r>
      <w:hyperlink r:id="rId68">
        <w:r>
          <w:rPr>
            <w:rStyle w:val="Hyperlink"/>
          </w:rPr>
          <w:t xml:space="preserve">10.1016/j.matdes.2013.11.084</w:t>
        </w:r>
      </w:hyperlink>
      <w:r>
        <w:t xml:space="preserve">.</w:t>
      </w:r>
    </w:p>
    <w:bookmarkEnd w:id="69"/>
    <w:bookmarkStart w:id="71" w:name="ref-cladera2014ironbased"/>
    <w:p>
      <w:pPr>
        <w:pStyle w:val="Bibliography"/>
      </w:pPr>
      <w:r>
        <w:t xml:space="preserve">[11]</w:t>
      </w:r>
      <w:r>
        <w:t xml:space="preserve"> </w:t>
      </w:r>
      <w:r>
        <w:t xml:space="preserve">	</w:t>
      </w:r>
      <w:r>
        <w:t xml:space="preserve">A. Cladera, B. Weber, C. Leinenbach, C. Czaderski, M. Shahverdi, M. Motavalli, Iron-based shape memory alloys for civil engineering structures: An overview, Construction and Building Materials 63 (2014) 281–293. https://doi.org/</w:t>
      </w:r>
      <w:hyperlink r:id="rId70">
        <w:r>
          <w:rPr>
            <w:rStyle w:val="Hyperlink"/>
          </w:rPr>
          <w:t xml:space="preserve">10.1016/j.conbuildmat.2014.04.032</w:t>
        </w:r>
      </w:hyperlink>
      <w:r>
        <w:t xml:space="preserve">.</w:t>
      </w:r>
    </w:p>
    <w:bookmarkEnd w:id="71"/>
    <w:bookmarkStart w:id="73" w:name="ref-omori2011superelastic"/>
    <w:p>
      <w:pPr>
        <w:pStyle w:val="Bibliography"/>
      </w:pPr>
      <w:r>
        <w:t xml:space="preserve">[12]</w:t>
      </w:r>
      <w:r>
        <w:t xml:space="preserve"> </w:t>
      </w:r>
      <w:r>
        <w:t xml:space="preserve">	</w:t>
      </w:r>
      <w:r>
        <w:t xml:space="preserve">T. Omori, K. Ando, M. Okano, X. Xu, Y. Tanaka, I. Ohnuma, R. Kainuma, K. Ishida, Superelastic effect in polycrystalline ferrous alloys, Science 333 (2011) 68–71. https://doi.org/</w:t>
      </w:r>
      <w:hyperlink r:id="rId72">
        <w:r>
          <w:rPr>
            <w:rStyle w:val="Hyperlink"/>
          </w:rPr>
          <w:t xml:space="preserve">10.1126/science.1202232</w:t>
        </w:r>
      </w:hyperlink>
      <w:r>
        <w:t xml:space="preserve">.</w:t>
      </w:r>
    </w:p>
    <w:bookmarkEnd w:id="73"/>
    <w:bookmarkStart w:id="75" w:name="ref-vollmer2016cyclic"/>
    <w:p>
      <w:pPr>
        <w:pStyle w:val="Bibliography"/>
      </w:pPr>
      <w:r>
        <w:t xml:space="preserve">[13]</w:t>
      </w:r>
      <w:r>
        <w:t xml:space="preserve"> </w:t>
      </w:r>
      <w:r>
        <w:t xml:space="preserve">	</w:t>
      </w:r>
      <w:r>
        <w:t xml:space="preserve">M. Vollmer, P. Krooß, M.J. Kriegel, V. Klemm, C. Somsen, H. Ozcan, I. Karaman, A. Weidner, D. Rafaja, H. Biermann, T. Niendorf, Cyclic degradation in bamboo-like</w:t>
      </w:r>
      <w:r>
        <w:t xml:space="preserve"> </w:t>
      </w:r>
      <w:r>
        <w:t xml:space="preserve">Fe-Mn-Al-Ni</w:t>
      </w:r>
      <w:r>
        <w:t xml:space="preserve"> </w:t>
      </w:r>
      <w:r>
        <w:t xml:space="preserve">shape memory alloys: The role of grain orientation, Scripta Materialia 114 (2016) 156–160. https://doi.org/</w:t>
      </w:r>
      <w:hyperlink r:id="rId74">
        <w:r>
          <w:rPr>
            <w:rStyle w:val="Hyperlink"/>
          </w:rPr>
          <w:t xml:space="preserve">10.1016/j.scriptamat.2015.12.007</w:t>
        </w:r>
      </w:hyperlink>
      <w:r>
        <w:t xml:space="preserve">.</w:t>
      </w:r>
    </w:p>
    <w:bookmarkEnd w:id="75"/>
    <w:bookmarkStart w:id="77" w:name="ref-abuzaid2019femnnial"/>
    <w:p>
      <w:pPr>
        <w:pStyle w:val="Bibliography"/>
      </w:pPr>
      <w:r>
        <w:t xml:space="preserve">[14]</w:t>
      </w:r>
      <w:r>
        <w:t xml:space="preserve"> </w:t>
      </w:r>
      <w:r>
        <w:t xml:space="preserve">	</w:t>
      </w:r>
      <w:r>
        <w:t xml:space="preserve">W. Abuzaid, Y. Wu, R. Sidharth, F. Brenne, S. Alkan, M. Vollmer, P. Krooß, T. Niendorf, H. Sehitoglu,</w:t>
      </w:r>
      <w:r>
        <w:t xml:space="preserve"> </w:t>
      </w:r>
      <w:r>
        <w:t xml:space="preserve">FeMnNiAl</w:t>
      </w:r>
      <w:r>
        <w:t xml:space="preserve"> </w:t>
      </w:r>
      <w:r>
        <w:t xml:space="preserve">iron-based shape memory alloy: Promises and challenges, Shape Memory and Superelasticity 5 (2019) 384–396. https://doi.org/</w:t>
      </w:r>
      <w:hyperlink r:id="rId76">
        <w:r>
          <w:rPr>
            <w:rStyle w:val="Hyperlink"/>
          </w:rPr>
          <w:t xml:space="preserve">10.1007/s40830-019-00230-9</w:t>
        </w:r>
      </w:hyperlink>
      <w:r>
        <w:t xml:space="preserve">.</w:t>
      </w:r>
    </w:p>
    <w:bookmarkEnd w:id="77"/>
    <w:bookmarkStart w:id="79" w:name="ref-omori2017martensitic"/>
    <w:p>
      <w:pPr>
        <w:pStyle w:val="Bibliography"/>
      </w:pPr>
      <w:r>
        <w:t xml:space="preserve">[15]</w:t>
      </w:r>
      <w:r>
        <w:t xml:space="preserve"> </w:t>
      </w:r>
      <w:r>
        <w:t xml:space="preserve">	</w:t>
      </w:r>
      <w:r>
        <w:t xml:space="preserve">T. Omori, R. Kainuma, Martensitic transformation and superelasticity in fe-mn-al-based shape memory alloys, Shape Memory and Superelasticity 3 (2017) 322–334. https://doi.org/</w:t>
      </w:r>
      <w:hyperlink r:id="rId78">
        <w:r>
          <w:rPr>
            <w:rStyle w:val="Hyperlink"/>
          </w:rPr>
          <w:t xml:space="preserve">10.1007/s40830-017-0129-9</w:t>
        </w:r>
      </w:hyperlink>
      <w:r>
        <w:t xml:space="preserve">.</w:t>
      </w:r>
    </w:p>
    <w:bookmarkEnd w:id="79"/>
    <w:bookmarkStart w:id="81" w:name="ref-omori2016agg"/>
    <w:p>
      <w:pPr>
        <w:pStyle w:val="Bibliography"/>
      </w:pPr>
      <w:r>
        <w:t xml:space="preserve">[16]</w:t>
      </w:r>
      <w:r>
        <w:t xml:space="preserve"> </w:t>
      </w:r>
      <w:r>
        <w:t xml:space="preserve">	</w:t>
      </w:r>
      <w:r>
        <w:t xml:space="preserve">T. Omori, H. Iwaizako, R. Kainuma, Abnormal grain growth induced by cyclic heat treatment in</w:t>
      </w:r>
      <w:r>
        <w:t xml:space="preserve"> </w:t>
      </w:r>
      <w:r>
        <w:t xml:space="preserve">Fe-Mn-Al-Ni</w:t>
      </w:r>
      <w:r>
        <w:t xml:space="preserve"> </w:t>
      </w:r>
      <w:r>
        <w:t xml:space="preserve">superelastic alloy, Materials</w:t>
      </w:r>
      <w:r>
        <w:t xml:space="preserve"> </w:t>
      </w:r>
      <w:r>
        <w:t xml:space="preserve">&amp;</w:t>
      </w:r>
      <w:r>
        <w:t xml:space="preserve"> </w:t>
      </w:r>
      <w:r>
        <w:t xml:space="preserve">Design 101 (2016) 263–269. https://doi.org/</w:t>
      </w:r>
      <w:hyperlink r:id="rId80">
        <w:r>
          <w:rPr>
            <w:rStyle w:val="Hyperlink"/>
          </w:rPr>
          <w:t xml:space="preserve">10.1016/j.matdes.2016.04.011</w:t>
        </w:r>
      </w:hyperlink>
      <w:r>
        <w:t xml:space="preserve">.</w:t>
      </w:r>
    </w:p>
    <w:bookmarkEnd w:id="81"/>
    <w:bookmarkStart w:id="83" w:name="ref-tai2024ssrf"/>
    <w:p>
      <w:pPr>
        <w:pStyle w:val="Bibliography"/>
      </w:pPr>
      <w:r>
        <w:t xml:space="preserve">[17]</w:t>
      </w:r>
      <w:r>
        <w:t xml:space="preserve"> </w:t>
      </w:r>
      <w:r>
        <w:t xml:space="preserve">	</w:t>
      </w:r>
      <w:r>
        <w:t xml:space="preserve">R.Z. Tai, Z.T. Zhao, Overview of</w:t>
      </w:r>
      <w:r>
        <w:t xml:space="preserve"> </w:t>
      </w:r>
      <w:r>
        <w:t xml:space="preserve">SSRF</w:t>
      </w:r>
      <w:r>
        <w:t xml:space="preserve"> </w:t>
      </w:r>
      <w:r>
        <w:t xml:space="preserve">phase-</w:t>
      </w:r>
      <w:r>
        <w:t xml:space="preserve">II</w:t>
      </w:r>
      <w:r>
        <w:t xml:space="preserve"> </w:t>
      </w:r>
      <w:r>
        <w:t xml:space="preserve">beamlines, Nuclear Science and Techniques 35 (2024) 137. https://doi.org/</w:t>
      </w:r>
      <w:hyperlink r:id="rId82">
        <w:r>
          <w:rPr>
            <w:rStyle w:val="Hyperlink"/>
          </w:rPr>
          <w:t xml:space="preserve">10.1007/s41365-024-01487-1</w:t>
        </w:r>
      </w:hyperlink>
      <w:r>
        <w:t xml:space="preserve">.</w:t>
      </w:r>
    </w:p>
    <w:bookmarkEnd w:id="83"/>
    <w:bookmarkStart w:id="85" w:name="ref-yang2024ssrf"/>
    <w:p>
      <w:pPr>
        <w:pStyle w:val="Bibliography"/>
      </w:pPr>
      <w:r>
        <w:t xml:space="preserve">[18]</w:t>
      </w:r>
      <w:r>
        <w:t xml:space="preserve"> </w:t>
      </w:r>
      <w:r>
        <w:t xml:space="preserve">	</w:t>
      </w:r>
      <w:r>
        <w:t xml:space="preserve">K. Yang, Z.-H. Dong, C.-Y. Zhou, Z.-L. Zhao, D.-X. Liang, S.-C. Cao, others</w:t>
      </w:r>
      <w:r>
        <w:t xml:space="preserve">,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 (2024) 98. https://doi.org/</w:t>
      </w:r>
      <w:hyperlink r:id="rId84">
        <w:r>
          <w:rPr>
            <w:rStyle w:val="Hyperlink"/>
          </w:rPr>
          <w:t xml:space="preserve">10.1007/s41365-024-01468-4</w:t>
        </w:r>
      </w:hyperlink>
      <w:r>
        <w:t xml:space="preserve">.</w:t>
      </w:r>
    </w:p>
    <w:bookmarkEnd w:id="85"/>
    <w:bookmarkStart w:id="86" w:name="ref-hammersley1998fit2d"/>
    <w:p>
      <w:pPr>
        <w:pStyle w:val="Bibliography"/>
      </w:pPr>
      <w:r>
        <w:t xml:space="preserve">[19]</w:t>
      </w:r>
      <w:r>
        <w:t xml:space="preserve"> </w:t>
      </w:r>
      <w:r>
        <w:t xml:space="preserve">	</w:t>
      </w:r>
      <w:r>
        <w:t xml:space="preserve">A.P. Hammersley,</w:t>
      </w:r>
      <w:r>
        <w:t xml:space="preserve"> </w:t>
      </w:r>
      <w:r>
        <w:t xml:space="preserve">FIT2D</w:t>
      </w:r>
      <w:r>
        <w:t xml:space="preserve"> </w:t>
      </w:r>
      <w:r>
        <w:t xml:space="preserve">V9.129 reference manual V3.1, (1998).</w:t>
      </w:r>
    </w:p>
    <w:bookmarkEnd w:id="86"/>
    <w:bookmarkStart w:id="88" w:name="ref-rietveld1969"/>
    <w:p>
      <w:pPr>
        <w:pStyle w:val="Bibliography"/>
      </w:pPr>
      <w:r>
        <w:t xml:space="preserve">[20]</w:t>
      </w:r>
      <w:r>
        <w:t xml:space="preserve"> </w:t>
      </w:r>
      <w:r>
        <w:t xml:space="preserve">	</w:t>
      </w:r>
      <w:r>
        <w:t xml:space="preserve">H.M. Rietveld, A profile refinement method for nuclear and magnetic structures, Journal of Applied Crystallography 2 (1969) 65–71. https://doi.org/</w:t>
      </w:r>
      <w:hyperlink r:id="rId87">
        <w:r>
          <w:rPr>
            <w:rStyle w:val="Hyperlink"/>
          </w:rPr>
          <w:t xml:space="preserve">10.1107/S0021889869006558</w:t>
        </w:r>
      </w:hyperlink>
      <w:r>
        <w:t xml:space="preserve">.</w:t>
      </w:r>
    </w:p>
    <w:bookmarkEnd w:id="88"/>
    <w:bookmarkStart w:id="90" w:name="ref-lutterotti1997maud"/>
    <w:p>
      <w:pPr>
        <w:pStyle w:val="Bibliography"/>
      </w:pPr>
      <w:r>
        <w:t xml:space="preserve">[21]</w:t>
      </w:r>
      <w:r>
        <w:t xml:space="preserve"> </w:t>
      </w:r>
      <w:r>
        <w:t xml:space="preserve">	</w:t>
      </w:r>
      <w:r>
        <w:t xml:space="preserve">L. Lutterotti, S. Matthies, H.R. Wenk, A.S. Schultz, J.W. Richardson, Combined texture and structure analysis of deformed limestone from time-of-flight neutron diffraction spectra, Journal of Applied Physics 81 (1997) 594–600. https://doi.org/</w:t>
      </w:r>
      <w:hyperlink r:id="rId89">
        <w:r>
          <w:rPr>
            <w:rStyle w:val="Hyperlink"/>
          </w:rPr>
          <w:t xml:space="preserve">10.1063/1.364220</w:t>
        </w:r>
      </w:hyperlink>
      <w:r>
        <w:t xml:space="preserve">.</w:t>
      </w:r>
    </w:p>
    <w:bookmarkEnd w:id="90"/>
    <w:bookmarkStart w:id="92" w:name="ref-lukas2007calphad"/>
    <w:p>
      <w:pPr>
        <w:pStyle w:val="Bibliography"/>
      </w:pPr>
      <w:r>
        <w:t xml:space="preserve">[22]</w:t>
      </w:r>
      <w:r>
        <w:t xml:space="preserve"> </w:t>
      </w:r>
      <w:r>
        <w:t xml:space="preserve">	</w:t>
      </w:r>
      <w:r>
        <w:t xml:space="preserve">H.L. Lukas, S.G. Fries, B. Sundman, Computational thermodynamics: The calphad method, Cambridge University Press, Cambridge, 2007. https://doi.org/</w:t>
      </w:r>
      <w:hyperlink r:id="rId91">
        <w:r>
          <w:rPr>
            <w:rStyle w:val="Hyperlink"/>
          </w:rPr>
          <w:t xml:space="preserve">10.1017/CBO9780511804137</w:t>
        </w:r>
      </w:hyperlink>
      <w:r>
        <w:t xml:space="preserve">.</w:t>
      </w:r>
    </w:p>
    <w:bookmarkEnd w:id="92"/>
    <w:bookmarkStart w:id="94" w:name="ref-otis2017pycalphad"/>
    <w:p>
      <w:pPr>
        <w:pStyle w:val="Bibliography"/>
      </w:pPr>
      <w:r>
        <w:t xml:space="preserve">[23]</w:t>
      </w:r>
      <w:r>
        <w:t xml:space="preserve"> </w:t>
      </w:r>
      <w:r>
        <w:t xml:space="preserve">	</w:t>
      </w:r>
      <w:r>
        <w:t xml:space="preserve">R. Otis, Z.-K. Liu, Pycalphad:</w:t>
      </w:r>
      <w:r>
        <w:t xml:space="preserve"> </w:t>
      </w:r>
      <w:r>
        <w:t xml:space="preserve">CALPHAD</w:t>
      </w:r>
      <w:r>
        <w:t xml:space="preserve">-based computational thermodynamics in</w:t>
      </w:r>
      <w:r>
        <w:t xml:space="preserve"> </w:t>
      </w:r>
      <w:r>
        <w:t xml:space="preserve">Python</w:t>
      </w:r>
      <w:r>
        <w:t xml:space="preserve">, Journal of Open Research Software 5 (2017) 1. https://doi.org/</w:t>
      </w:r>
      <w:hyperlink r:id="rId93">
        <w:r>
          <w:rPr>
            <w:rStyle w:val="Hyperlink"/>
          </w:rPr>
          <w:t xml:space="preserve">10.5334/jors.140</w:t>
        </w:r>
      </w:hyperlink>
      <w:r>
        <w:t xml:space="preserve">.</w:t>
      </w:r>
    </w:p>
    <w:bookmarkEnd w:id="94"/>
    <w:bookmarkStart w:id="95" w:name="ref-hallstedt2017mpea"/>
    <w:p>
      <w:pPr>
        <w:pStyle w:val="Bibliography"/>
      </w:pPr>
      <w:r>
        <w:t xml:space="preserve">[24]</w:t>
      </w:r>
      <w:r>
        <w:t xml:space="preserve"> </w:t>
      </w:r>
      <w:r>
        <w:t xml:space="preserve">	</w:t>
      </w:r>
      <w:r>
        <w:t xml:space="preserve">B. Hallstedt, Database for high entropy alloys (</w:t>
      </w:r>
      <w:r>
        <w:t xml:space="preserve">mpea</w:t>
      </w:r>
      <w:r>
        <w:t xml:space="preserve">), version 2b, (2017).</w:t>
      </w:r>
    </w:p>
    <w:bookmarkEnd w:id="95"/>
    <w:bookmarkStart w:id="97" w:name="ref-hallstedt2023mpea"/>
    <w:p>
      <w:pPr>
        <w:pStyle w:val="Bibliography"/>
      </w:pPr>
      <w:r>
        <w:t xml:space="preserve">[25]</w:t>
      </w:r>
      <w:r>
        <w:t xml:space="preserve"> </w:t>
      </w:r>
      <w:r>
        <w:t xml:space="preserve">	</w:t>
      </w:r>
      <w:r>
        <w:t xml:space="preserve">B. Hallstedt, M. Noori, F. Kies, F. Oppermann, C. Haase, Thermodynamic database for multi-principal element alloys within the system</w:t>
      </w:r>
      <w:r>
        <w:t xml:space="preserve"> </w:t>
      </w:r>
      <w:r>
        <w:t xml:space="preserve">Al–Co–Cr–Fe–Mn–Ni–C</w:t>
      </w:r>
      <w:r>
        <w:t xml:space="preserve">, Calphad 83 (2023) 102644. https://doi.org/</w:t>
      </w:r>
      <w:hyperlink r:id="rId96">
        <w:r>
          <w:rPr>
            <w:rStyle w:val="Hyperlink"/>
          </w:rPr>
          <w:t xml:space="preserve">10.1016/j.calphad.2023.102644</w:t>
        </w:r>
      </w:hyperlink>
      <w:r>
        <w:t xml:space="preserve">.</w:t>
      </w:r>
    </w:p>
    <w:bookmarkEnd w:id="97"/>
    <w:bookmarkStart w:id="99" w:name="ref-prechimn04"/>
    <w:p>
      <w:pPr>
        <w:pStyle w:val="Bibliography"/>
      </w:pPr>
      <w:r>
        <w:t xml:space="preserve">[26]</w:t>
      </w:r>
      <w:r>
        <w:t xml:space="preserve"> </w:t>
      </w:r>
      <w:r>
        <w:t xml:space="preserve">	</w:t>
      </w:r>
      <w:r>
        <w:t xml:space="preserve">B. Hallstedt, A.V. Khvan, B.B. Lindahl, M. Selleby, S. Liu,</w:t>
      </w:r>
      <w:r>
        <w:t xml:space="preserve"> </w:t>
      </w:r>
      <w:r>
        <w:t xml:space="preserve">PrecHiMn-4</w:t>
      </w:r>
      <w:r>
        <w:t xml:space="preserve"> </w:t>
      </w:r>
      <w:r>
        <w:t xml:space="preserve">— a thermodynamic database for high-</w:t>
      </w:r>
      <w:r>
        <w:t xml:space="preserve">Mn</w:t>
      </w:r>
      <w:r>
        <w:t xml:space="preserve"> </w:t>
      </w:r>
      <w:r>
        <w:t xml:space="preserve">steels, Calphad 56 (2017) 49–57. https://doi.org/</w:t>
      </w:r>
      <w:hyperlink r:id="rId98">
        <w:r>
          <w:rPr>
            <w:rStyle w:val="Hyperlink"/>
          </w:rPr>
          <w:t xml:space="preserve">10.1016/j.calphad.2016.11.006</w:t>
        </w:r>
      </w:hyperlink>
      <w:r>
        <w:t xml:space="preserve">.</w:t>
      </w:r>
    </w:p>
    <w:bookmarkEnd w:id="99"/>
    <w:bookmarkStart w:id="100" w:name="ref-mcfe"/>
    <w:p>
      <w:pPr>
        <w:pStyle w:val="Bibliography"/>
      </w:pPr>
      <w:r>
        <w:t xml:space="preserve">[27]</w:t>
      </w:r>
      <w:r>
        <w:t xml:space="preserve"> </w:t>
      </w:r>
      <w:r>
        <w:t xml:space="preserve">	</w:t>
      </w:r>
      <w:r>
        <w:t xml:space="preserve">E. Povoden-Karadeniz,</w:t>
      </w:r>
      <w:r>
        <w:t xml:space="preserve"> </w:t>
      </w:r>
      <w:r>
        <w:t xml:space="preserve">MatCalc</w:t>
      </w:r>
      <w:r>
        <w:t xml:space="preserve"> </w:t>
      </w:r>
      <w:r>
        <w:t xml:space="preserve">thermodynamic steel database</w:t>
      </w:r>
      <w:r>
        <w:t xml:space="preserve"> </w:t>
      </w:r>
      <w:r>
        <w:t xml:space="preserve">mc_fe</w:t>
      </w:r>
      <w:r>
        <w:t xml:space="preserve">, version 2.059, (2016).</w:t>
      </w:r>
    </w:p>
    <w:bookmarkEnd w:id="100"/>
    <w:bookmarkStart w:id="102" w:name="ref-tanaka2010science"/>
    <w:p>
      <w:pPr>
        <w:pStyle w:val="Bibliography"/>
      </w:pPr>
      <w:r>
        <w:t xml:space="preserve">[28]</w:t>
      </w:r>
      <w:r>
        <w:t xml:space="preserve"> </w:t>
      </w:r>
      <w:r>
        <w:t xml:space="preserve">	</w:t>
      </w:r>
      <w:r>
        <w:t xml:space="preserve">Y. Tanaka, Y. Himuro, R. Kainuma, Y. Sutou, T. Omori, K. Ishida, Ferrous polycrystalline shape-memory alloy showing huge superelasticity, Science 327 (2010) 1488–1490. https://doi.org/</w:t>
      </w:r>
      <w:hyperlink r:id="rId101">
        <w:r>
          <w:rPr>
            <w:rStyle w:val="Hyperlink"/>
          </w:rPr>
          <w:t xml:space="preserve">10.1126/science.1183169</w:t>
        </w:r>
      </w:hyperlink>
      <w:r>
        <w:t xml:space="preserve">.</w:t>
      </w:r>
    </w:p>
    <w:bookmarkEnd w:id="102"/>
    <w:bookmarkStart w:id="104" w:name="ref-vollmer2019natcomm"/>
    <w:p>
      <w:pPr>
        <w:pStyle w:val="Bibliography"/>
      </w:pPr>
      <w:r>
        <w:t xml:space="preserve">[29]</w:t>
      </w:r>
      <w:r>
        <w:t xml:space="preserve"> </w:t>
      </w:r>
      <w:r>
        <w:t xml:space="preserve">	</w:t>
      </w:r>
      <w:r>
        <w:t xml:space="preserve">M. Vollmer, T. Arold, M.J. Kriegel, V. Klemm, S. Degener, J. Freudenberger, T. Niendorf, Promoting abnormal grain growth in</w:t>
      </w:r>
      <w:r>
        <w:t xml:space="preserve"> </w:t>
      </w:r>
      <w:r>
        <w:t xml:space="preserve">Fe</w:t>
      </w:r>
      <w:r>
        <w:t xml:space="preserve">-based shape memory alloys through compositional adjustments, Nature Communications 10 (2019) 2337. https://doi.org/</w:t>
      </w:r>
      <w:hyperlink r:id="rId103">
        <w:r>
          <w:rPr>
            <w:rStyle w:val="Hyperlink"/>
          </w:rPr>
          <w:t xml:space="preserve">10.1038/s41467-019-10308-8</w:t>
        </w:r>
      </w:hyperlink>
      <w:r>
        <w:t xml:space="preserve">.</w:t>
      </w:r>
    </w:p>
    <w:bookmarkEnd w:id="104"/>
    <w:bookmarkStart w:id="105" w:name="ref-bhadeshia2010steels"/>
    <w:p>
      <w:pPr>
        <w:pStyle w:val="Bibliography"/>
      </w:pPr>
      <w:r>
        <w:t xml:space="preserve">[30]</w:t>
      </w:r>
      <w:r>
        <w:t xml:space="preserve"> </w:t>
      </w:r>
      <w:r>
        <w:t xml:space="preserve">	</w:t>
      </w:r>
      <w:r>
        <w:t xml:space="preserve">H.K.D.H. Bhadeshia, R.W.K. Honeycombe, Steels: Microstructure and properties, Fourth, Elsevier Butterworth-Heinemann, Oxford, 2017.</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jpg"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9" Target="media/rId39.png" /><Relationship Type="http://schemas.openxmlformats.org/officeDocument/2006/relationships/hyperlink" Id="rId61" Target="https://arxiv.org/abs/2409.06756" TargetMode="External" /><Relationship Type="http://schemas.openxmlformats.org/officeDocument/2006/relationships/hyperlink" Id="rId55" Target="https://arxiv.org/abs/2506.12594" TargetMode="External" /><Relationship Type="http://schemas.openxmlformats.org/officeDocument/2006/relationships/hyperlink" Id="rId53" Target="https://arxiv.org/abs/2507.06261" TargetMode="External" /><Relationship Type="http://schemas.openxmlformats.org/officeDocument/2006/relationships/hyperlink" Id="rId59" Target="https://doi.org/10.1002/adfm.202527774" TargetMode="External" /><Relationship Type="http://schemas.openxmlformats.org/officeDocument/2006/relationships/hyperlink" Id="rId64" Target="https://doi.org/10.1007/978-0-387-47685-8" TargetMode="External" /><Relationship Type="http://schemas.openxmlformats.org/officeDocument/2006/relationships/hyperlink" Id="rId78" Target="https://doi.org/10.1007/s40830-017-0129-9" TargetMode="External" /><Relationship Type="http://schemas.openxmlformats.org/officeDocument/2006/relationships/hyperlink" Id="rId76" Target="https://doi.org/10.1007/s40830-019-00230-9" TargetMode="External" /><Relationship Type="http://schemas.openxmlformats.org/officeDocument/2006/relationships/hyperlink" Id="rId84" Target="https://doi.org/10.1007/s41365-024-01468-4" TargetMode="External" /><Relationship Type="http://schemas.openxmlformats.org/officeDocument/2006/relationships/hyperlink" Id="rId82" Target="https://doi.org/10.1007/s41365-024-01487-1" TargetMode="External" /><Relationship Type="http://schemas.openxmlformats.org/officeDocument/2006/relationships/hyperlink" Id="rId66" Target="https://doi.org/10.1016/S0921-5093(99)00294-4" TargetMode="External" /><Relationship Type="http://schemas.openxmlformats.org/officeDocument/2006/relationships/hyperlink" Id="rId57" Target="https://doi.org/10.1016/j.actamat.2022.117751" TargetMode="External" /><Relationship Type="http://schemas.openxmlformats.org/officeDocument/2006/relationships/hyperlink" Id="rId98" Target="https://doi.org/10.1016/j.calphad.2016.11.006" TargetMode="External" /><Relationship Type="http://schemas.openxmlformats.org/officeDocument/2006/relationships/hyperlink" Id="rId96" Target="https://doi.org/10.1016/j.calphad.2023.102644" TargetMode="External" /><Relationship Type="http://schemas.openxmlformats.org/officeDocument/2006/relationships/hyperlink" Id="rId70" Target="https://doi.org/10.1016/j.conbuildmat.2014.04.032" TargetMode="External" /><Relationship Type="http://schemas.openxmlformats.org/officeDocument/2006/relationships/hyperlink" Id="rId68" Target="https://doi.org/10.1016/j.matdes.2013.11.084" TargetMode="External" /><Relationship Type="http://schemas.openxmlformats.org/officeDocument/2006/relationships/hyperlink" Id="rId80" Target="https://doi.org/10.1016/j.matdes.2016.04.011" TargetMode="External" /><Relationship Type="http://schemas.openxmlformats.org/officeDocument/2006/relationships/hyperlink" Id="rId74" Target="https://doi.org/10.1016/j.scriptamat.2015.12.007" TargetMode="External" /><Relationship Type="http://schemas.openxmlformats.org/officeDocument/2006/relationships/hyperlink" Id="rId91" Target="https://doi.org/10.1017/CBO9780511804137" TargetMode="External" /><Relationship Type="http://schemas.openxmlformats.org/officeDocument/2006/relationships/hyperlink" Id="rId103" Target="https://doi.org/10.1038/s41467-019-10308-8" TargetMode="External" /><Relationship Type="http://schemas.openxmlformats.org/officeDocument/2006/relationships/hyperlink" Id="rId51" Target="https://doi.org/10.1038/s41586-023-06735-9" TargetMode="External" /><Relationship Type="http://schemas.openxmlformats.org/officeDocument/2006/relationships/hyperlink" Id="rId89" Target="https://doi.org/10.1063/1.364220" TargetMode="External" /><Relationship Type="http://schemas.openxmlformats.org/officeDocument/2006/relationships/hyperlink" Id="rId87" Target="https://doi.org/10.1107/S0021889869006558" TargetMode="External" /><Relationship Type="http://schemas.openxmlformats.org/officeDocument/2006/relationships/hyperlink" Id="rId101" Target="https://doi.org/10.1126/science.1183169" TargetMode="External" /><Relationship Type="http://schemas.openxmlformats.org/officeDocument/2006/relationships/hyperlink" Id="rId72" Target="https://doi.org/10.1126/science.1202232" TargetMode="External" /><Relationship Type="http://schemas.openxmlformats.org/officeDocument/2006/relationships/hyperlink" Id="rId93" Target="https://doi.org/10.5334/jors.140" TargetMode="External" /></Relationships>
</file>

<file path=word/_rels/footnotes.xml.rels><?xml version="1.0" encoding="UTF-8"?><Relationships xmlns="http://schemas.openxmlformats.org/package/2006/relationships"><Relationship Type="http://schemas.openxmlformats.org/officeDocument/2006/relationships/hyperlink" Id="rId61" Target="https://arxiv.org/abs/2409.06756" TargetMode="External" /><Relationship Type="http://schemas.openxmlformats.org/officeDocument/2006/relationships/hyperlink" Id="rId55" Target="https://arxiv.org/abs/2506.12594" TargetMode="External" /><Relationship Type="http://schemas.openxmlformats.org/officeDocument/2006/relationships/hyperlink" Id="rId53" Target="https://arxiv.org/abs/2507.06261" TargetMode="External" /><Relationship Type="http://schemas.openxmlformats.org/officeDocument/2006/relationships/hyperlink" Id="rId59" Target="https://doi.org/10.1002/adfm.202527774" TargetMode="External" /><Relationship Type="http://schemas.openxmlformats.org/officeDocument/2006/relationships/hyperlink" Id="rId64" Target="https://doi.org/10.1007/978-0-387-47685-8" TargetMode="External" /><Relationship Type="http://schemas.openxmlformats.org/officeDocument/2006/relationships/hyperlink" Id="rId78" Target="https://doi.org/10.1007/s40830-017-0129-9" TargetMode="External" /><Relationship Type="http://schemas.openxmlformats.org/officeDocument/2006/relationships/hyperlink" Id="rId76" Target="https://doi.org/10.1007/s40830-019-00230-9" TargetMode="External" /><Relationship Type="http://schemas.openxmlformats.org/officeDocument/2006/relationships/hyperlink" Id="rId84" Target="https://doi.org/10.1007/s41365-024-01468-4" TargetMode="External" /><Relationship Type="http://schemas.openxmlformats.org/officeDocument/2006/relationships/hyperlink" Id="rId82" Target="https://doi.org/10.1007/s41365-024-01487-1" TargetMode="External" /><Relationship Type="http://schemas.openxmlformats.org/officeDocument/2006/relationships/hyperlink" Id="rId66" Target="https://doi.org/10.1016/S0921-5093(99)00294-4" TargetMode="External" /><Relationship Type="http://schemas.openxmlformats.org/officeDocument/2006/relationships/hyperlink" Id="rId57" Target="https://doi.org/10.1016/j.actamat.2022.117751" TargetMode="External" /><Relationship Type="http://schemas.openxmlformats.org/officeDocument/2006/relationships/hyperlink" Id="rId98" Target="https://doi.org/10.1016/j.calphad.2016.11.006" TargetMode="External" /><Relationship Type="http://schemas.openxmlformats.org/officeDocument/2006/relationships/hyperlink" Id="rId96" Target="https://doi.org/10.1016/j.calphad.2023.102644" TargetMode="External" /><Relationship Type="http://schemas.openxmlformats.org/officeDocument/2006/relationships/hyperlink" Id="rId70" Target="https://doi.org/10.1016/j.conbuildmat.2014.04.032" TargetMode="External" /><Relationship Type="http://schemas.openxmlformats.org/officeDocument/2006/relationships/hyperlink" Id="rId68" Target="https://doi.org/10.1016/j.matdes.2013.11.084" TargetMode="External" /><Relationship Type="http://schemas.openxmlformats.org/officeDocument/2006/relationships/hyperlink" Id="rId80" Target="https://doi.org/10.1016/j.matdes.2016.04.011" TargetMode="External" /><Relationship Type="http://schemas.openxmlformats.org/officeDocument/2006/relationships/hyperlink" Id="rId74" Target="https://doi.org/10.1016/j.scriptamat.2015.12.007" TargetMode="External" /><Relationship Type="http://schemas.openxmlformats.org/officeDocument/2006/relationships/hyperlink" Id="rId91" Target="https://doi.org/10.1017/CBO9780511804137" TargetMode="External" /><Relationship Type="http://schemas.openxmlformats.org/officeDocument/2006/relationships/hyperlink" Id="rId103" Target="https://doi.org/10.1038/s41467-019-10308-8" TargetMode="External" /><Relationship Type="http://schemas.openxmlformats.org/officeDocument/2006/relationships/hyperlink" Id="rId51" Target="https://doi.org/10.1038/s41586-023-06735-9" TargetMode="External" /><Relationship Type="http://schemas.openxmlformats.org/officeDocument/2006/relationships/hyperlink" Id="rId89" Target="https://doi.org/10.1063/1.364220" TargetMode="External" /><Relationship Type="http://schemas.openxmlformats.org/officeDocument/2006/relationships/hyperlink" Id="rId87" Target="https://doi.org/10.1107/S0021889869006558" TargetMode="External" /><Relationship Type="http://schemas.openxmlformats.org/officeDocument/2006/relationships/hyperlink" Id="rId101" Target="https://doi.org/10.1126/science.1183169" TargetMode="External" /><Relationship Type="http://schemas.openxmlformats.org/officeDocument/2006/relationships/hyperlink" Id="rId72" Target="https://doi.org/10.1126/science.1202232" TargetMode="External" /><Relationship Type="http://schemas.openxmlformats.org/officeDocument/2006/relationships/hyperlink" Id="rId93" Target="https://doi.org/10.5334/jors.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
  <cp:keywords/>
  <dcterms:created xsi:type="dcterms:W3CDTF">2026-08-09T00:43:25Z</dcterms:created>
  <dcterms:modified xsi:type="dcterms:W3CDTF">2026-08-09T00:43:25Z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