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Please find enclosed our revised manuscript for JMRT-D-26-06169, resubmitted in</w:t>
      </w:r>
      <w:r>
        <w:t xml:space="preserve"> </w:t>
      </w:r>
      <w:r>
        <w:t xml:space="preserve">response to the decision of major revision. We thank you and the three reviewers</w:t>
      </w:r>
      <w:r>
        <w:t xml:space="preserve"> </w:t>
      </w:r>
      <w:r>
        <w:t xml:space="preserve">for a detailed and constructive set of 45 comments; the manuscript is</w:t>
      </w:r>
      <w:r>
        <w:t xml:space="preserve"> </w:t>
      </w:r>
      <w:r>
        <w:t xml:space="preserve">substantially stronger for them.</w:t>
      </w:r>
    </w:p>
    <w:p>
      <w:pPr>
        <w:pStyle w:val="BodyText"/>
      </w:pPr>
      <w:r>
        <w:t xml:space="preserve">The revision responds to every comment. The principal changes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New thermodynamic analysis.</w:t>
      </w:r>
      <w:r>
        <w:t xml:space="preserve"> </w:t>
      </w:r>
      <w:r>
        <w:t xml:space="preserve">A CALPHAD study (new Secs. 2.6 and 3.4, new</w:t>
      </w:r>
      <w:r>
        <w:t xml:space="preserve"> </w:t>
      </w:r>
      <w:r>
        <w:t xml:space="preserve">Fig. 9) computes equilibrium phase fractions for both alloys, an in-silico</w:t>
      </w:r>
      <w:r>
        <w:t xml:space="preserve"> </w:t>
      </w:r>
      <w:r>
        <w:t xml:space="preserve">carbon-free control, and a nickel scan across three independent databases. It</w:t>
      </w:r>
      <w:r>
        <w:t xml:space="preserve"> </w:t>
      </w:r>
      <w:r>
        <w:t xml:space="preserve">shows that at the measured carbon level the LLM-alloy has no single-phase α</w:t>
      </w:r>
      <w:r>
        <w:t xml:space="preserve"> </w:t>
      </w:r>
      <w:r>
        <w:t xml:space="preserve">field at any temperature its processing can reach — the mechanism behind the</w:t>
      </w:r>
      <w:r>
        <w:t xml:space="preserve"> </w:t>
      </w:r>
      <w:r>
        <w:t xml:space="preserve">absent super-elasticity, requested independently by Reviewers 1 and 3.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abnormal-grain-growth result is now reported in full</w:t>
      </w:r>
      <w:r>
        <w:t xml:space="preserve"> </w:t>
      </w:r>
      <w:r>
        <w:t xml:space="preserve">(new Sec. 3.5,</w:t>
      </w:r>
      <w:r>
        <w:t xml:space="preserve"> </w:t>
      </w:r>
      <w:r>
        <w:t xml:space="preserve">new Figs. 8 and 10) rather than in a single sentence, with post-AGG</w:t>
      </w:r>
      <w:r>
        <w:t xml:space="preserve"> </w:t>
      </w:r>
      <w:r>
        <w:t xml:space="preserve">diffraction, micrographs and replicate mechanical data.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New characterization.</w:t>
      </w:r>
      <w:r>
        <w:t xml:space="preserve"> </w:t>
      </w:r>
      <w:r>
        <w:t xml:space="preserve">SEM/EDS phase identification, quantitative Rietveld</w:t>
      </w:r>
      <w:r>
        <w:t xml:space="preserve"> </w:t>
      </w:r>
      <w:r>
        <w:t xml:space="preserve">phase fractions with texture analysis (new Fig. 7), measured interstitial</w:t>
      </w:r>
      <w:r>
        <w:t xml:space="preserve"> </w:t>
      </w:r>
      <w:r>
        <w:t xml:space="preserve">carbon for both heats, and a rebuilt Fig. 2 showing all eight heat-treated</w:t>
      </w:r>
      <w:r>
        <w:t xml:space="preserve"> </w:t>
      </w:r>
      <w:r>
        <w:t xml:space="preserve">conditions from the raw load-frame exports.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Tempered claims and naming.</w:t>
      </w:r>
      <w:r>
        <w:t xml:space="preserve"> </w:t>
      </w:r>
      <w:r>
        <w:t xml:space="preserve">The title is revised to</w:t>
      </w:r>
      <w:r>
        <w:t xml:space="preserve"> </w:t>
      </w:r>
      <w:r>
        <w:rPr>
          <w:i/>
          <w:iCs/>
        </w:rPr>
        <w:t xml:space="preserve">Experimental</w:t>
      </w:r>
      <w:r>
        <w:rPr>
          <w:i/>
          <w:iCs/>
        </w:rPr>
        <w:t xml:space="preserve"> </w:t>
      </w:r>
      <w:r>
        <w:rPr>
          <w:i/>
          <w:iCs/>
        </w:rPr>
        <w:t xml:space="preserve">Validation of an LLM-Hypothesized Fe-Mn-Al-Ni-Si-C Alloy: Phase Stability</w:t>
      </w:r>
      <w:r>
        <w:rPr>
          <w:i/>
          <w:iCs/>
        </w:rPr>
        <w:t xml:space="preserve"> </w:t>
      </w:r>
      <w:r>
        <w:rPr>
          <w:i/>
          <w:iCs/>
        </w:rPr>
        <w:t xml:space="preserve">Governs the Absence of Super-elasticity</w:t>
      </w:r>
      <w:r>
        <w:t xml:space="preserve">; the test alloy is now the</w:t>
      </w:r>
      <w:r>
        <w:t xml:space="preserve"> </w:t>
      </w:r>
      <w:r>
        <w:t xml:space="preserve">“LLM-alloy”</w:t>
      </w:r>
      <w:r>
        <w:t xml:space="preserve"> </w:t>
      </w:r>
      <w:r>
        <w:t xml:space="preserve">throughout (resolving an AI/Al typeface ambiguity raised by</w:t>
      </w:r>
      <w:r>
        <w:t xml:space="preserve"> </w:t>
      </w:r>
      <w:r>
        <w:t xml:space="preserve">Reviewer 1); and the benchmark is framed explicitly as a control.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Provenance.</w:t>
      </w:r>
      <w:r>
        <w:t xml:space="preserve"> </w:t>
      </w:r>
      <w:r>
        <w:t xml:space="preserve">The complete 41-page LLM design report is supplied as</w:t>
      </w:r>
      <w:r>
        <w:t xml:space="preserve"> </w:t>
      </w:r>
      <w:r>
        <w:t xml:space="preserve">Supplementary Material, and the generative-AI declaration is updated.</w:t>
      </w:r>
    </w:p>
    <w:p>
      <w:pPr>
        <w:pStyle w:val="FirstParagraph"/>
      </w:pPr>
      <w:r>
        <w:t xml:space="preserve">Because the reviews are answered per reviewer, we upload three response</w:t>
      </w:r>
      <w:r>
        <w:t xml:space="preserve"> </w:t>
      </w:r>
      <w:r>
        <w:t xml:space="preserve">documents, each quoting that reviewer’s comments verbatim and answering them in</w:t>
      </w:r>
      <w:r>
        <w:t xml:space="preserve"> </w:t>
      </w:r>
      <w:r>
        <w:t xml:space="preserve">order. The marked-up manuscript shows every change against the submitted</w:t>
      </w:r>
      <w:r>
        <w:t xml:space="preserve"> </w:t>
      </w:r>
      <w:r>
        <w:t xml:space="preserve">version.</w:t>
      </w:r>
    </w:p>
    <w:p>
      <w:pPr>
        <w:pStyle w:val="BodyText"/>
      </w:pPr>
      <w:r>
        <w:t xml:space="preserve">This work is original, is not under consideration elsewhere, and all authors</w:t>
      </w:r>
      <w:r>
        <w:t xml:space="preserve"> </w:t>
      </w:r>
      <w:r>
        <w:t xml:space="preserve">have approved the revised version. We hope the manuscript is now suitable for</w:t>
      </w:r>
      <w:r>
        <w:t xml:space="preserve"> </w:t>
      </w:r>
      <w:r>
        <w:t xml:space="preserve">publication in the</w:t>
      </w:r>
      <w:r>
        <w:t xml:space="preserve"> </w:t>
      </w:r>
      <w:r>
        <w:rPr>
          <w:i/>
          <w:iCs/>
        </w:rPr>
        <w:t xml:space="preserve">Journal of Materials Research and Technology</w:t>
      </w:r>
      <w:r>
        <w:t xml:space="preserve">.</w:t>
      </w:r>
    </w:p>
    <w:p>
      <w:pPr>
        <w:pStyle w:val="BodyText"/>
      </w:pPr>
      <w:r>
        <w:t xml:space="preserve">Sincerely, on behalf of all authors,</w:t>
      </w:r>
    </w:p>
    <w:p>
      <w:pPr>
        <w:pStyle w:val="BodyText"/>
      </w:pPr>
      <w:r>
        <w:t xml:space="preserve">Frank Y. Cai</w:t>
      </w:r>
      <w:r>
        <w:t xml:space="preserve"> </w:t>
      </w:r>
      <w:r>
        <w:t xml:space="preserve">School of Engineering Technologies, Purdue University</w:t>
      </w:r>
      <w:r>
        <w:t xml:space="preserve"> </w:t>
      </w:r>
      <w:r>
        <w:t xml:space="preserve">West Lafayette, Indiana 47907, USA</w:t>
      </w:r>
      <w:r>
        <w:t xml:space="preserve"> </w:t>
      </w:r>
      <w:r>
        <w:t xml:space="preserve">cai485@purdue.edu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2026-08-17T20:00:40Z</dcterms:created>
  <dcterms:modified xsi:type="dcterms:W3CDTF">2026-08-17T20:00:40Z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