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An LLM-hypothesized Fe-Mn-Al-Ni-Si-C alloy was cast, drawn to wire, and tested</w:t>
      </w:r>
    </w:p>
    <w:p>
      <w:pPr>
        <w:pStyle w:val="Compact"/>
        <w:numPr>
          <w:ilvl w:val="0"/>
          <w:numId w:val="1001"/>
        </w:numPr>
      </w:pPr>
      <w:r>
        <w:t xml:space="preserve">The LLM-alloy shows no super-elastic or shape-memory recovery in any tested state</w:t>
      </w:r>
    </w:p>
    <w:p>
      <w:pPr>
        <w:pStyle w:val="Compact"/>
        <w:numPr>
          <w:ilvl w:val="0"/>
          <w:numId w:val="1001"/>
        </w:numPr>
      </w:pPr>
      <w:r>
        <w:t xml:space="preserve">Benchmark alloy recovers ≈0.5% strain on heating, validating the test protocol</w:t>
      </w:r>
    </w:p>
    <w:p>
      <w:pPr>
        <w:pStyle w:val="Compact"/>
        <w:numPr>
          <w:ilvl w:val="0"/>
          <w:numId w:val="1001"/>
        </w:numPr>
      </w:pPr>
      <w:r>
        <w:t xml:space="preserve">Rietveld: 62% γ, 34% α, 4% D0₃ and no B2 — too little parent phase to transform</w:t>
      </w:r>
    </w:p>
    <w:p>
      <w:pPr>
        <w:pStyle w:val="Compact"/>
        <w:numPr>
          <w:ilvl w:val="0"/>
          <w:numId w:val="1001"/>
        </w:numPr>
      </w:pPr>
      <w:r>
        <w:t xml:space="preserve">CALPHAD in three databases: the measured carbon closes the α field below solidus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2026-08-17T20:00:40Z</dcterms:created>
  <dcterms:modified xsi:type="dcterms:W3CDTF">2026-08-17T20:00:40Z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