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figures, tables and text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 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Omori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2; Fig. 2a (one specimen)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strand passes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2b–e)</w:t>
            </w:r>
          </w:p>
        </w:tc>
        <w:tc>
          <w:tcPr/>
          <w:p>
            <w:pPr>
              <w:pStyle w:val="Compact"/>
            </w:pPr>
            <w:r>
              <w:t xml:space="preserve">Table 2; Fig. 2b–e; Secs. 3.2, 4.2</w:t>
            </w:r>
          </w:p>
        </w:tc>
        <w:tc>
          <w:tcPr/>
          <w:p>
            <w:pPr>
              <w:pStyle w:val="Compact"/>
            </w:pPr>
            <w:r>
              <w:t xml:space="preserve">heat number on report file;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2f; Sec. 3.2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as X1, phase fractions held fixed (Sec. 2.5);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Sec. 3.3 (text only)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Near the solidus, different starting densities converged to different states; in those high-temperature bands of K1 and K2 (mpea-02b: Omori alloy from 1300 °C, LLM alloy from 1250 °C, C-free LLM alloy from 1350 °C; PrecHiMn-04: LLM alloy from 1150 °C, C-free LLM alloy from 1280 °C; all to 1400 °C) the lowest-Gibbs-energy state across density ladders spanning pdens 300–4000 was retained. The Ni scans (K4, K5) and A2-range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A2-range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A2-range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2026-10-15T23:14:05Z</dcterms:created>
  <dcterms:modified xsi:type="dcterms:W3CDTF">2026-10-15T23:14:05Z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