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3CBCC" w14:textId="3976D235" w:rsidR="00E47456" w:rsidRDefault="0065712B">
      <w:pPr>
        <w:pStyle w:val="Title"/>
      </w:pPr>
      <w:r>
        <w:t>Experimental Validation</w:t>
      </w:r>
      <w:r>
        <w:t xml:space="preserve"> of an </w:t>
      </w:r>
      <w:r>
        <w:t>LLM</w:t>
      </w:r>
      <w:r>
        <w:t xml:space="preserve">-Hypothesized </w:t>
      </w:r>
      <w:r>
        <w:t>Fe-Mn-Al-Ni-Si-C Alloy</w:t>
      </w:r>
      <w:r>
        <w:t>: Phase Stability Governs the Absence of Super-elasticity</w:t>
      </w:r>
    </w:p>
    <w:p w14:paraId="4DCE3942" w14:textId="3F3A7FC7" w:rsidR="00E47456" w:rsidRDefault="0065712B">
      <w:pPr>
        <w:pStyle w:val="FirstParagraph"/>
      </w:pPr>
      <w:r>
        <w:t>Frank Y. Cai</w:t>
      </w:r>
      <w:r>
        <w:rPr>
          <w:vertAlign w:val="superscript"/>
        </w:rPr>
        <w:t>1</w:t>
      </w:r>
      <w:r w:rsidRPr="00FD4035">
        <w:t>*</w:t>
      </w:r>
      <w:r>
        <w:t>, S. Cai</w:t>
      </w:r>
      <w:r>
        <w:rPr>
          <w:vertAlign w:val="superscript"/>
        </w:rPr>
        <w:t>2</w:t>
      </w:r>
      <w:r>
        <w:t xml:space="preserve">, X. </w:t>
      </w:r>
      <w:r>
        <w:t>Wang</w:t>
      </w:r>
      <w:r>
        <w:rPr>
          <w:vertAlign w:val="superscript"/>
        </w:rPr>
        <w:t>1</w:t>
      </w:r>
      <w:r>
        <w:t xml:space="preserve">, J. </w:t>
      </w:r>
      <w:r>
        <w:t>Yan</w:t>
      </w:r>
      <w:r>
        <w:rPr>
          <w:vertAlign w:val="superscript"/>
        </w:rPr>
        <w:t>3</w:t>
      </w:r>
    </w:p>
    <w:p w14:paraId="7B77853F" w14:textId="77777777" w:rsidR="00E47456" w:rsidRDefault="0065712B">
      <w:pPr>
        <w:pStyle w:val="BodyText"/>
      </w:pPr>
      <w:r>
        <w:rPr>
          <w:vertAlign w:val="superscript"/>
        </w:rPr>
        <w:t>1</w:t>
      </w:r>
      <w:r>
        <w:t>School of Engineering Technologies, Purdue University, West Lafayette, Indiana</w:t>
      </w:r>
      <w:r>
        <w:t xml:space="preserve"> 47907</w:t>
      </w:r>
      <w:r>
        <w:t>, USA</w:t>
      </w:r>
    </w:p>
    <w:p w14:paraId="333FADC9" w14:textId="4244D98C" w:rsidR="00E47456" w:rsidRDefault="0065712B">
      <w:pPr>
        <w:pStyle w:val="BodyText"/>
      </w:pPr>
      <w:r>
        <w:rPr>
          <w:vertAlign w:val="superscript"/>
        </w:rPr>
        <w:t>2</w:t>
      </w:r>
      <w:r>
        <w:t>Fort Wayne Metals, Fort Wayne, Indiana</w:t>
      </w:r>
      <w:r>
        <w:t xml:space="preserve"> [ZIP — confirm],</w:t>
      </w:r>
      <w:r>
        <w:t xml:space="preserve"> USA</w:t>
      </w:r>
    </w:p>
    <w:p w14:paraId="2CFAC113" w14:textId="79CF03A0" w:rsidR="00E47456" w:rsidRDefault="0065712B">
      <w:pPr>
        <w:pStyle w:val="BodyText"/>
      </w:pPr>
      <w:r>
        <w:rPr>
          <w:vertAlign w:val="superscript"/>
        </w:rPr>
        <w:t>3</w:t>
      </w:r>
      <w:r>
        <w:t>Shanghai</w:t>
      </w:r>
      <w:r>
        <w:t xml:space="preserve"> Synchrotron Radiation Facility, Shanghai</w:t>
      </w:r>
      <w:r>
        <w:t xml:space="preserve"> [postal code — confirm],</w:t>
      </w:r>
      <w:r>
        <w:t xml:space="preserve"> China</w:t>
      </w:r>
    </w:p>
    <w:p w14:paraId="2ACDD390" w14:textId="26906170" w:rsidR="00E47456" w:rsidRDefault="0065712B">
      <w:pPr>
        <w:pStyle w:val="BodyText"/>
      </w:pPr>
      <w:r>
        <w:t>*Corresponding author. E-mail</w:t>
      </w:r>
      <w:r>
        <w:t>: cai485@purdue.edu</w:t>
      </w:r>
    </w:p>
    <w:p w14:paraId="353A171A" w14:textId="77777777" w:rsidR="00E47456" w:rsidRDefault="0065712B">
      <w:r>
        <w:pict w14:anchorId="14D701A1">
          <v:rect id="_x0000_i1025" style="width:0;height:1.5pt" o:hralign="center" o:hrstd="t" o:hr="t"/>
        </w:pict>
      </w:r>
    </w:p>
    <w:p w14:paraId="1095077B" w14:textId="77777777" w:rsidR="00E47456" w:rsidRDefault="0065712B" w:rsidP="00FD4035">
      <w:pPr>
        <w:pStyle w:val="Heading1"/>
      </w:pPr>
      <w:bookmarkStart w:id="0" w:name="abstract"/>
      <w:r>
        <w:t>Abstract</w:t>
      </w:r>
    </w:p>
    <w:p w14:paraId="404CB4A7" w14:textId="16F0AE03" w:rsidR="00E47456" w:rsidRDefault="0065712B" w:rsidP="00FD4035">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Although the LLM-</w:t>
      </w:r>
      <w:r>
        <w:t xml:space="preserve">alloy was </w:t>
      </w:r>
      <w:r>
        <w:t>able to achieve good mechanical properties, with 0.2% proof stress from 1908 to 519 MPa across the anneal series and elongation peaking at 33%, it showed no</w:t>
      </w:r>
      <w:r>
        <w:t xml:space="preserve"> super-elasticity under any condition tested</w:t>
      </w:r>
      <w:r>
        <w:t>: strain recovery on unloading was indistinguishable from elastic 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 xml:space="preserve">₃Al phase, unchanged by deformation. Equilibrium CALPHAD calculations across three independent databases, validated against the benchmark, locate the cause. The benchmark solution-treats to single-phase BCC α at 1200 °C, whereas the LLM-alloy is two-phase there and reaches single-phase α only at ≈1340 °C, above </w:t>
      </w:r>
      <w:r>
        <w:t xml:space="preserve">its </w:t>
      </w:r>
      <w:r>
        <w:t>accessible processing range; deleting</w:t>
      </w:r>
      <w:r>
        <w:t xml:space="preserve"> carbon </w:t>
      </w:r>
      <w:r>
        <w:t>alone from the measured chemistry lowers that field to ≈1150 °C and restores the single-phase state. A carbon addition of ≈0.10 wt% — ten times the 0.010 wt% measured in the benchmark —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59BB42A2" w14:textId="77777777" w:rsidR="00E47456" w:rsidRDefault="0065712B" w:rsidP="00FD4035">
      <w:pPr>
        <w:pStyle w:val="BodyText"/>
      </w:pPr>
      <w:r>
        <w:rPr>
          <w:b/>
          <w:bCs/>
        </w:rPr>
        <w:t>Keywords:</w:t>
      </w:r>
      <w:r>
        <w:t xml:space="preserve"> Fe-based shape memory alloy; super-elasticity; AI-guided alloy design</w:t>
      </w:r>
      <w:r>
        <w:t>; CALPHAD</w:t>
      </w:r>
      <w:r>
        <w:t>; synchrotron XRD; abnormal grain growth</w:t>
      </w:r>
    </w:p>
    <w:p w14:paraId="7FF82421" w14:textId="77777777" w:rsidR="00E47456" w:rsidRDefault="0065712B" w:rsidP="00FD4035">
      <w:r>
        <w:pict w14:anchorId="17664127">
          <v:rect id="_x0000_i1026" style="width:0;height:1.5pt" o:hralign="center" o:hrstd="t" o:hr="t"/>
        </w:pict>
      </w:r>
    </w:p>
    <w:p w14:paraId="6D8EF9AD" w14:textId="77777777" w:rsidR="00E47456" w:rsidRDefault="0065712B" w:rsidP="00FD4035">
      <w:pPr>
        <w:pStyle w:val="Heading1"/>
      </w:pPr>
      <w:bookmarkStart w:id="1" w:name="introduction"/>
      <w:bookmarkEnd w:id="0"/>
      <w:r>
        <w:t>1. Introduction</w:t>
      </w:r>
    </w:p>
    <w:p w14:paraId="210D4D12" w14:textId="2A50785E" w:rsidR="00E47456" w:rsidRDefault="0065712B">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165282AF" w14:textId="512B8DA8" w:rsidR="00E47456" w:rsidRDefault="0065712B" w:rsidP="00FD4035">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766C3090" w14:textId="77777777" w:rsidR="00E47456" w:rsidRDefault="0065712B" w:rsidP="00FD4035">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2F8FFEF9" w14:textId="6BF8E296" w:rsidR="00E47456" w:rsidRDefault="0065712B" w:rsidP="00FD4035">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42355745" w14:textId="77777777" w:rsidR="00E47456" w:rsidRDefault="0065712B">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1361D07B" w14:textId="77777777" w:rsidR="00E47456" w:rsidRDefault="0065712B" w:rsidP="00FD4035">
      <w:r>
        <w:pict w14:anchorId="48DE2978">
          <v:rect id="_x0000_i1027" style="width:0;height:1.5pt" o:hralign="center" o:hrstd="t" o:hr="t"/>
        </w:pict>
      </w:r>
    </w:p>
    <w:p w14:paraId="2A87AD11" w14:textId="77777777" w:rsidR="00E47456" w:rsidRDefault="0065712B" w:rsidP="00FD4035">
      <w:pPr>
        <w:pStyle w:val="Heading1"/>
      </w:pPr>
      <w:bookmarkStart w:id="2" w:name="materials-and-experiments"/>
      <w:bookmarkEnd w:id="1"/>
      <w:r>
        <w:t>2. Materials and Experiments</w:t>
      </w:r>
    </w:p>
    <w:p w14:paraId="3207295D" w14:textId="77777777" w:rsidR="00E47456" w:rsidRDefault="0065712B" w:rsidP="00FD4035">
      <w:pPr>
        <w:pStyle w:val="Heading2"/>
      </w:pPr>
      <w:bookmarkStart w:id="3" w:name="alloy-design-and-synthesis"/>
      <w:r>
        <w:t>2.1 Alloy design and synthesis</w:t>
      </w:r>
    </w:p>
    <w:p w14:paraId="57CA9380" w14:textId="681A9F62" w:rsidR="00E47456" w:rsidRDefault="0065712B">
      <w:pPr>
        <w:pStyle w:val="FirstParagraph"/>
      </w:pPr>
      <w:r>
        <w:t xml:space="preserve">The </w:t>
      </w:r>
      <w:r>
        <w:t>LLM</w:t>
      </w:r>
      <w:r>
        <w:t xml:space="preserve">-hypothesized composition </w:t>
      </w:r>
      <w:r>
        <w:t xml:space="preserve">originated in a </w:t>
      </w:r>
      <w:r>
        <w:t xml:space="preserve">Gemini </w:t>
      </w:r>
      <w:r>
        <w:t xml:space="preserve">Deep Research </w:t>
      </w:r>
      <w:r>
        <w:t>session [2] asked for iron</w:t>
      </w:r>
      <w:r>
        <w:t xml:space="preserve">-based </w:t>
      </w:r>
      <w:r>
        <w:t>compositions that might approach Nitinol-like pseudo</w:t>
      </w:r>
      <w:r>
        <w:t>-elasticity</w:t>
      </w:r>
      <w:r>
        <w:t xml:space="preserve"> at substantially lower cost, reasoning</w:t>
      </w:r>
      <w:r>
        <w:t xml:space="preserve"> from the Fe-Mn-Al-Ni family established by Omori and co-workers [12,15] </w:t>
      </w:r>
      <w:r>
        <w:t>and</w:t>
      </w:r>
      <w:r>
        <w:t xml:space="preserve"> excluding </w:t>
      </w:r>
      <w:r>
        <w:t xml:space="preserve">expensive additions such as </w:t>
      </w:r>
      <w:r>
        <w:t xml:space="preserve">cobalt and tantalum. </w:t>
      </w:r>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p>
    <w:p w14:paraId="1189709E" w14:textId="1372F20C" w:rsidR="00E47456" w:rsidRDefault="0065712B">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r>
        <w:t xml:space="preserve">50Fe-30Mn-12Al-4Ni-4Si (at%) with </w:t>
      </w:r>
      <w:r>
        <w:t>1000 ppm C</w:t>
      </w:r>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p>
    <w:p w14:paraId="60B20C14" w14:textId="2CFB9945" w:rsidR="00E47456" w:rsidRDefault="0065712B" w:rsidP="00FD4035">
      <w:pPr>
        <w:pStyle w:val="BodyText"/>
      </w:pPr>
      <w:r>
        <w:t xml:space="preserve">The </w:t>
      </w:r>
      <w:r>
        <w:t xml:space="preserve">intended </w:t>
      </w:r>
      <w:r>
        <w:t xml:space="preserve">roles of the elements are those the report assigns them in A2: Fe, Mn, Al and Ni </w:t>
      </w:r>
      <w:r>
        <w:t xml:space="preserve">to form a BCC parent phase and </w:t>
      </w:r>
      <w:r>
        <w:t xml:space="preserve">coherent 5–15 nm </w:t>
      </w:r>
      <w:r>
        <w:t>β (NiAl-type) precipitates</w:t>
      </w:r>
      <w:r>
        <w:t>, with</w:t>
      </w:r>
      <w:r>
        <w:t xml:space="preserve"> Ni </w:t>
      </w:r>
      <w:r>
        <w:t>kept moderate to lower cost</w:t>
      </w:r>
      <w:r>
        <w:t>;</w:t>
      </w:r>
      <w:r>
        <w:t xml:space="preserve"> Si</w:t>
      </w:r>
      <w:r>
        <w:t xml:space="preserve"> to strengthen the parent BCC matrix </w:t>
      </w:r>
      <w:r>
        <w:t>by</w:t>
      </w:r>
      <w:r>
        <w:t xml:space="preserve"> solid</w:t>
      </w:r>
      <w:r>
        <w:t xml:space="preserve"> </w:t>
      </w:r>
      <w:r>
        <w:t>solution</w:t>
      </w:r>
      <w:r>
        <w:t>,</w:t>
      </w:r>
      <w:r>
        <w:t xml:space="preserve"> Si </w:t>
      </w:r>
      <w:r>
        <w:t>being</w:t>
      </w:r>
      <w:r>
        <w:t xml:space="preserve"> also known to increase resistance to slip in ferritic structures and </w:t>
      </w:r>
      <w:r>
        <w:t>to</w:t>
      </w:r>
      <w:r>
        <w:t xml:space="preserve"> potentially modify the stability or morphology of β precipitates</w:t>
      </w:r>
      <w:r>
        <w:t xml:space="preserve"> or influence stacking-fault energy</w:t>
      </w:r>
      <w:r>
        <w:t>; and</w:t>
      </w:r>
      <w:r>
        <w:t xml:space="preserve"> C</w:t>
      </w:r>
      <w:r>
        <w:t xml:space="preserve"> for interstitial strengthening of the parent phase and possible formation of very fine, dispersed carbides. </w:t>
      </w:r>
      <w:r>
        <w:t xml:space="preserve">The report’s stated performance target for A2 was 5–8% recoverable strain at a transformation stress of 400–700 MPa. </w:t>
      </w:r>
      <w:r>
        <w:t>For direct comparison, a second alloy of composition 43.5Fe-34Mn-15Al-7.5Ni (at%), based on the work of Omori</w:t>
      </w:r>
      <w:r>
        <w:t xml:space="preserve"> </w:t>
      </w:r>
      <w:r>
        <w:rPr>
          <w:i/>
          <w:iCs/>
        </w:rPr>
        <w:t>et al.</w:t>
      </w:r>
      <w:r>
        <w:t xml:space="preserve"> [12], was synthesized </w:t>
      </w:r>
      <w:r>
        <w:t>and processed alongside it.</w:t>
      </w:r>
      <w:r>
        <w:t xml:space="preserve"> These alloys are hereafter named the </w:t>
      </w:r>
      <w:r>
        <w:t>LLM</w:t>
      </w:r>
      <w:r>
        <w:t xml:space="preserve">-alloy and </w:t>
      </w:r>
      <w:r>
        <w:t xml:space="preserve">benchmark </w:t>
      </w:r>
      <w:r>
        <w:t>alloy, respectively.</w:t>
      </w:r>
    </w:p>
    <w:p w14:paraId="29863B53" w14:textId="5CC62575" w:rsidR="00E47456" w:rsidRDefault="0065712B" w:rsidP="00FD4035">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1D9EB3C0" w14:textId="77777777" w:rsidR="00E47456" w:rsidRDefault="0065712B" w:rsidP="00FD4035">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E47456" w14:paraId="66373E70" w14:textId="77777777" w:rsidTr="00E47456">
        <w:trPr>
          <w:cnfStyle w:val="100000000000" w:firstRow="1" w:lastRow="0" w:firstColumn="0" w:lastColumn="0" w:oddVBand="0" w:evenVBand="0" w:oddHBand="0" w:evenHBand="0" w:firstRowFirstColumn="0" w:firstRowLastColumn="0" w:lastRowFirstColumn="0" w:lastRowLastColumn="0"/>
          <w:tblHeader/>
        </w:trPr>
        <w:tc>
          <w:tcPr>
            <w:tcW w:w="705" w:type="dxa"/>
          </w:tcPr>
          <w:p w14:paraId="6C6282FF" w14:textId="77777777" w:rsidR="00E47456" w:rsidRDefault="0065712B" w:rsidP="00FD4035">
            <w:pPr>
              <w:pStyle w:val="Compact"/>
            </w:pPr>
            <w:r>
              <w:t>Element</w:t>
            </w:r>
          </w:p>
        </w:tc>
        <w:tc>
          <w:tcPr>
            <w:tcW w:w="1646" w:type="dxa"/>
          </w:tcPr>
          <w:p w14:paraId="1A485DF6" w14:textId="3897F164" w:rsidR="00E47456" w:rsidRDefault="0065712B" w:rsidP="00FD4035">
            <w:pPr>
              <w:pStyle w:val="Compact"/>
            </w:pPr>
            <w:r>
              <w:t>LLM</w:t>
            </w:r>
            <w:r>
              <w:t>-alloy (nominal)</w:t>
            </w:r>
          </w:p>
        </w:tc>
        <w:tc>
          <w:tcPr>
            <w:tcW w:w="1646" w:type="dxa"/>
          </w:tcPr>
          <w:p w14:paraId="65495A71" w14:textId="381454C8" w:rsidR="00E47456" w:rsidRDefault="0065712B" w:rsidP="00FD4035">
            <w:pPr>
              <w:pStyle w:val="Compact"/>
            </w:pPr>
            <w:r>
              <w:t>LLM</w:t>
            </w:r>
            <w:r>
              <w:t>-alloy (actual)</w:t>
            </w:r>
          </w:p>
        </w:tc>
        <w:tc>
          <w:tcPr>
            <w:tcW w:w="1960" w:type="dxa"/>
          </w:tcPr>
          <w:p w14:paraId="4A1F841B" w14:textId="7F05531F" w:rsidR="00E47456" w:rsidRDefault="0065712B" w:rsidP="00FD4035">
            <w:pPr>
              <w:pStyle w:val="Compact"/>
            </w:pPr>
            <w:r>
              <w:t xml:space="preserve">benchmark </w:t>
            </w:r>
            <w:r>
              <w:t>alloy (nominal)</w:t>
            </w:r>
          </w:p>
        </w:tc>
        <w:tc>
          <w:tcPr>
            <w:tcW w:w="1960" w:type="dxa"/>
          </w:tcPr>
          <w:p w14:paraId="361BDE98" w14:textId="0A52BDA2" w:rsidR="00E47456" w:rsidRDefault="0065712B" w:rsidP="00FD4035">
            <w:pPr>
              <w:pStyle w:val="Compact"/>
            </w:pPr>
            <w:r>
              <w:t xml:space="preserve">benchmark </w:t>
            </w:r>
            <w:r>
              <w:t>alloy (actual)</w:t>
            </w:r>
          </w:p>
        </w:tc>
      </w:tr>
      <w:tr w:rsidR="00E47456" w14:paraId="2C06775B" w14:textId="77777777">
        <w:tc>
          <w:tcPr>
            <w:tcW w:w="705" w:type="dxa"/>
          </w:tcPr>
          <w:p w14:paraId="70634AFE" w14:textId="77777777" w:rsidR="00E47456" w:rsidRDefault="0065712B" w:rsidP="00FD4035">
            <w:pPr>
              <w:pStyle w:val="Compact"/>
            </w:pPr>
            <w:r>
              <w:t>Fe</w:t>
            </w:r>
          </w:p>
        </w:tc>
        <w:tc>
          <w:tcPr>
            <w:tcW w:w="1646" w:type="dxa"/>
          </w:tcPr>
          <w:p w14:paraId="2C40D93A" w14:textId="77777777" w:rsidR="00E47456" w:rsidRDefault="0065712B" w:rsidP="00FD4035">
            <w:pPr>
              <w:pStyle w:val="Compact"/>
            </w:pPr>
            <w:r>
              <w:t>54.5</w:t>
            </w:r>
          </w:p>
        </w:tc>
        <w:tc>
          <w:tcPr>
            <w:tcW w:w="1646" w:type="dxa"/>
          </w:tcPr>
          <w:p w14:paraId="4EDA4FB9" w14:textId="77777777" w:rsidR="00E47456" w:rsidRDefault="0065712B" w:rsidP="00FD4035">
            <w:pPr>
              <w:pStyle w:val="Compact"/>
            </w:pPr>
            <w:r>
              <w:t>55.83</w:t>
            </w:r>
          </w:p>
        </w:tc>
        <w:tc>
          <w:tcPr>
            <w:tcW w:w="1960" w:type="dxa"/>
          </w:tcPr>
          <w:p w14:paraId="28315B41" w14:textId="77777777" w:rsidR="00E47456" w:rsidRDefault="0065712B" w:rsidP="00FD4035">
            <w:pPr>
              <w:pStyle w:val="Compact"/>
            </w:pPr>
            <w:r>
              <w:t>47.08</w:t>
            </w:r>
          </w:p>
        </w:tc>
        <w:tc>
          <w:tcPr>
            <w:tcW w:w="1960" w:type="dxa"/>
          </w:tcPr>
          <w:p w14:paraId="08868770" w14:textId="77777777" w:rsidR="00E47456" w:rsidRDefault="0065712B" w:rsidP="00FD4035">
            <w:pPr>
              <w:pStyle w:val="Compact"/>
            </w:pPr>
            <w:r>
              <w:t>46.51</w:t>
            </w:r>
          </w:p>
        </w:tc>
      </w:tr>
      <w:tr w:rsidR="00E47456" w14:paraId="73494484" w14:textId="77777777">
        <w:tc>
          <w:tcPr>
            <w:tcW w:w="705" w:type="dxa"/>
          </w:tcPr>
          <w:p w14:paraId="0F1DA339" w14:textId="77777777" w:rsidR="00E47456" w:rsidRDefault="0065712B" w:rsidP="00FD4035">
            <w:pPr>
              <w:pStyle w:val="Compact"/>
            </w:pPr>
            <w:r>
              <w:t>Mn</w:t>
            </w:r>
          </w:p>
        </w:tc>
        <w:tc>
          <w:tcPr>
            <w:tcW w:w="1646" w:type="dxa"/>
          </w:tcPr>
          <w:p w14:paraId="7F0B67EB" w14:textId="77777777" w:rsidR="00E47456" w:rsidRDefault="0065712B" w:rsidP="00FD4035">
            <w:pPr>
              <w:pStyle w:val="Compact"/>
            </w:pPr>
            <w:r>
              <w:t>32.3</w:t>
            </w:r>
          </w:p>
        </w:tc>
        <w:tc>
          <w:tcPr>
            <w:tcW w:w="1646" w:type="dxa"/>
          </w:tcPr>
          <w:p w14:paraId="739E94A2" w14:textId="77777777" w:rsidR="00E47456" w:rsidRDefault="0065712B" w:rsidP="00FD4035">
            <w:pPr>
              <w:pStyle w:val="Compact"/>
            </w:pPr>
            <w:r>
              <w:t>31.78</w:t>
            </w:r>
          </w:p>
        </w:tc>
        <w:tc>
          <w:tcPr>
            <w:tcW w:w="1960" w:type="dxa"/>
          </w:tcPr>
          <w:p w14:paraId="25B90B35" w14:textId="77777777" w:rsidR="00E47456" w:rsidRDefault="0065712B" w:rsidP="00FD4035">
            <w:pPr>
              <w:pStyle w:val="Compact"/>
            </w:pPr>
            <w:r>
              <w:t>36.43</w:t>
            </w:r>
          </w:p>
        </w:tc>
        <w:tc>
          <w:tcPr>
            <w:tcW w:w="1960" w:type="dxa"/>
          </w:tcPr>
          <w:p w14:paraId="46EFA993" w14:textId="77777777" w:rsidR="00E47456" w:rsidRDefault="0065712B" w:rsidP="00FD4035">
            <w:pPr>
              <w:pStyle w:val="Compact"/>
            </w:pPr>
            <w:r>
              <w:t>36.49</w:t>
            </w:r>
          </w:p>
        </w:tc>
      </w:tr>
      <w:tr w:rsidR="00E47456" w14:paraId="5506D81E" w14:textId="77777777">
        <w:tc>
          <w:tcPr>
            <w:tcW w:w="705" w:type="dxa"/>
          </w:tcPr>
          <w:p w14:paraId="5CD66D2B" w14:textId="77777777" w:rsidR="00E47456" w:rsidRDefault="0065712B" w:rsidP="00FD4035">
            <w:pPr>
              <w:pStyle w:val="Compact"/>
            </w:pPr>
            <w:r>
              <w:t>Al</w:t>
            </w:r>
          </w:p>
        </w:tc>
        <w:tc>
          <w:tcPr>
            <w:tcW w:w="1646" w:type="dxa"/>
          </w:tcPr>
          <w:p w14:paraId="2926F625" w14:textId="77777777" w:rsidR="00E47456" w:rsidRDefault="0065712B" w:rsidP="00FD4035">
            <w:pPr>
              <w:pStyle w:val="Compact"/>
            </w:pPr>
            <w:r>
              <w:t>6.4</w:t>
            </w:r>
          </w:p>
        </w:tc>
        <w:tc>
          <w:tcPr>
            <w:tcW w:w="1646" w:type="dxa"/>
          </w:tcPr>
          <w:p w14:paraId="56BDB604" w14:textId="77777777" w:rsidR="00E47456" w:rsidRDefault="0065712B" w:rsidP="00FD4035">
            <w:pPr>
              <w:pStyle w:val="Compact"/>
            </w:pPr>
            <w:r>
              <w:t>6.24</w:t>
            </w:r>
          </w:p>
        </w:tc>
        <w:tc>
          <w:tcPr>
            <w:tcW w:w="1960" w:type="dxa"/>
          </w:tcPr>
          <w:p w14:paraId="46FCA9B8" w14:textId="77777777" w:rsidR="00E47456" w:rsidRDefault="0065712B" w:rsidP="00FD4035">
            <w:pPr>
              <w:pStyle w:val="Compact"/>
            </w:pPr>
            <w:r>
              <w:t>7.9</w:t>
            </w:r>
          </w:p>
        </w:tc>
        <w:tc>
          <w:tcPr>
            <w:tcW w:w="1960" w:type="dxa"/>
          </w:tcPr>
          <w:p w14:paraId="6607D1C1" w14:textId="77777777" w:rsidR="00E47456" w:rsidRDefault="0065712B" w:rsidP="00FD4035">
            <w:pPr>
              <w:pStyle w:val="Compact"/>
            </w:pPr>
            <w:r>
              <w:t>8.00</w:t>
            </w:r>
          </w:p>
        </w:tc>
      </w:tr>
      <w:tr w:rsidR="00E47456" w14:paraId="78907501" w14:textId="77777777">
        <w:tc>
          <w:tcPr>
            <w:tcW w:w="705" w:type="dxa"/>
          </w:tcPr>
          <w:p w14:paraId="029DCC2C" w14:textId="77777777" w:rsidR="00E47456" w:rsidRDefault="0065712B" w:rsidP="00FD4035">
            <w:pPr>
              <w:pStyle w:val="Compact"/>
            </w:pPr>
            <w:r>
              <w:t>Ni</w:t>
            </w:r>
          </w:p>
        </w:tc>
        <w:tc>
          <w:tcPr>
            <w:tcW w:w="1646" w:type="dxa"/>
          </w:tcPr>
          <w:p w14:paraId="7AAE5C38" w14:textId="77777777" w:rsidR="00E47456" w:rsidRDefault="0065712B" w:rsidP="00FD4035">
            <w:pPr>
              <w:pStyle w:val="Compact"/>
            </w:pPr>
            <w:r>
              <w:t>4.6</w:t>
            </w:r>
          </w:p>
        </w:tc>
        <w:tc>
          <w:tcPr>
            <w:tcW w:w="1646" w:type="dxa"/>
          </w:tcPr>
          <w:p w14:paraId="0E14BEF2" w14:textId="77777777" w:rsidR="00E47456" w:rsidRDefault="0065712B" w:rsidP="00FD4035">
            <w:pPr>
              <w:pStyle w:val="Compact"/>
            </w:pPr>
            <w:r>
              <w:t>4.81</w:t>
            </w:r>
          </w:p>
        </w:tc>
        <w:tc>
          <w:tcPr>
            <w:tcW w:w="1960" w:type="dxa"/>
          </w:tcPr>
          <w:p w14:paraId="4CEDF200" w14:textId="77777777" w:rsidR="00E47456" w:rsidRDefault="0065712B" w:rsidP="00FD4035">
            <w:pPr>
              <w:pStyle w:val="Compact"/>
            </w:pPr>
            <w:r>
              <w:t>8.59</w:t>
            </w:r>
          </w:p>
        </w:tc>
        <w:tc>
          <w:tcPr>
            <w:tcW w:w="1960" w:type="dxa"/>
          </w:tcPr>
          <w:p w14:paraId="5F69CAA8" w14:textId="77777777" w:rsidR="00E47456" w:rsidRDefault="0065712B" w:rsidP="00FD4035">
            <w:pPr>
              <w:pStyle w:val="Compact"/>
            </w:pPr>
            <w:r>
              <w:t>8.94</w:t>
            </w:r>
          </w:p>
        </w:tc>
      </w:tr>
      <w:tr w:rsidR="00E47456" w14:paraId="36AEC2B3" w14:textId="77777777">
        <w:tc>
          <w:tcPr>
            <w:tcW w:w="705" w:type="dxa"/>
          </w:tcPr>
          <w:p w14:paraId="58E5AFBB" w14:textId="77777777" w:rsidR="00E47456" w:rsidRDefault="0065712B" w:rsidP="00FD4035">
            <w:pPr>
              <w:pStyle w:val="Compact"/>
            </w:pPr>
            <w:r>
              <w:t>Si</w:t>
            </w:r>
          </w:p>
        </w:tc>
        <w:tc>
          <w:tcPr>
            <w:tcW w:w="1646" w:type="dxa"/>
          </w:tcPr>
          <w:p w14:paraId="7E93893F" w14:textId="77777777" w:rsidR="00E47456" w:rsidRDefault="0065712B" w:rsidP="00FD4035">
            <w:pPr>
              <w:pStyle w:val="Compact"/>
            </w:pPr>
            <w:r>
              <w:t>2.2</w:t>
            </w:r>
          </w:p>
        </w:tc>
        <w:tc>
          <w:tcPr>
            <w:tcW w:w="1646" w:type="dxa"/>
          </w:tcPr>
          <w:p w14:paraId="7D0540CD" w14:textId="77777777" w:rsidR="00E47456" w:rsidRDefault="0065712B" w:rsidP="00FD4035">
            <w:pPr>
              <w:pStyle w:val="Compact"/>
            </w:pPr>
            <w:r>
              <w:t>1.11</w:t>
            </w:r>
          </w:p>
        </w:tc>
        <w:tc>
          <w:tcPr>
            <w:tcW w:w="1960" w:type="dxa"/>
          </w:tcPr>
          <w:p w14:paraId="4D93EFAF" w14:textId="77777777" w:rsidR="00E47456" w:rsidRDefault="0065712B" w:rsidP="00FD4035">
            <w:pPr>
              <w:pStyle w:val="Compact"/>
            </w:pPr>
            <w:r>
              <w:t>–</w:t>
            </w:r>
          </w:p>
        </w:tc>
        <w:tc>
          <w:tcPr>
            <w:tcW w:w="1960" w:type="dxa"/>
          </w:tcPr>
          <w:p w14:paraId="3F5EE61D" w14:textId="77777777" w:rsidR="00E47456" w:rsidRDefault="0065712B" w:rsidP="00FD4035">
            <w:pPr>
              <w:pStyle w:val="Compact"/>
            </w:pPr>
            <w:r>
              <w:t>&lt;0.01</w:t>
            </w:r>
          </w:p>
        </w:tc>
      </w:tr>
      <w:tr w:rsidR="00E47456" w14:paraId="58951668" w14:textId="77777777">
        <w:tc>
          <w:tcPr>
            <w:tcW w:w="705" w:type="dxa"/>
          </w:tcPr>
          <w:p w14:paraId="69701089" w14:textId="77777777" w:rsidR="00E47456" w:rsidRDefault="0065712B" w:rsidP="00FD4035">
            <w:pPr>
              <w:pStyle w:val="Compact"/>
            </w:pPr>
            <w:r>
              <w:t>C</w:t>
            </w:r>
          </w:p>
        </w:tc>
        <w:tc>
          <w:tcPr>
            <w:tcW w:w="1646" w:type="dxa"/>
          </w:tcPr>
          <w:p w14:paraId="0B374ADD" w14:textId="77777777" w:rsidR="00E47456" w:rsidRDefault="0065712B" w:rsidP="00FD4035">
            <w:pPr>
              <w:pStyle w:val="Compact"/>
            </w:pPr>
            <w:r>
              <w:t>0.1</w:t>
            </w:r>
          </w:p>
        </w:tc>
        <w:tc>
          <w:tcPr>
            <w:tcW w:w="1646" w:type="dxa"/>
          </w:tcPr>
          <w:p w14:paraId="633FB3C2" w14:textId="77777777" w:rsidR="00E47456" w:rsidRDefault="0065712B" w:rsidP="00FD4035">
            <w:pPr>
              <w:pStyle w:val="Compact"/>
            </w:pPr>
            <w:r>
              <w:t>0.105</w:t>
            </w:r>
          </w:p>
        </w:tc>
        <w:tc>
          <w:tcPr>
            <w:tcW w:w="1960" w:type="dxa"/>
          </w:tcPr>
          <w:p w14:paraId="1DE01184" w14:textId="77777777" w:rsidR="00E47456" w:rsidRDefault="0065712B" w:rsidP="00FD4035">
            <w:pPr>
              <w:pStyle w:val="Compact"/>
            </w:pPr>
            <w:r>
              <w:t>–</w:t>
            </w:r>
          </w:p>
        </w:tc>
        <w:tc>
          <w:tcPr>
            <w:tcW w:w="1960" w:type="dxa"/>
          </w:tcPr>
          <w:p w14:paraId="380CA7FB" w14:textId="77777777" w:rsidR="00E47456" w:rsidRDefault="0065712B" w:rsidP="00FD4035">
            <w:pPr>
              <w:pStyle w:val="Compact"/>
            </w:pPr>
            <w:r>
              <w:t>0.01</w:t>
            </w:r>
          </w:p>
        </w:tc>
      </w:tr>
      <w:tr w:rsidR="00E47456" w14:paraId="6D95E2E3" w14:textId="77777777">
        <w:tc>
          <w:tcPr>
            <w:tcW w:w="705" w:type="dxa"/>
          </w:tcPr>
          <w:p w14:paraId="6A8985E5" w14:textId="77777777" w:rsidR="00E47456" w:rsidRDefault="0065712B" w:rsidP="00FD4035">
            <w:pPr>
              <w:pStyle w:val="Compact"/>
            </w:pPr>
            <w:r>
              <w:t>P</w:t>
            </w:r>
          </w:p>
        </w:tc>
        <w:tc>
          <w:tcPr>
            <w:tcW w:w="1646" w:type="dxa"/>
          </w:tcPr>
          <w:p w14:paraId="38E29488" w14:textId="77777777" w:rsidR="00E47456" w:rsidRDefault="0065712B" w:rsidP="00FD4035">
            <w:pPr>
              <w:pStyle w:val="Compact"/>
            </w:pPr>
            <w:r>
              <w:t>–</w:t>
            </w:r>
          </w:p>
        </w:tc>
        <w:tc>
          <w:tcPr>
            <w:tcW w:w="1646" w:type="dxa"/>
          </w:tcPr>
          <w:p w14:paraId="67690649" w14:textId="77777777" w:rsidR="00E47456" w:rsidRDefault="0065712B" w:rsidP="00FD4035">
            <w:pPr>
              <w:pStyle w:val="Compact"/>
            </w:pPr>
            <w:r>
              <w:t>–</w:t>
            </w:r>
          </w:p>
        </w:tc>
        <w:tc>
          <w:tcPr>
            <w:tcW w:w="1960" w:type="dxa"/>
          </w:tcPr>
          <w:p w14:paraId="43231967" w14:textId="77777777" w:rsidR="00E47456" w:rsidRDefault="0065712B" w:rsidP="00FD4035">
            <w:pPr>
              <w:pStyle w:val="Compact"/>
            </w:pPr>
            <w:r>
              <w:t>–</w:t>
            </w:r>
          </w:p>
        </w:tc>
        <w:tc>
          <w:tcPr>
            <w:tcW w:w="1960" w:type="dxa"/>
          </w:tcPr>
          <w:p w14:paraId="34925A10" w14:textId="77777777" w:rsidR="00E47456" w:rsidRDefault="0065712B" w:rsidP="00FD4035">
            <w:pPr>
              <w:pStyle w:val="Compact"/>
            </w:pPr>
            <w:r>
              <w:t>0.06</w:t>
            </w:r>
          </w:p>
        </w:tc>
      </w:tr>
    </w:tbl>
    <w:p w14:paraId="2A2E1ED2" w14:textId="77777777" w:rsidR="00E47456" w:rsidRDefault="0065712B" w:rsidP="00FD4035">
      <w:pPr>
        <w:pStyle w:val="Heading2"/>
      </w:pPr>
      <w:bookmarkStart w:id="4" w:name="heat-treatments"/>
      <w:bookmarkEnd w:id="3"/>
      <w:r>
        <w:t>2.2 Heat treatments</w:t>
      </w:r>
    </w:p>
    <w:p w14:paraId="4661179C" w14:textId="23419C96" w:rsidR="00E47456" w:rsidRDefault="0065712B" w:rsidP="00FD4035">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15D393CA" w14:textId="77777777" w:rsidR="00E47456" w:rsidRDefault="0065712B" w:rsidP="00FD4035">
      <w:pPr>
        <w:pStyle w:val="Heading2"/>
      </w:pPr>
      <w:bookmarkStart w:id="5" w:name="metallography"/>
      <w:bookmarkEnd w:id="4"/>
      <w:r>
        <w:t>2.3 Metallography</w:t>
      </w:r>
    </w:p>
    <w:p w14:paraId="70D9773C" w14:textId="77777777" w:rsidR="00E47456" w:rsidRDefault="0065712B" w:rsidP="00FD4035">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61C0243E" w14:textId="77777777" w:rsidR="00E47456" w:rsidRDefault="0065712B" w:rsidP="00FD4035">
      <w:pPr>
        <w:pStyle w:val="Heading2"/>
      </w:pPr>
      <w:bookmarkStart w:id="6" w:name="mechanical-testing"/>
      <w:bookmarkEnd w:id="5"/>
      <w:r>
        <w:t>2.4 Mechanical testing</w:t>
      </w:r>
    </w:p>
    <w:p w14:paraId="233B4AA6" w14:textId="7195BB10" w:rsidR="00E47456" w:rsidRDefault="0065712B" w:rsidP="00FD4035">
      <w:pPr>
        <w:pStyle w:val="FirstParagraph"/>
      </w:pPr>
      <w:r>
        <w:t xml:space="preserve">Room-temperature cyclic tensile testing was performed on an Instron in displacement control. During the test, each specimen was cyclically loaded to fracture with a 1% strain increment for each cycle. </w:t>
      </w:r>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Three specimens were tested for each heat-treatment condition; every value in </w:t>
      </w:r>
      <w:r>
        <w:rPr>
          <w:b/>
          <w:bCs/>
        </w:rPr>
        <w:t>Table 2</w:t>
      </w:r>
      <w:r>
        <w:t xml:space="preserve"> </w:t>
      </w:r>
      <w:r>
        <w:t>is the mean of three measurements and the quoted uncertainty is one standard deviation over those three specimens. Replicate specimens were also run for the abnormal-grain-growth treatments, and are discussed where those results are presented.</w:t>
      </w:r>
      <w:r>
        <w:t xml:space="preserve">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w:t>
      </w:r>
      <w:r>
        <w:t xml:space="preserve">at a rate of ≈50 °C s⁻¹ and held for ≈10 s </w:t>
      </w:r>
      <w:r>
        <w:t>to trigger any potential reversal of martensite to austenite</w:t>
      </w:r>
      <w:r>
        <w:t>; at a diameter of 0.36 mm the wire reaches temperature through its full cross-section well within this hold</w:t>
      </w:r>
      <w:r>
        <w:t>. In this test, any shape-memory effect would be revealed during the heating stage, which causes the reloading stress to rise at a lower deformation strain.</w:t>
      </w:r>
    </w:p>
    <w:p w14:paraId="34AB79E7" w14:textId="77777777" w:rsidR="00E47456" w:rsidRDefault="0065712B" w:rsidP="00FD4035">
      <w:pPr>
        <w:pStyle w:val="Heading2"/>
      </w:pPr>
      <w:bookmarkStart w:id="7" w:name="synchrotron-x-ray-diffraction"/>
      <w:bookmarkEnd w:id="6"/>
      <w:r>
        <w:t>2.5 Synchrotron X-ray diffraction</w:t>
      </w:r>
    </w:p>
    <w:p w14:paraId="31706437" w14:textId="5FAC9299" w:rsidR="00E47456" w:rsidRDefault="0065712B" w:rsidP="00FD4035">
      <w:pPr>
        <w:pStyle w:val="FirstParagraph"/>
      </w:pPr>
      <w:r>
        <w:t>To identify phase constitution and potential phase change, synchrotron XRD measurements were performed at the ultra-hard X-ray multifunctional application beamline BL12SW of the Shanghai Synchrotron Radiation Facility (SSRF) [</w:t>
      </w:r>
      <w:r>
        <w:t>20,21</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22</w:t>
      </w:r>
      <w:r>
        <w:t>], where diffraction data were sliced at 5-degree intervals along the 360-degree azimuth and integrated to generate 72 diffraction spectra, which were then fitted by Rietveld refinement [</w:t>
      </w:r>
      <w:r>
        <w:t>23</w:t>
      </w:r>
      <w:r>
        <w:t xml:space="preserve">] in MAUD </w:t>
      </w:r>
      <w:r>
        <w:t>version 2.33 [24</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3FC16EE4" w14:textId="77777777" w:rsidR="00E47456" w:rsidRDefault="0065712B">
      <w:pPr>
        <w:pStyle w:val="Heading2"/>
      </w:pPr>
      <w:bookmarkStart w:id="8" w:name="equilibrium-thermodynamic-calculations"/>
      <w:bookmarkEnd w:id="7"/>
      <w:r>
        <w:t>2.6 Equilibrium thermodynamic calculations</w:t>
      </w:r>
    </w:p>
    <w:p w14:paraId="7AC803A8" w14:textId="77777777" w:rsidR="00E47456" w:rsidRDefault="0065712B">
      <w:pPr>
        <w:pStyle w:val="FirstParagraph"/>
      </w:pPr>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66413446" w14:textId="77777777" w:rsidR="00E47456" w:rsidRDefault="0065712B">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6E7F3F2A" w14:textId="77777777" w:rsidR="00E47456" w:rsidRDefault="0065712B">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22A71104" w14:textId="77777777" w:rsidR="00E47456" w:rsidRDefault="0065712B" w:rsidP="00FD4035">
      <w:r>
        <w:pict w14:anchorId="0DE9B232">
          <v:rect id="_x0000_i1028" style="width:0;height:1.5pt" o:hralign="center" o:hrstd="t" o:hr="t"/>
        </w:pict>
      </w:r>
    </w:p>
    <w:p w14:paraId="7E448983" w14:textId="77777777" w:rsidR="00E47456" w:rsidRDefault="0065712B" w:rsidP="00FD4035">
      <w:pPr>
        <w:pStyle w:val="Heading1"/>
      </w:pPr>
      <w:bookmarkStart w:id="9" w:name="experiment-results"/>
      <w:bookmarkEnd w:id="2"/>
      <w:bookmarkEnd w:id="8"/>
      <w:r>
        <w:t>3. Experiment Results</w:t>
      </w:r>
    </w:p>
    <w:p w14:paraId="265C563C" w14:textId="77777777" w:rsidR="00E47456" w:rsidRDefault="0065712B" w:rsidP="00FD4035">
      <w:pPr>
        <w:pStyle w:val="Heading2"/>
      </w:pPr>
      <w:bookmarkStart w:id="10" w:name="microstructure"/>
      <w:r>
        <w:t>3.1 Microstructure</w:t>
      </w:r>
    </w:p>
    <w:p w14:paraId="3F650826" w14:textId="098E7E15" w:rsidR="00E47456" w:rsidRDefault="0065712B" w:rsidP="00FD4035">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p>
    <w:p w14:paraId="21F6772B" w14:textId="77777777" w:rsidR="00E47456" w:rsidRDefault="0065712B">
      <w:pPr>
        <w:pStyle w:val="CaptionedFigure"/>
      </w:pPr>
      <w:r>
        <w:rPr>
          <w:noProof/>
        </w:rPr>
        <w:drawing>
          <wp:inline distT="0" distB="0" distL="0" distR="0" wp14:anchorId="5965D438" wp14:editId="328B610E">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3642360" cy="2843784"/>
                    </a:xfrm>
                    <a:prstGeom prst="rect">
                      <a:avLst/>
                    </a:prstGeom>
                    <a:noFill/>
                    <a:ln w="9525">
                      <a:noFill/>
                      <a:headEnd/>
                      <a:tailEnd/>
                    </a:ln>
                  </pic:spPr>
                </pic:pic>
              </a:graphicData>
            </a:graphic>
          </wp:inline>
        </w:drawing>
      </w:r>
    </w:p>
    <w:p w14:paraId="07466C8A" w14:textId="033B01A5" w:rsidR="00E47456" w:rsidRDefault="0065712B" w:rsidP="00FD4035">
      <w:pPr>
        <w:pStyle w:val="ImageCaption"/>
      </w:pPr>
      <w:r>
        <w:rPr>
          <w:b/>
          <w:bCs/>
        </w:rPr>
        <w:t>Fig. 1.</w:t>
      </w:r>
      <w:r>
        <w:t xml:space="preserve"> </w:t>
      </w:r>
      <w:r>
        <w:t xml:space="preserve">Microstructure of the </w:t>
      </w:r>
      <w:r>
        <w:t>LLM-</w:t>
      </w:r>
      <w:r>
        <w:t>alloy after heat treatment: (a) 1200 °C, 1 min, optical; (b) 1200 °C, 1 min, SEM; (c) 1200 °C, 40 min, optical</w:t>
      </w:r>
      <w:r>
        <w:t>; (d) after the cyclic abnormal-grain-growth treatment of Sec. 2.2, optical.</w:t>
      </w:r>
    </w:p>
    <w:p w14:paraId="33BE9B49" w14:textId="77777777" w:rsidR="00E47456" w:rsidRDefault="0065712B" w:rsidP="00FD4035">
      <w:pPr>
        <w:pStyle w:val="Heading2"/>
      </w:pPr>
      <w:bookmarkStart w:id="11" w:name="cyclic-stressstrain-response"/>
      <w:bookmarkEnd w:id="10"/>
      <w:r>
        <w:t>3.2 Cyclic stress–strain response</w:t>
      </w:r>
    </w:p>
    <w:p w14:paraId="32581F5B" w14:textId="3BA626AC" w:rsidR="00E47456" w:rsidRDefault="0065712B" w:rsidP="00FD4035">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xml:space="preserve">. This information reveals a broad picture of how heat treatment governs the alloy’s mechanical properties. The response is strongly anneal-dependent: low strand-anneal temperatures (600–700 °C) leave the wire </w:t>
      </w:r>
      <w:r>
        <w:t xml:space="preserve">with </w:t>
      </w:r>
      <w:r>
        <w:t>high</w:t>
      </w:r>
      <w:r>
        <w:t xml:space="preserve"> </w:t>
      </w:r>
      <w:r>
        <w:t xml:space="preserve">strength but </w:t>
      </w:r>
      <w:r>
        <w:t>brittleness</w:t>
      </w:r>
      <w:r>
        <w:t xml:space="preserve"> (tensile strengths of ≈</w:t>
      </w:r>
      <w:r>
        <w:t>1876–2254</w:t>
      </w:r>
      <w:r>
        <w:t xml:space="preserve"> MPa and yield strengths of ≈</w:t>
      </w:r>
      <w:r>
        <w:t>1635–1908</w:t>
      </w:r>
      <w:r>
        <w:t xml:space="preserve"> MPa, but elongation of only ≈2%), reflecting incomplete recrystallization of the cold-drawn wire, whereas annealing at 800–1200 °C progressively softens the wire and restores ductility, with elongation peaking near 33% at 1000 °C. The elastic modulus, E, stays in the ≈150–</w:t>
      </w:r>
      <w:r>
        <w:t>162</w:t>
      </w:r>
      <w:r>
        <w:t xml:space="preserve">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31,32</w:t>
      </w:r>
      <w:r>
        <w:t xml:space="preserve">]; this was not the case for the </w:t>
      </w:r>
      <w:r>
        <w:t>LLM-</w:t>
      </w:r>
      <w:r>
        <w:t>alloy (</w:t>
      </w:r>
      <w:r>
        <w:rPr>
          <w:b/>
          <w:bCs/>
        </w:rPr>
        <w:t xml:space="preserve">Fig. </w:t>
      </w:r>
      <w:r>
        <w:rPr>
          <w:b/>
          <w:bCs/>
        </w:rPr>
        <w:t>2h</w:t>
      </w:r>
      <w:r>
        <w:t>).</w:t>
      </w:r>
    </w:p>
    <w:p w14:paraId="79B7A5BF" w14:textId="77777777" w:rsidR="00E47456" w:rsidRDefault="0065712B">
      <w:pPr>
        <w:pStyle w:val="BodyText"/>
      </w:pPr>
      <w:r>
        <w:rPr>
          <w:b/>
          <w:bCs/>
        </w:rPr>
        <w:t>Fig. 2</w:t>
      </w:r>
      <w:r>
        <w:t xml:space="preserve"> shows the following. After the 600 °C anneal (</w:t>
      </w:r>
      <w:r>
        <w:rPr>
          <w:b/>
          <w:bCs/>
        </w:rPr>
        <w:t>Fig. 2a</w:t>
      </w:r>
      <w:r>
        <w:t>) the wire is stronger even than in the as-drawn state, reaching ≈2250 MPa, yet fails at ≈2.2%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≈675 MPa and is followed by steady work hardening, easing further at 1100 °C (</w:t>
      </w:r>
      <w:r>
        <w:rPr>
          <w:b/>
          <w:bCs/>
        </w:rPr>
        <w:t>Fig. 2f</w:t>
      </w:r>
      <w:r>
        <w:t>) and reaching ≈520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p>
    <w:p w14:paraId="155E795D" w14:textId="77777777" w:rsidR="00E47456" w:rsidRDefault="0065712B">
      <w:pPr>
        <w:pStyle w:val="BodyText"/>
      </w:pPr>
      <w:r>
        <w:rPr>
          <w:b/>
          <w:bCs/>
        </w:rPr>
        <w:t>Table 2.</w:t>
      </w:r>
      <w:r>
        <w:t xml:space="preserve"> Mechanical properties of the LLM-alloy after heat treatment for 1 minute at different temperatures. Each data point is the average of three samples; the uncertainty is one standard deviation.</w:t>
      </w:r>
    </w:p>
    <w:tbl>
      <w:tblPr>
        <w:tblStyle w:val="Table"/>
        <w:tblW w:w="5000" w:type="pct"/>
        <w:tblLayout w:type="fixed"/>
        <w:tblLook w:val="0020" w:firstRow="1" w:lastRow="0" w:firstColumn="0" w:lastColumn="0" w:noHBand="0" w:noVBand="0"/>
      </w:tblPr>
      <w:tblGrid>
        <w:gridCol w:w="1596"/>
        <w:gridCol w:w="2128"/>
        <w:gridCol w:w="2128"/>
        <w:gridCol w:w="1862"/>
        <w:gridCol w:w="1862"/>
      </w:tblGrid>
      <w:tr w:rsidR="00E47456" w14:paraId="47426A04" w14:textId="77777777" w:rsidTr="00FD403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462AAB1" w14:textId="77777777" w:rsidR="00E47456" w:rsidRDefault="0065712B" w:rsidP="00FD4035">
            <w:pPr>
              <w:pStyle w:val="Compact"/>
            </w:pPr>
            <w:r>
              <w:t>Temp. (°C)</w:t>
            </w:r>
          </w:p>
        </w:tc>
        <w:tc>
          <w:tcPr>
            <w:tcW w:w="1760" w:type="dxa"/>
          </w:tcPr>
          <w:p w14:paraId="383B3433" w14:textId="77777777" w:rsidR="00E47456" w:rsidRDefault="0065712B" w:rsidP="00FD4035">
            <w:pPr>
              <w:pStyle w:val="Compact"/>
            </w:pPr>
            <w:r>
              <w:t>σ₀.₂ (MPa)</w:t>
            </w:r>
          </w:p>
        </w:tc>
        <w:tc>
          <w:tcPr>
            <w:tcW w:w="1760" w:type="dxa"/>
          </w:tcPr>
          <w:p w14:paraId="524E5195" w14:textId="77777777" w:rsidR="00E47456" w:rsidRDefault="0065712B" w:rsidP="00FD4035">
            <w:pPr>
              <w:pStyle w:val="Compact"/>
            </w:pPr>
            <w:r>
              <w:t>UTS (MPa)</w:t>
            </w:r>
          </w:p>
        </w:tc>
        <w:tc>
          <w:tcPr>
            <w:tcW w:w="1540" w:type="dxa"/>
          </w:tcPr>
          <w:p w14:paraId="219C9ECB" w14:textId="77777777" w:rsidR="00E47456" w:rsidRDefault="0065712B" w:rsidP="00FD4035">
            <w:pPr>
              <w:pStyle w:val="Compact"/>
            </w:pPr>
            <w:r>
              <w:t>Elong. (%)</w:t>
            </w:r>
          </w:p>
        </w:tc>
        <w:tc>
          <w:tcPr>
            <w:tcW w:w="1540" w:type="dxa"/>
          </w:tcPr>
          <w:p w14:paraId="1084872C" w14:textId="77777777" w:rsidR="00E47456" w:rsidRDefault="0065712B" w:rsidP="00FD4035">
            <w:pPr>
              <w:pStyle w:val="Compact"/>
            </w:pPr>
            <w:r>
              <w:t>E (GPa)</w:t>
            </w:r>
          </w:p>
        </w:tc>
      </w:tr>
      <w:tr w:rsidR="00E47456" w14:paraId="78BB0E4B" w14:textId="77777777" w:rsidTr="00FD4035">
        <w:tc>
          <w:tcPr>
            <w:tcW w:w="1320" w:type="dxa"/>
          </w:tcPr>
          <w:p w14:paraId="59E9FCC9" w14:textId="77777777" w:rsidR="00E47456" w:rsidRDefault="0065712B" w:rsidP="00FD4035">
            <w:pPr>
              <w:pStyle w:val="Compact"/>
            </w:pPr>
            <w:r>
              <w:t>As drawn</w:t>
            </w:r>
          </w:p>
        </w:tc>
        <w:tc>
          <w:tcPr>
            <w:tcW w:w="1760" w:type="dxa"/>
          </w:tcPr>
          <w:p w14:paraId="009382FD" w14:textId="056BD282" w:rsidR="00E47456" w:rsidRDefault="0065712B" w:rsidP="00FD4035">
            <w:pPr>
              <w:pStyle w:val="Compact"/>
            </w:pPr>
            <w:r>
              <w:t>1587.9 ± 63.7</w:t>
            </w:r>
          </w:p>
        </w:tc>
        <w:tc>
          <w:tcPr>
            <w:tcW w:w="1760" w:type="dxa"/>
          </w:tcPr>
          <w:p w14:paraId="3614E0D4" w14:textId="14777722" w:rsidR="00E47456" w:rsidRDefault="0065712B" w:rsidP="00FD4035">
            <w:pPr>
              <w:pStyle w:val="Compact"/>
            </w:pPr>
            <w:r>
              <w:t>1936.6 ± 19.2</w:t>
            </w:r>
          </w:p>
        </w:tc>
        <w:tc>
          <w:tcPr>
            <w:tcW w:w="1540" w:type="dxa"/>
          </w:tcPr>
          <w:p w14:paraId="5A01F257" w14:textId="77777777" w:rsidR="00E47456" w:rsidRDefault="0065712B" w:rsidP="00FD4035">
            <w:pPr>
              <w:pStyle w:val="Compact"/>
            </w:pPr>
            <w:r>
              <w:t>2.0</w:t>
            </w:r>
            <w:r>
              <w:t xml:space="preserve"> ± 0.1</w:t>
            </w:r>
          </w:p>
        </w:tc>
        <w:tc>
          <w:tcPr>
            <w:tcW w:w="1540" w:type="dxa"/>
          </w:tcPr>
          <w:p w14:paraId="17BAEA4B" w14:textId="462205C7" w:rsidR="00E47456" w:rsidRDefault="0065712B" w:rsidP="00FD4035">
            <w:pPr>
              <w:pStyle w:val="Compact"/>
            </w:pPr>
            <w:r>
              <w:t>138.5 ± 5.1</w:t>
            </w:r>
          </w:p>
        </w:tc>
      </w:tr>
      <w:tr w:rsidR="00E47456" w14:paraId="5C7DF3E4" w14:textId="77777777" w:rsidTr="00FD4035">
        <w:tc>
          <w:tcPr>
            <w:tcW w:w="1320" w:type="dxa"/>
          </w:tcPr>
          <w:p w14:paraId="3B20454A" w14:textId="77777777" w:rsidR="00E47456" w:rsidRDefault="0065712B" w:rsidP="00FD4035">
            <w:pPr>
              <w:pStyle w:val="Compact"/>
            </w:pPr>
            <w:r>
              <w:t>600</w:t>
            </w:r>
          </w:p>
        </w:tc>
        <w:tc>
          <w:tcPr>
            <w:tcW w:w="1760" w:type="dxa"/>
          </w:tcPr>
          <w:p w14:paraId="600EED0A" w14:textId="22448680" w:rsidR="00E47456" w:rsidRDefault="0065712B" w:rsidP="00FD4035">
            <w:pPr>
              <w:pStyle w:val="Compact"/>
            </w:pPr>
            <w:r>
              <w:t>1908.0 ± 29.2</w:t>
            </w:r>
          </w:p>
        </w:tc>
        <w:tc>
          <w:tcPr>
            <w:tcW w:w="1760" w:type="dxa"/>
          </w:tcPr>
          <w:p w14:paraId="37A88B93" w14:textId="39E8A2DC" w:rsidR="00E47456" w:rsidRDefault="0065712B" w:rsidP="00FD4035">
            <w:pPr>
              <w:pStyle w:val="Compact"/>
            </w:pPr>
            <w:r>
              <w:t>2254.3 ± 27.3</w:t>
            </w:r>
          </w:p>
        </w:tc>
        <w:tc>
          <w:tcPr>
            <w:tcW w:w="1540" w:type="dxa"/>
          </w:tcPr>
          <w:p w14:paraId="57FF524E" w14:textId="2CBC9AE7" w:rsidR="00E47456" w:rsidRDefault="0065712B" w:rsidP="00FD4035">
            <w:pPr>
              <w:pStyle w:val="Compact"/>
            </w:pPr>
            <w:r>
              <w:t>2.</w:t>
            </w:r>
            <w:r>
              <w:t>2 ± 0.1</w:t>
            </w:r>
          </w:p>
        </w:tc>
        <w:tc>
          <w:tcPr>
            <w:tcW w:w="1540" w:type="dxa"/>
          </w:tcPr>
          <w:p w14:paraId="7905543F" w14:textId="5A8F669C" w:rsidR="00E47456" w:rsidRDefault="0065712B" w:rsidP="00FD4035">
            <w:pPr>
              <w:pStyle w:val="Compact"/>
            </w:pPr>
            <w:r>
              <w:t>155.7 ± 2.2</w:t>
            </w:r>
          </w:p>
        </w:tc>
      </w:tr>
      <w:tr w:rsidR="00E47456" w14:paraId="4B4FE7ED" w14:textId="77777777" w:rsidTr="00FD4035">
        <w:tc>
          <w:tcPr>
            <w:tcW w:w="1320" w:type="dxa"/>
          </w:tcPr>
          <w:p w14:paraId="6702472B" w14:textId="77777777" w:rsidR="00E47456" w:rsidRDefault="0065712B" w:rsidP="00FD4035">
            <w:pPr>
              <w:pStyle w:val="Compact"/>
            </w:pPr>
            <w:r>
              <w:t>700</w:t>
            </w:r>
          </w:p>
        </w:tc>
        <w:tc>
          <w:tcPr>
            <w:tcW w:w="1760" w:type="dxa"/>
          </w:tcPr>
          <w:p w14:paraId="5D71388D" w14:textId="4A604E94" w:rsidR="00E47456" w:rsidRDefault="0065712B" w:rsidP="00FD4035">
            <w:pPr>
              <w:pStyle w:val="Compact"/>
            </w:pPr>
            <w:r>
              <w:t>1635.3 ± 35.9</w:t>
            </w:r>
          </w:p>
        </w:tc>
        <w:tc>
          <w:tcPr>
            <w:tcW w:w="1760" w:type="dxa"/>
          </w:tcPr>
          <w:p w14:paraId="5B9363B2" w14:textId="6BB370C9" w:rsidR="00E47456" w:rsidRDefault="0065712B" w:rsidP="00FD4035">
            <w:pPr>
              <w:pStyle w:val="Compact"/>
            </w:pPr>
            <w:r>
              <w:t>1876.0 ± 9.4</w:t>
            </w:r>
          </w:p>
        </w:tc>
        <w:tc>
          <w:tcPr>
            <w:tcW w:w="1540" w:type="dxa"/>
          </w:tcPr>
          <w:p w14:paraId="406481C6" w14:textId="77777777" w:rsidR="00E47456" w:rsidRDefault="0065712B" w:rsidP="00FD4035">
            <w:pPr>
              <w:pStyle w:val="Compact"/>
            </w:pPr>
            <w:r>
              <w:t>2.2</w:t>
            </w:r>
            <w:r>
              <w:t xml:space="preserve"> ± 0.0</w:t>
            </w:r>
          </w:p>
        </w:tc>
        <w:tc>
          <w:tcPr>
            <w:tcW w:w="1540" w:type="dxa"/>
          </w:tcPr>
          <w:p w14:paraId="6AD36829" w14:textId="5DFAB3DF" w:rsidR="00E47456" w:rsidRDefault="0065712B" w:rsidP="00FD4035">
            <w:pPr>
              <w:pStyle w:val="Compact"/>
            </w:pPr>
            <w:r>
              <w:t>156.1 ± 2.0</w:t>
            </w:r>
          </w:p>
        </w:tc>
      </w:tr>
      <w:tr w:rsidR="00E47456" w14:paraId="75773AD7" w14:textId="77777777" w:rsidTr="00FD4035">
        <w:tc>
          <w:tcPr>
            <w:tcW w:w="1320" w:type="dxa"/>
          </w:tcPr>
          <w:p w14:paraId="538152D4" w14:textId="77777777" w:rsidR="00E47456" w:rsidRDefault="0065712B" w:rsidP="00FD4035">
            <w:pPr>
              <w:pStyle w:val="Compact"/>
            </w:pPr>
            <w:r>
              <w:t>800</w:t>
            </w:r>
          </w:p>
        </w:tc>
        <w:tc>
          <w:tcPr>
            <w:tcW w:w="1760" w:type="dxa"/>
          </w:tcPr>
          <w:p w14:paraId="23535FCA" w14:textId="75D35EBB" w:rsidR="00E47456" w:rsidRDefault="0065712B" w:rsidP="00FD4035">
            <w:pPr>
              <w:pStyle w:val="Compact"/>
            </w:pPr>
            <w:r>
              <w:t>1151.1 ± 11.3</w:t>
            </w:r>
          </w:p>
        </w:tc>
        <w:tc>
          <w:tcPr>
            <w:tcW w:w="1760" w:type="dxa"/>
          </w:tcPr>
          <w:p w14:paraId="508E9AE1" w14:textId="48E61B47" w:rsidR="00E47456" w:rsidRDefault="0065712B" w:rsidP="00FD4035">
            <w:pPr>
              <w:pStyle w:val="Compact"/>
            </w:pPr>
            <w:r>
              <w:t>1208.6 ± 5.2</w:t>
            </w:r>
          </w:p>
        </w:tc>
        <w:tc>
          <w:tcPr>
            <w:tcW w:w="1540" w:type="dxa"/>
          </w:tcPr>
          <w:p w14:paraId="09D8830E" w14:textId="3EB149A3" w:rsidR="00E47456" w:rsidRDefault="0065712B" w:rsidP="00FD4035">
            <w:pPr>
              <w:pStyle w:val="Compact"/>
            </w:pPr>
            <w:r>
              <w:t>26.1 ± 1.7</w:t>
            </w:r>
          </w:p>
        </w:tc>
        <w:tc>
          <w:tcPr>
            <w:tcW w:w="1540" w:type="dxa"/>
          </w:tcPr>
          <w:p w14:paraId="52287758" w14:textId="3262B9B3" w:rsidR="00E47456" w:rsidRDefault="0065712B" w:rsidP="00FD4035">
            <w:pPr>
              <w:pStyle w:val="Compact"/>
            </w:pPr>
            <w:r>
              <w:t>151.4 ± 2.9</w:t>
            </w:r>
          </w:p>
        </w:tc>
      </w:tr>
      <w:tr w:rsidR="00E47456" w14:paraId="58115A7E" w14:textId="77777777" w:rsidTr="00FD4035">
        <w:tc>
          <w:tcPr>
            <w:tcW w:w="1320" w:type="dxa"/>
          </w:tcPr>
          <w:p w14:paraId="7A193C11" w14:textId="77777777" w:rsidR="00E47456" w:rsidRDefault="0065712B" w:rsidP="00FD4035">
            <w:pPr>
              <w:pStyle w:val="Compact"/>
            </w:pPr>
            <w:r>
              <w:t>900</w:t>
            </w:r>
          </w:p>
        </w:tc>
        <w:tc>
          <w:tcPr>
            <w:tcW w:w="1760" w:type="dxa"/>
          </w:tcPr>
          <w:p w14:paraId="35226305" w14:textId="107AC672" w:rsidR="00E47456" w:rsidRDefault="0065712B" w:rsidP="00FD4035">
            <w:pPr>
              <w:pStyle w:val="Compact"/>
            </w:pPr>
            <w:r>
              <w:t>936.3 ± 5.5</w:t>
            </w:r>
          </w:p>
        </w:tc>
        <w:tc>
          <w:tcPr>
            <w:tcW w:w="1760" w:type="dxa"/>
          </w:tcPr>
          <w:p w14:paraId="033D80A0" w14:textId="511BC2A7" w:rsidR="00E47456" w:rsidRDefault="0065712B" w:rsidP="00FD4035">
            <w:pPr>
              <w:pStyle w:val="Compact"/>
            </w:pPr>
            <w:r>
              <w:t>1081.5 ± 2.5</w:t>
            </w:r>
          </w:p>
        </w:tc>
        <w:tc>
          <w:tcPr>
            <w:tcW w:w="1540" w:type="dxa"/>
          </w:tcPr>
          <w:p w14:paraId="697C2A60" w14:textId="31076632" w:rsidR="00E47456" w:rsidRDefault="0065712B" w:rsidP="00FD4035">
            <w:pPr>
              <w:pStyle w:val="Compact"/>
            </w:pPr>
            <w:r>
              <w:t>30.6 ± 0.6</w:t>
            </w:r>
          </w:p>
        </w:tc>
        <w:tc>
          <w:tcPr>
            <w:tcW w:w="1540" w:type="dxa"/>
          </w:tcPr>
          <w:p w14:paraId="5B72A42E" w14:textId="03E86ABA" w:rsidR="00E47456" w:rsidRDefault="0065712B" w:rsidP="00FD4035">
            <w:pPr>
              <w:pStyle w:val="Compact"/>
            </w:pPr>
            <w:r>
              <w:t>153.1 ± 1.4</w:t>
            </w:r>
          </w:p>
        </w:tc>
      </w:tr>
      <w:tr w:rsidR="00E47456" w14:paraId="0E6F3864" w14:textId="77777777" w:rsidTr="00FD4035">
        <w:tc>
          <w:tcPr>
            <w:tcW w:w="1320" w:type="dxa"/>
          </w:tcPr>
          <w:p w14:paraId="2CC96F30" w14:textId="77777777" w:rsidR="00E47456" w:rsidRDefault="0065712B" w:rsidP="00FD4035">
            <w:pPr>
              <w:pStyle w:val="Compact"/>
            </w:pPr>
            <w:r>
              <w:t>1000</w:t>
            </w:r>
          </w:p>
        </w:tc>
        <w:tc>
          <w:tcPr>
            <w:tcW w:w="1760" w:type="dxa"/>
          </w:tcPr>
          <w:p w14:paraId="46BB4EFE" w14:textId="06531DE4" w:rsidR="00E47456" w:rsidRDefault="0065712B" w:rsidP="00FD4035">
            <w:pPr>
              <w:pStyle w:val="Compact"/>
            </w:pPr>
            <w:r>
              <w:t>674.8 ± 1.5</w:t>
            </w:r>
          </w:p>
        </w:tc>
        <w:tc>
          <w:tcPr>
            <w:tcW w:w="1760" w:type="dxa"/>
          </w:tcPr>
          <w:p w14:paraId="1AD235DA" w14:textId="3DAE6FC5" w:rsidR="00E47456" w:rsidRDefault="0065712B" w:rsidP="00FD4035">
            <w:pPr>
              <w:pStyle w:val="Compact"/>
            </w:pPr>
            <w:r>
              <w:t>977.8 ± 7.7</w:t>
            </w:r>
          </w:p>
        </w:tc>
        <w:tc>
          <w:tcPr>
            <w:tcW w:w="1540" w:type="dxa"/>
          </w:tcPr>
          <w:p w14:paraId="0D689BEE" w14:textId="6802BE64" w:rsidR="00E47456" w:rsidRDefault="0065712B" w:rsidP="00FD4035">
            <w:pPr>
              <w:pStyle w:val="Compact"/>
            </w:pPr>
            <w:r>
              <w:t>33.</w:t>
            </w:r>
            <w:r>
              <w:t>0 ± 0.3</w:t>
            </w:r>
          </w:p>
        </w:tc>
        <w:tc>
          <w:tcPr>
            <w:tcW w:w="1540" w:type="dxa"/>
          </w:tcPr>
          <w:p w14:paraId="0132A1A0" w14:textId="4C4EFCC3" w:rsidR="00E47456" w:rsidRDefault="0065712B" w:rsidP="00FD4035">
            <w:pPr>
              <w:pStyle w:val="Compact"/>
            </w:pPr>
            <w:r>
              <w:t>156.0 ± 2.0</w:t>
            </w:r>
          </w:p>
        </w:tc>
      </w:tr>
      <w:tr w:rsidR="00E47456" w14:paraId="734EB8F2" w14:textId="77777777" w:rsidTr="00FD4035">
        <w:tc>
          <w:tcPr>
            <w:tcW w:w="1320" w:type="dxa"/>
          </w:tcPr>
          <w:p w14:paraId="5BD30FD2" w14:textId="77777777" w:rsidR="00E47456" w:rsidRDefault="0065712B" w:rsidP="00FD4035">
            <w:pPr>
              <w:pStyle w:val="Compact"/>
            </w:pPr>
            <w:r>
              <w:t>1100</w:t>
            </w:r>
          </w:p>
        </w:tc>
        <w:tc>
          <w:tcPr>
            <w:tcW w:w="1760" w:type="dxa"/>
          </w:tcPr>
          <w:p w14:paraId="4B12D92C" w14:textId="0D43970A" w:rsidR="00E47456" w:rsidRDefault="0065712B" w:rsidP="00FD4035">
            <w:pPr>
              <w:pStyle w:val="Compact"/>
            </w:pPr>
            <w:r>
              <w:t>570.6 ± 10.3</w:t>
            </w:r>
          </w:p>
        </w:tc>
        <w:tc>
          <w:tcPr>
            <w:tcW w:w="1760" w:type="dxa"/>
          </w:tcPr>
          <w:p w14:paraId="2D22421B" w14:textId="75061812" w:rsidR="00E47456" w:rsidRDefault="0065712B" w:rsidP="00FD4035">
            <w:pPr>
              <w:pStyle w:val="Compact"/>
            </w:pPr>
            <w:r>
              <w:t>970.3 ± 16.5</w:t>
            </w:r>
          </w:p>
        </w:tc>
        <w:tc>
          <w:tcPr>
            <w:tcW w:w="1540" w:type="dxa"/>
          </w:tcPr>
          <w:p w14:paraId="164EC679" w14:textId="05D668A6" w:rsidR="00E47456" w:rsidRDefault="0065712B" w:rsidP="00FD4035">
            <w:pPr>
              <w:pStyle w:val="Compact"/>
            </w:pPr>
            <w:r>
              <w:t>29.</w:t>
            </w:r>
            <w:r>
              <w:t>1 ± 0.6</w:t>
            </w:r>
          </w:p>
        </w:tc>
        <w:tc>
          <w:tcPr>
            <w:tcW w:w="1540" w:type="dxa"/>
          </w:tcPr>
          <w:p w14:paraId="6720E06E" w14:textId="0D795065" w:rsidR="00E47456" w:rsidRDefault="0065712B" w:rsidP="00FD4035">
            <w:pPr>
              <w:pStyle w:val="Compact"/>
            </w:pPr>
            <w:r>
              <w:t>161.9 ± 3.6</w:t>
            </w:r>
          </w:p>
        </w:tc>
      </w:tr>
      <w:tr w:rsidR="00E47456" w14:paraId="6321DFC0" w14:textId="77777777" w:rsidTr="00FD4035">
        <w:tc>
          <w:tcPr>
            <w:tcW w:w="1320" w:type="dxa"/>
          </w:tcPr>
          <w:p w14:paraId="2E1A05B7" w14:textId="77777777" w:rsidR="00E47456" w:rsidRDefault="0065712B" w:rsidP="00FD4035">
            <w:pPr>
              <w:pStyle w:val="Compact"/>
            </w:pPr>
            <w:r>
              <w:t>1200</w:t>
            </w:r>
          </w:p>
        </w:tc>
        <w:tc>
          <w:tcPr>
            <w:tcW w:w="1760" w:type="dxa"/>
          </w:tcPr>
          <w:p w14:paraId="375A033D" w14:textId="020DECFD" w:rsidR="00E47456" w:rsidRDefault="0065712B" w:rsidP="00FD4035">
            <w:pPr>
              <w:pStyle w:val="Compact"/>
            </w:pPr>
            <w:r>
              <w:t>518.7 ± 11.8</w:t>
            </w:r>
          </w:p>
        </w:tc>
        <w:tc>
          <w:tcPr>
            <w:tcW w:w="1760" w:type="dxa"/>
          </w:tcPr>
          <w:p w14:paraId="133B1920" w14:textId="6B496586" w:rsidR="00E47456" w:rsidRDefault="0065712B" w:rsidP="00FD4035">
            <w:pPr>
              <w:pStyle w:val="Compact"/>
            </w:pPr>
            <w:r>
              <w:t>968.3 ± 21.4</w:t>
            </w:r>
          </w:p>
        </w:tc>
        <w:tc>
          <w:tcPr>
            <w:tcW w:w="1540" w:type="dxa"/>
          </w:tcPr>
          <w:p w14:paraId="5D3F8B8F" w14:textId="79C8A7AF" w:rsidR="00E47456" w:rsidRDefault="0065712B" w:rsidP="00FD4035">
            <w:pPr>
              <w:pStyle w:val="Compact"/>
            </w:pPr>
            <w:r>
              <w:t>25.6 ± 1.2</w:t>
            </w:r>
          </w:p>
        </w:tc>
        <w:tc>
          <w:tcPr>
            <w:tcW w:w="1540" w:type="dxa"/>
          </w:tcPr>
          <w:p w14:paraId="69D9C9DC" w14:textId="21D5EBF9" w:rsidR="00E47456" w:rsidRDefault="0065712B" w:rsidP="00FD4035">
            <w:pPr>
              <w:pStyle w:val="Compact"/>
            </w:pPr>
            <w:r>
              <w:t>161.2 ± 5.5</w:t>
            </w:r>
          </w:p>
        </w:tc>
      </w:tr>
    </w:tbl>
    <w:p w14:paraId="2591B8FF" w14:textId="77777777" w:rsidR="00E47456" w:rsidRDefault="0065712B">
      <w:pPr>
        <w:pStyle w:val="CaptionedFigure"/>
      </w:pPr>
      <w:r>
        <w:rPr>
          <w:noProof/>
        </w:rPr>
        <w:drawing>
          <wp:inline distT="0" distB="0" distL="0" distR="0" wp14:anchorId="28172177" wp14:editId="1A6BA1BB">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Each panel shows a single representative specimen; the values in Table 2 are means of three specimens per condition.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6"/>
                    <a:stretch>
                      <a:fillRect/>
                    </a:stretch>
                  </pic:blipFill>
                  <pic:spPr bwMode="auto">
                    <a:xfrm>
                      <a:off x="0" y="0"/>
                      <a:ext cx="5943600" cy="2971800"/>
                    </a:xfrm>
                    <a:prstGeom prst="rect">
                      <a:avLst/>
                    </a:prstGeom>
                    <a:noFill/>
                    <a:ln w="9525">
                      <a:noFill/>
                      <a:headEnd/>
                      <a:tailEnd/>
                    </a:ln>
                  </pic:spPr>
                </pic:pic>
              </a:graphicData>
            </a:graphic>
          </wp:inline>
        </w:drawing>
      </w:r>
    </w:p>
    <w:p w14:paraId="6272C5DB" w14:textId="2329617E" w:rsidR="00E47456" w:rsidRDefault="0065712B" w:rsidP="00FD4035">
      <w:pPr>
        <w:pStyle w:val="ImageCaption"/>
      </w:pPr>
      <w:r>
        <w:rPr>
          <w:b/>
          <w:bCs/>
        </w:rPr>
        <w:t>Fig. 2.</w:t>
      </w:r>
      <w:r>
        <w:t xml:space="preserve"> </w:t>
      </w:r>
      <w:r>
        <w:t xml:space="preserve">Cyclic stress–strain curves of the </w:t>
      </w:r>
      <w:r>
        <w:t>LLM-</w:t>
      </w:r>
      <w:r>
        <w:t xml:space="preserve">alloy after annealing for 1 minute at </w:t>
      </w:r>
      <w:r>
        <w:t>(a) 600, (b) 700, (c) 800, (d) 900, (e) 1000, (f) 1100 and (g) 1200 °C, and (h) at 1200 °C followed by the 200 °C/3 h age.</w:t>
      </w:r>
      <w:r>
        <w:t xml:space="preserve"> Wire diameter is 0.36 mm. </w:t>
      </w:r>
      <w:r>
        <w:t xml:space="preserve">Stress is computed from the measured per-spool diameter and </w:t>
      </w:r>
      <w:r>
        <w:t xml:space="preserve">strain </w:t>
      </w:r>
      <w:r>
        <w:t>from crosshead extension over the 127 mm gauge (Sec. 2.4). Each panel shows a single representative specimen; the values in Table 2 are means</w:t>
      </w:r>
      <w:r>
        <w:t xml:space="preserve"> of </w:t>
      </w:r>
      <w:r>
        <w:t>three specimens per condition. Curves are shown to 10% strain (2.5% for the two brittle conditions); elongations to failure are listed in Table 2</w:t>
      </w:r>
      <w:r>
        <w:t>.</w:t>
      </w:r>
    </w:p>
    <w:p w14:paraId="681D5DBD" w14:textId="55F2C8C2" w:rsidR="00E47456" w:rsidRDefault="0065712B" w:rsidP="00FD4035">
      <w:pPr>
        <w:pStyle w:val="BodyText"/>
      </w:pPr>
      <w:r>
        <w:rPr>
          <w:b/>
          <w:bCs/>
        </w:rPr>
        <w:t>Fig. 3</w:t>
      </w:r>
      <w:r>
        <w:t xml:space="preserve"> 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49A20D2D" w14:textId="77777777" w:rsidR="00E47456" w:rsidRDefault="0065712B">
      <w:pPr>
        <w:pStyle w:val="BodyText"/>
      </w:pPr>
      <w:r>
        <w:t xml:space="preserve">The claim made here is the narrow one it should be: </w:t>
      </w:r>
      <w:r>
        <w:rPr>
          <w:b/>
          <w:bCs/>
        </w:rPr>
        <w:t>no detectable transformation in the LLM-alloy under a route that produced measurable transformation in the benchmark.</w:t>
      </w:r>
      <w:r>
        <w:t xml:space="preserve"> </w:t>
      </w:r>
      <w:r>
        <w:t>The comparison is conservative in the LLM-alloy’s favour, because the LLM-alloy additionally received the 200 °C/3 h age reported to develop pseudo-elasticity in this family (</w:t>
      </w:r>
      <w:r>
        <w:rPr>
          <w:b/>
          <w:bCs/>
        </w:rPr>
        <w:t xml:space="preserve">Fig. </w:t>
      </w:r>
      <w:r>
        <w:rPr>
          <w:b/>
          <w:bCs/>
        </w:rPr>
        <w:t>2h</w:t>
      </w:r>
      <w:r>
        <w:t>) and the benchmark received no age at all.</w:t>
      </w:r>
    </w:p>
    <w:p w14:paraId="68E0584D" w14:textId="77777777" w:rsidR="00E47456" w:rsidRDefault="0065712B">
      <w:pPr>
        <w:pStyle w:val="CaptionedFigure"/>
      </w:pPr>
      <w:r>
        <w:rPr>
          <w:noProof/>
        </w:rPr>
        <w:drawing>
          <wp:inline distT="0" distB="0" distL="0" distR="0" wp14:anchorId="2E28520F" wp14:editId="5BE0DC18">
            <wp:extent cx="5522976" cy="2086356"/>
            <wp:effectExtent l="0" t="0" r="0" b="0"/>
            <wp:docPr id="36" name="Picture" descr="Fig. 3. Loading–unloading–heating tests of (a) the LLM-alloy and (b) the benchmark alloy, both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5522976" cy="2086356"/>
                    </a:xfrm>
                    <a:prstGeom prst="rect">
                      <a:avLst/>
                    </a:prstGeom>
                    <a:noFill/>
                    <a:ln w="9525">
                      <a:noFill/>
                      <a:headEnd/>
                      <a:tailEnd/>
                    </a:ln>
                  </pic:spPr>
                </pic:pic>
              </a:graphicData>
            </a:graphic>
          </wp:inline>
        </w:drawing>
      </w:r>
    </w:p>
    <w:p w14:paraId="01A883D4" w14:textId="4FB0C588" w:rsidR="00E47456" w:rsidRDefault="0065712B" w:rsidP="00FD4035">
      <w:pPr>
        <w:pStyle w:val="ImageCaption"/>
      </w:pPr>
      <w:r>
        <w:rPr>
          <w:b/>
          <w:bCs/>
        </w:rPr>
        <w:t xml:space="preserve">Fig. </w:t>
      </w:r>
      <w:r>
        <w:rPr>
          <w:b/>
          <w:bCs/>
        </w:rPr>
        <w:t>3.</w:t>
      </w:r>
      <w:r>
        <w:t xml:space="preserve"> Loading–unloading–heating tests of (a) the </w:t>
      </w:r>
      <w:r>
        <w:t>LLM-</w:t>
      </w:r>
      <w:r>
        <w:t xml:space="preserve">alloy and (b) the </w:t>
      </w:r>
      <w:r>
        <w:t>benchmark</w:t>
      </w:r>
      <w:r>
        <w:t xml:space="preserve"> alloy</w:t>
      </w:r>
      <w:r>
        <w:t>, both</w:t>
      </w:r>
      <w:r>
        <w:t xml:space="preserve"> heat treated at 1200 °C for 1 minute. Black arrows show the deformation path; the red arrow highlights the strain recovery caused by heating.</w:t>
      </w:r>
    </w:p>
    <w:p w14:paraId="38D6072D" w14:textId="77777777" w:rsidR="00E47456" w:rsidRDefault="0065712B" w:rsidP="00FD4035">
      <w:pPr>
        <w:pStyle w:val="Heading2"/>
      </w:pPr>
      <w:bookmarkStart w:id="12" w:name="X7b0047580ff68e3c8823c4535b0eba55ad6dd86"/>
      <w:bookmarkEnd w:id="11"/>
      <w:r>
        <w:t>3.3 Synchrotron diffraction and phase identification</w:t>
      </w:r>
    </w:p>
    <w:p w14:paraId="05DE14CE" w14:textId="53216DF4" w:rsidR="00E47456" w:rsidRDefault="0065712B" w:rsidP="00FD4035">
      <w:pPr>
        <w:pStyle w:val="FirstParagraph"/>
      </w:pPr>
      <w:r>
        <w:t xml:space="preserve">Synchrotron XRD of samples before and after deformation is shown in </w:t>
      </w:r>
      <w:r>
        <w:rPr>
          <w:b/>
          <w:bCs/>
        </w:rPr>
        <w:t>Fig. 4</w:t>
      </w:r>
      <w:r>
        <w:t xml:space="preserve">. </w:t>
      </w:r>
      <w:r>
        <w:rPr>
          <w:b/>
          <w:bCs/>
        </w:rPr>
        <w:t>Fig. 5</w:t>
      </w:r>
      <w:r>
        <w:t xml:space="preserve"> 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33D0DE68" w14:textId="77777777" w:rsidR="00E47456" w:rsidRDefault="0065712B">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6EF0FEC4" w14:textId="77777777" w:rsidR="00E47456" w:rsidRDefault="0065712B">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2E6A8DE1" w14:textId="77777777" w:rsidR="00E47456" w:rsidRDefault="0065712B">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48D1C123" w14:textId="77777777" w:rsidR="00E47456" w:rsidRDefault="0065712B">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p>
    <w:p w14:paraId="31EB31BC" w14:textId="77777777" w:rsidR="00E47456" w:rsidRDefault="0065712B">
      <w:pPr>
        <w:pStyle w:val="BodyText"/>
      </w:pPr>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(Sec. 2.5).</w:t>
      </w:r>
    </w:p>
    <w:p w14:paraId="26DFC0DB" w14:textId="430DCA42" w:rsidR="00E47456" w:rsidRDefault="0065712B" w:rsidP="00FD4035">
      <w:pPr>
        <w:pStyle w:val="BodyText"/>
      </w:pPr>
      <w:r>
        <w:t xml:space="preserve">It is worth noting that the </w:t>
      </w:r>
      <w:r>
        <w:t>LLM-</w:t>
      </w:r>
      <w:r>
        <w:t xml:space="preserve">alloy after </w:t>
      </w:r>
      <w:r>
        <w:t>the abnormal-grain-growth</w:t>
      </w:r>
      <w:r>
        <w:t xml:space="preserve"> heat treatment </w:t>
      </w:r>
      <w:r>
        <w:t xml:space="preserve">of Sec. 2.2 </w:t>
      </w:r>
      <w:r>
        <w:t xml:space="preserve">showed an X-ray diffraction pattern </w:t>
      </w:r>
      <w:r>
        <w:t>(</w:t>
      </w:r>
      <w:r>
        <w:rPr>
          <w:b/>
          <w:bCs/>
        </w:rPr>
        <w:t>Fig. 8</w:t>
      </w:r>
      <w:r>
        <w:t>) containing the same phases as</w:t>
      </w:r>
      <w:r>
        <w:t xml:space="preserve"> </w:t>
      </w:r>
      <w:r>
        <w:rPr>
          <w:b/>
          <w:bCs/>
        </w:rPr>
        <w:t>Fig. 4a</w:t>
      </w:r>
      <w:r>
        <w:t xml:space="preserve">, </w:t>
      </w:r>
      <w:r>
        <w:t>but with the intensity along the Debye rings resolved into markedly more discrete spots. Two things follow, and they are separate. The phase constitution is unaffected by the treatment, so</w:t>
      </w:r>
      <w:r>
        <w:t xml:space="preserve"> the multi-phase microstructure is a stable state of this alloy at 1200 °C</w:t>
      </w:r>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r>
        <w:t>.</w:t>
      </w:r>
    </w:p>
    <w:p w14:paraId="70F656F1" w14:textId="77777777" w:rsidR="00E47456" w:rsidRDefault="0065712B">
      <w:pPr>
        <w:pStyle w:val="CaptionedFigure"/>
      </w:pPr>
      <w:r>
        <w:rPr>
          <w:noProof/>
        </w:rPr>
        <w:drawing>
          <wp:inline distT="0" distB="0" distL="0" distR="0" wp14:anchorId="5C686BF8" wp14:editId="2D02EE79">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5943600" cy="5802830"/>
                    </a:xfrm>
                    <a:prstGeom prst="rect">
                      <a:avLst/>
                    </a:prstGeom>
                    <a:noFill/>
                    <a:ln w="9525">
                      <a:noFill/>
                      <a:headEnd/>
                      <a:tailEnd/>
                    </a:ln>
                  </pic:spPr>
                </pic:pic>
              </a:graphicData>
            </a:graphic>
          </wp:inline>
        </w:drawing>
      </w:r>
    </w:p>
    <w:p w14:paraId="35723D09" w14:textId="7AFAA1F0" w:rsidR="00E47456" w:rsidRDefault="0065712B" w:rsidP="00FD4035">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7A9C41E1" w14:textId="77777777" w:rsidR="00E47456" w:rsidRDefault="0065712B">
      <w:pPr>
        <w:pStyle w:val="CaptionedFigure"/>
      </w:pPr>
      <w:r>
        <w:rPr>
          <w:noProof/>
        </w:rPr>
        <w:drawing>
          <wp:inline distT="0" distB="0" distL="0" distR="0" wp14:anchorId="64836894" wp14:editId="204FE0B1">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57985D1B" w14:textId="57060B91" w:rsidR="00E47456" w:rsidRDefault="0065712B" w:rsidP="00FD4035">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0B38C521" w14:textId="77777777" w:rsidR="00E47456" w:rsidRDefault="0065712B">
      <w:pPr>
        <w:pStyle w:val="CaptionedFigure"/>
      </w:pPr>
      <w:r>
        <w:rPr>
          <w:noProof/>
        </w:rPr>
        <w:drawing>
          <wp:inline distT="0" distB="0" distL="0" distR="0" wp14:anchorId="336BA17F" wp14:editId="431F4BA5">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5120640" cy="5943600"/>
                    </a:xfrm>
                    <a:prstGeom prst="rect">
                      <a:avLst/>
                    </a:prstGeom>
                    <a:noFill/>
                    <a:ln w="9525">
                      <a:noFill/>
                      <a:headEnd/>
                      <a:tailEnd/>
                    </a:ln>
                  </pic:spPr>
                </pic:pic>
              </a:graphicData>
            </a:graphic>
          </wp:inline>
        </w:drawing>
      </w:r>
    </w:p>
    <w:p w14:paraId="1BEF412E" w14:textId="440B982F" w:rsidR="00E47456" w:rsidRDefault="0065712B" w:rsidP="00FD4035">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44A45269" w14:textId="77777777" w:rsidR="00E47456" w:rsidRDefault="0065712B">
      <w:pPr>
        <w:pStyle w:val="CaptionedFigure"/>
      </w:pPr>
      <w:r>
        <w:rPr>
          <w:noProof/>
        </w:rPr>
        <w:drawing>
          <wp:inline distT="0" distB="0" distL="0" distR="0" wp14:anchorId="22A5CFDC" wp14:editId="4E23F95F">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1"/>
                    <a:stretch>
                      <a:fillRect/>
                    </a:stretch>
                  </pic:blipFill>
                  <pic:spPr bwMode="auto">
                    <a:xfrm>
                      <a:off x="0" y="0"/>
                      <a:ext cx="3404616" cy="1234440"/>
                    </a:xfrm>
                    <a:prstGeom prst="rect">
                      <a:avLst/>
                    </a:prstGeom>
                    <a:noFill/>
                    <a:ln w="9525">
                      <a:noFill/>
                      <a:headEnd/>
                      <a:tailEnd/>
                    </a:ln>
                  </pic:spPr>
                </pic:pic>
              </a:graphicData>
            </a:graphic>
          </wp:inline>
        </w:drawing>
      </w:r>
    </w:p>
    <w:p w14:paraId="6EFA51AB" w14:textId="77777777" w:rsidR="00E47456" w:rsidRDefault="0065712B">
      <w:pPr>
        <w:pStyle w:val="ImageCaption"/>
      </w:pPr>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p>
    <w:p w14:paraId="141C10EC" w14:textId="77777777" w:rsidR="00E47456" w:rsidRDefault="0065712B">
      <w:pPr>
        <w:pStyle w:val="CaptionedFigure"/>
      </w:pPr>
      <w:r>
        <w:rPr>
          <w:noProof/>
        </w:rPr>
        <w:drawing>
          <wp:inline distT="0" distB="0" distL="0" distR="0" wp14:anchorId="5522922B" wp14:editId="2A4E619A">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2"/>
                    <a:stretch>
                      <a:fillRect/>
                    </a:stretch>
                  </pic:blipFill>
                  <pic:spPr bwMode="auto">
                    <a:xfrm>
                      <a:off x="0" y="0"/>
                      <a:ext cx="3566160" cy="3410712"/>
                    </a:xfrm>
                    <a:prstGeom prst="rect">
                      <a:avLst/>
                    </a:prstGeom>
                    <a:noFill/>
                    <a:ln w="9525">
                      <a:noFill/>
                      <a:headEnd/>
                      <a:tailEnd/>
                    </a:ln>
                  </pic:spPr>
                </pic:pic>
              </a:graphicData>
            </a:graphic>
          </wp:inline>
        </w:drawing>
      </w:r>
    </w:p>
    <w:p w14:paraId="13C1F4B2" w14:textId="77777777" w:rsidR="00E47456" w:rsidRDefault="0065712B">
      <w:pPr>
        <w:pStyle w:val="ImageCaption"/>
      </w:pPr>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p>
    <w:p w14:paraId="12D504AB" w14:textId="77777777" w:rsidR="00E47456" w:rsidRDefault="0065712B">
      <w:pPr>
        <w:pStyle w:val="Heading2"/>
      </w:pPr>
      <w:bookmarkStart w:id="13" w:name="equilibrium-phase-stability"/>
      <w:bookmarkEnd w:id="12"/>
      <w:r>
        <w:t>3.4 Equilibrium phase stability</w:t>
      </w:r>
    </w:p>
    <w:p w14:paraId="1120C9D9" w14:textId="77777777" w:rsidR="00E47456" w:rsidRDefault="0065712B">
      <w:pPr>
        <w:pStyle w:val="FirstParagraph"/>
      </w:pPr>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and is plotted beside them in </w:t>
      </w:r>
      <w:r>
        <w:rPr>
          <w:b/>
          <w:bCs/>
        </w:rPr>
        <w:t>Fig. 9c</w:t>
      </w:r>
      <w:r>
        <w:t xml:space="preserve">; because all three databases agree on it, it is also reported numerically in </w:t>
      </w:r>
      <w:r>
        <w:rPr>
          <w:b/>
          <w:bCs/>
        </w:rPr>
        <w:t>Table 3</w:t>
      </w:r>
      <w:r>
        <w:t>.</w:t>
      </w:r>
    </w:p>
    <w:p w14:paraId="31EC4660" w14:textId="77777777" w:rsidR="00E47456" w:rsidRDefault="0065712B">
      <w:pPr>
        <w:pStyle w:val="BodyText"/>
      </w:pPr>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5054A1B9" w14:textId="77777777" w:rsidR="00E47456" w:rsidRDefault="0065712B">
      <w:pPr>
        <w:pStyle w:val="BodyText"/>
      </w:pPr>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59CD0FAC" w14:textId="77777777" w:rsidR="00E47456" w:rsidRDefault="0065712B">
      <w:pPr>
        <w:pStyle w:val="BodyText"/>
      </w:pPr>
      <w:r>
        <w:t>Removing carbon and holding every other element fixed restores the missing field (</w:t>
      </w:r>
      <w:r>
        <w:rPr>
          <w:b/>
          <w:bCs/>
        </w:rPr>
        <w:t>Fig. 9c</w:t>
      </w:r>
      <w:r>
        <w:t>),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 benchmark does, in all three databases and despite their covering different el</w:t>
      </w:r>
      <w:r>
        <w:t>ement sets (</w:t>
      </w:r>
      <w:r>
        <w:rPr>
          <w:b/>
          <w:bCs/>
        </w:rPr>
        <w:t>Table 3</w:t>
      </w:r>
      <w:r>
        <w:t>).</w:t>
      </w:r>
    </w:p>
    <w:p w14:paraId="2ADF0EAE" w14:textId="77777777" w:rsidR="00E47456" w:rsidRDefault="0065712B">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E47456" w14:paraId="0CB798B9" w14:textId="77777777" w:rsidTr="00E47456">
        <w:trPr>
          <w:cnfStyle w:val="100000000000" w:firstRow="1" w:lastRow="0" w:firstColumn="0" w:lastColumn="0" w:oddVBand="0" w:evenVBand="0" w:oddHBand="0" w:evenHBand="0" w:firstRowFirstColumn="0" w:firstRowLastColumn="0" w:lastRowFirstColumn="0" w:lastRowLastColumn="0"/>
          <w:tblHeader/>
        </w:trPr>
        <w:tc>
          <w:tcPr>
            <w:tcW w:w="0" w:type="auto"/>
          </w:tcPr>
          <w:p w14:paraId="4A42F0D8" w14:textId="77777777" w:rsidR="00E47456" w:rsidRDefault="0065712B">
            <w:pPr>
              <w:pStyle w:val="Compact"/>
            </w:pPr>
            <w:r>
              <w:t>Alloy</w:t>
            </w:r>
          </w:p>
        </w:tc>
        <w:tc>
          <w:tcPr>
            <w:tcW w:w="0" w:type="auto"/>
          </w:tcPr>
          <w:p w14:paraId="051E5AD3" w14:textId="77777777" w:rsidR="00E47456" w:rsidRDefault="0065712B">
            <w:pPr>
              <w:pStyle w:val="Compact"/>
            </w:pPr>
            <w:r>
              <w:t>mpea-02b</w:t>
            </w:r>
          </w:p>
        </w:tc>
        <w:tc>
          <w:tcPr>
            <w:tcW w:w="0" w:type="auto"/>
          </w:tcPr>
          <w:p w14:paraId="788F07A6" w14:textId="77777777" w:rsidR="00E47456" w:rsidRDefault="0065712B">
            <w:pPr>
              <w:pStyle w:val="Compact"/>
            </w:pPr>
            <w:r>
              <w:t>PrecHiMn-04</w:t>
            </w:r>
          </w:p>
        </w:tc>
        <w:tc>
          <w:tcPr>
            <w:tcW w:w="0" w:type="auto"/>
          </w:tcPr>
          <w:p w14:paraId="22255195" w14:textId="77777777" w:rsidR="00E47456" w:rsidRDefault="0065712B">
            <w:pPr>
              <w:pStyle w:val="Compact"/>
            </w:pPr>
            <w:r>
              <w:t>mc_fe v2.059</w:t>
            </w:r>
          </w:p>
        </w:tc>
      </w:tr>
      <w:tr w:rsidR="00E47456" w14:paraId="37FF1F72" w14:textId="77777777">
        <w:tc>
          <w:tcPr>
            <w:tcW w:w="0" w:type="auto"/>
          </w:tcPr>
          <w:p w14:paraId="7A6AB1A4" w14:textId="77777777" w:rsidR="00E47456" w:rsidRDefault="0065712B">
            <w:pPr>
              <w:pStyle w:val="Compact"/>
            </w:pPr>
            <w:r>
              <w:t>benchmark alloy</w:t>
            </w:r>
          </w:p>
        </w:tc>
        <w:tc>
          <w:tcPr>
            <w:tcW w:w="0" w:type="auto"/>
          </w:tcPr>
          <w:p w14:paraId="6A2DE8DF" w14:textId="77777777" w:rsidR="00E47456" w:rsidRDefault="0065712B">
            <w:pPr>
              <w:pStyle w:val="Compact"/>
            </w:pPr>
            <w:r>
              <w:t>100 α</w:t>
            </w:r>
          </w:p>
        </w:tc>
        <w:tc>
          <w:tcPr>
            <w:tcW w:w="0" w:type="auto"/>
          </w:tcPr>
          <w:p w14:paraId="7E4B9C6F" w14:textId="77777777" w:rsidR="00E47456" w:rsidRDefault="0065712B">
            <w:pPr>
              <w:pStyle w:val="Compact"/>
            </w:pPr>
            <w:r>
              <w:t>–</w:t>
            </w:r>
          </w:p>
        </w:tc>
        <w:tc>
          <w:tcPr>
            <w:tcW w:w="0" w:type="auto"/>
          </w:tcPr>
          <w:p w14:paraId="35BD3DF8" w14:textId="77777777" w:rsidR="00E47456" w:rsidRDefault="0065712B">
            <w:pPr>
              <w:pStyle w:val="Compact"/>
            </w:pPr>
            <w:r>
              <w:t>100 α</w:t>
            </w:r>
          </w:p>
        </w:tc>
      </w:tr>
      <w:tr w:rsidR="00E47456" w14:paraId="6B23071B" w14:textId="77777777">
        <w:tc>
          <w:tcPr>
            <w:tcW w:w="0" w:type="auto"/>
          </w:tcPr>
          <w:p w14:paraId="516635C6" w14:textId="77777777" w:rsidR="00E47456" w:rsidRDefault="0065712B">
            <w:pPr>
              <w:pStyle w:val="Compact"/>
            </w:pPr>
            <w:r>
              <w:t>LLM-alloy</w:t>
            </w:r>
          </w:p>
        </w:tc>
        <w:tc>
          <w:tcPr>
            <w:tcW w:w="0" w:type="auto"/>
          </w:tcPr>
          <w:p w14:paraId="5929D335" w14:textId="77777777" w:rsidR="00E47456" w:rsidRDefault="0065712B">
            <w:pPr>
              <w:pStyle w:val="Compact"/>
            </w:pPr>
            <w:r>
              <w:t>71.1 α + 28.9 γ</w:t>
            </w:r>
          </w:p>
        </w:tc>
        <w:tc>
          <w:tcPr>
            <w:tcW w:w="0" w:type="auto"/>
          </w:tcPr>
          <w:p w14:paraId="34986FC5" w14:textId="77777777" w:rsidR="00E47456" w:rsidRDefault="0065712B">
            <w:pPr>
              <w:pStyle w:val="Compact"/>
            </w:pPr>
            <w:r>
              <w:t>64.5 α + 35.5 γ</w:t>
            </w:r>
          </w:p>
        </w:tc>
        <w:tc>
          <w:tcPr>
            <w:tcW w:w="0" w:type="auto"/>
          </w:tcPr>
          <w:p w14:paraId="5704B866" w14:textId="77777777" w:rsidR="00E47456" w:rsidRDefault="0065712B">
            <w:pPr>
              <w:pStyle w:val="Compact"/>
            </w:pPr>
            <w:r>
              <w:t>61.9 α + 38.1 γ</w:t>
            </w:r>
          </w:p>
        </w:tc>
      </w:tr>
      <w:tr w:rsidR="00E47456" w14:paraId="060D50F7" w14:textId="77777777">
        <w:tc>
          <w:tcPr>
            <w:tcW w:w="0" w:type="auto"/>
          </w:tcPr>
          <w:p w14:paraId="39D47FC9" w14:textId="77777777" w:rsidR="00E47456" w:rsidRDefault="0065712B">
            <w:pPr>
              <w:pStyle w:val="Compact"/>
            </w:pPr>
            <w:r>
              <w:t>LLM-alloy, C removed</w:t>
            </w:r>
          </w:p>
        </w:tc>
        <w:tc>
          <w:tcPr>
            <w:tcW w:w="0" w:type="auto"/>
          </w:tcPr>
          <w:p w14:paraId="283707EE" w14:textId="77777777" w:rsidR="00E47456" w:rsidRDefault="0065712B">
            <w:pPr>
              <w:pStyle w:val="Compact"/>
            </w:pPr>
            <w:r>
              <w:t>100 α</w:t>
            </w:r>
          </w:p>
        </w:tc>
        <w:tc>
          <w:tcPr>
            <w:tcW w:w="0" w:type="auto"/>
          </w:tcPr>
          <w:p w14:paraId="6237FAFE" w14:textId="77777777" w:rsidR="00E47456" w:rsidRDefault="0065712B">
            <w:pPr>
              <w:pStyle w:val="Compact"/>
            </w:pPr>
            <w:r>
              <w:t>100 α</w:t>
            </w:r>
          </w:p>
        </w:tc>
        <w:tc>
          <w:tcPr>
            <w:tcW w:w="0" w:type="auto"/>
          </w:tcPr>
          <w:p w14:paraId="18A4D1B2" w14:textId="77777777" w:rsidR="00E47456" w:rsidRDefault="0065712B">
            <w:pPr>
              <w:pStyle w:val="Compact"/>
            </w:pPr>
            <w:r>
              <w:t>100 α</w:t>
            </w:r>
          </w:p>
        </w:tc>
      </w:tr>
    </w:tbl>
    <w:p w14:paraId="47E7C927" w14:textId="77777777" w:rsidR="00E47456" w:rsidRDefault="0065712B">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221CCA91" w14:textId="77777777" w:rsidR="00E47456" w:rsidRDefault="0065712B">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4593D7A5" w14:textId="77777777" w:rsidR="00E47456" w:rsidRDefault="0065712B">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p>
    <w:p w14:paraId="53C4ACE8" w14:textId="77777777" w:rsidR="00E47456" w:rsidRDefault="0065712B">
      <w:pPr>
        <w:pStyle w:val="BodyText"/>
      </w:pPr>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p>
    <w:p w14:paraId="3B2A2390" w14:textId="77777777" w:rsidR="00E47456" w:rsidRDefault="0065712B">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5AA318A3" w14:textId="77777777" w:rsidR="00E47456" w:rsidRDefault="0065712B">
      <w:pPr>
        <w:pStyle w:val="CaptionedFigure"/>
      </w:pPr>
      <w:r>
        <w:rPr>
          <w:noProof/>
        </w:rPr>
        <w:drawing>
          <wp:inline distT="0" distB="0" distL="0" distR="0" wp14:anchorId="1C030C97" wp14:editId="3C06C6CF">
            <wp:extent cx="5943600" cy="2075542"/>
            <wp:effectExtent l="0" t="0" r="0" b="0"/>
            <wp:docPr id="56" name="Picture" descr="Fig. 9. 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it lies outside the single-phase α field in (b) and inside it in (c). The carbon-free control is also reported numerically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3"/>
                    <a:stretch>
                      <a:fillRect/>
                    </a:stretch>
                  </pic:blipFill>
                  <pic:spPr bwMode="auto">
                    <a:xfrm>
                      <a:off x="0" y="0"/>
                      <a:ext cx="5943600" cy="2075542"/>
                    </a:xfrm>
                    <a:prstGeom prst="rect">
                      <a:avLst/>
                    </a:prstGeom>
                    <a:noFill/>
                    <a:ln w="9525">
                      <a:noFill/>
                      <a:headEnd/>
                      <a:tailEnd/>
                    </a:ln>
                  </pic:spPr>
                </pic:pic>
              </a:graphicData>
            </a:graphic>
          </wp:inline>
        </w:drawing>
      </w:r>
    </w:p>
    <w:p w14:paraId="3DF51070" w14:textId="77777777" w:rsidR="00E47456" w:rsidRDefault="0065712B">
      <w:pPr>
        <w:pStyle w:val="ImageCaption"/>
      </w:pPr>
      <w:r>
        <w:rPr>
          <w:b/>
          <w:bCs/>
        </w:rPr>
        <w:t>Fig. 9.</w:t>
      </w:r>
      <w:r>
        <w:t xml:space="preserve"> </w:t>
      </w:r>
      <w:r>
        <w:t>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w:t>
      </w:r>
      <w:r>
        <w:t>ements renormalized (Sec. 2.6). The shaded band is the ordered (B2) portion of the total bcc fraction; it lies beneath the total bcc curve because B2 is an ordered partition of that phase rather than a separate one. The dashed line marks the 1200 °C solution-treatment temperature: it lies outside the single-phase α field in (b) and inside it in (c). The carbon-free control is also reported numerically in Table 3.</w:t>
      </w:r>
    </w:p>
    <w:p w14:paraId="7D846FC0" w14:textId="77777777" w:rsidR="00E47456" w:rsidRDefault="0065712B">
      <w:pPr>
        <w:pStyle w:val="Heading2"/>
      </w:pPr>
      <w:bookmarkStart w:id="14" w:name="X4ada6c9d0384107904218473ce93cb9a6ae877c"/>
      <w:bookmarkEnd w:id="13"/>
      <w:r>
        <w:t>3.5 Response to the abnormal-grain-growth treatment</w:t>
      </w:r>
    </w:p>
    <w:p w14:paraId="5CC01B80" w14:textId="77777777" w:rsidR="00E47456" w:rsidRDefault="0065712B">
      <w:pPr>
        <w:pStyle w:val="FirstParagraph"/>
      </w:pPr>
      <w:r>
        <w:t>The bamboo grain structure on which the benchmark’s strain recovery depends is produced by the cyclic treatment described in Sec. 2.2, and both alloys were put through it. The outcome is the second, and independent, place at which the two alloys separate — and, as this section will show, the place where the benchmark’s route turns out to be one the LLM-alloy could not use even if it were available.</w:t>
      </w:r>
    </w:p>
    <w:p w14:paraId="50EBD5FD" w14:textId="77777777" w:rsidR="00E47456" w:rsidRDefault="0065712B">
      <w:pPr>
        <w:pStyle w:val="BodyText"/>
      </w:pPr>
      <w:r>
        <w:t>The benchmark responds as the literature reports [12,18]</w:t>
      </w:r>
      <w:r>
        <w:t>. After three cycles its 0.64 mm wire is bamboo throughout: individual grains occupy the full width of the section, and their boundaries run across the wire rather than along it, so that a tensile axis intersects few boundaries and each grain can accommodate a transformation shape strain with little constraint from its neighbours.</w:t>
      </w:r>
    </w:p>
    <w:p w14:paraId="027D389C" w14:textId="77777777" w:rsidR="00E47456" w:rsidRDefault="0065712B">
      <w:pPr>
        <w:pStyle w:val="BodyText"/>
      </w:pPr>
      <w:r>
        <w:t>The LLM-alloy does not respond in the same way. After the identical treatment its 0.36 mm wire (</w:t>
      </w:r>
      <w:r>
        <w:rPr>
          <w:b/>
          <w:bCs/>
        </w:rPr>
        <w:t>Fig. 1d</w:t>
      </w:r>
      <w:r>
        <w:t xml:space="preserve">) retains a fine, strongly banded duplex structure across the entire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p>
    <w:p w14:paraId="18F16927" w14:textId="77777777" w:rsidR="00E47456" w:rsidRDefault="0065712B">
      <w:pPr>
        <w:pStyle w:val="BodyText"/>
      </w:pPr>
      <w:r>
        <w:t>At larger section size the coarsening is directly visible. Optical metallography of the same alloy given the same three-cycle treatment as rod stock of ≈1 mm shows that coarsening plainly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w:t>
      </w:r>
      <w:r>
        <w:t>ut arrested, and it is arrested at a band of the second phase.</w:t>
      </w:r>
    </w:p>
    <w:p w14:paraId="005BC4A8" w14:textId="77777777" w:rsidR="00E47456" w:rsidRDefault="0065712B">
      <w:pPr>
        <w:pStyle w:val="BodyText"/>
      </w:pPr>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p>
    <w:p w14:paraId="5B941016" w14:textId="77777777" w:rsidR="00E47456" w:rsidRDefault="0065712B">
      <w:pPr>
        <w:pStyle w:val="BodyText"/>
      </w:pPr>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p>
    <w:p w14:paraId="5A39F887" w14:textId="77777777" w:rsidR="00E47456" w:rsidRDefault="0065712B">
      <w:pPr>
        <w:pStyle w:val="BodyText"/>
      </w:pPr>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p>
    <w:p w14:paraId="7D0047C7" w14:textId="77777777" w:rsidR="00E47456" w:rsidRDefault="0065712B">
      <w:pPr>
        <w:pStyle w:val="BodyText"/>
      </w:pPr>
      <w:r>
        <w:t>The AGG condition is mechanically poorer in exactly the same manner, which matters because it is the condition in which the benchmark is useful. The only replicated AGG condition is the 2-cycle AGG rod, whose two specimens failed at 568 and 608 MPa after 1.0% elongation — the 40-minute result again, reached by a different route. Boundary cracking is visible on the specimen surface, under stereomicroscope examination, after the three-cycle treatment followed by the 200 °C/3 h age. A single three-cycle-plus-a</w:t>
      </w:r>
      <w:r>
        <w:t>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p>
    <w:p w14:paraId="0ECE9D59" w14:textId="77777777" w:rsidR="00E47456" w:rsidRDefault="0065712B">
      <w:pPr>
        <w:pStyle w:val="BodyText"/>
      </w:pPr>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p>
    <w:p w14:paraId="27772325" w14:textId="77777777" w:rsidR="00E47456" w:rsidRDefault="0065712B">
      <w:pPr>
        <w:pStyle w:val="BodyText"/>
      </w:pPr>
      <w:r>
        <w:t>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favour on the conventi</w:t>
      </w:r>
      <w:r>
        <w:t>onal argument, since bamboo structures form more readily in thinner sections and it is the thinner of the two wires that failed to coarsen at all.</w:t>
      </w:r>
    </w:p>
    <w:p w14:paraId="208C04AE" w14:textId="77777777" w:rsidR="00E47456" w:rsidRDefault="0065712B">
      <w:pPr>
        <w:pStyle w:val="BodyText"/>
      </w:pPr>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 the rod metallography shows directly and as the spottier diffraction pattern of Sec. 3.3 (</w:t>
      </w:r>
      <w:r>
        <w:rPr>
          <w:b/>
          <w:bCs/>
        </w:rPr>
        <w:t>Fig. 8</w:t>
      </w:r>
      <w:r>
        <w:t>) confirms.</w:t>
      </w:r>
    </w:p>
    <w:p w14:paraId="369C5091" w14:textId="77777777" w:rsidR="00E47456" w:rsidRDefault="0065712B">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 </w:t>
      </w:r>
      <w:r>
        <w:rPr>
          <w:b/>
          <w:bCs/>
        </w:rPr>
        <w:t>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 [12].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p>
    <w:p w14:paraId="25CB9DD9" w14:textId="77777777" w:rsidR="00E47456" w:rsidRDefault="0065712B">
      <w:pPr>
        <w:pStyle w:val="BodyText"/>
      </w:pPr>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p>
    <w:p w14:paraId="0F735923" w14:textId="77777777" w:rsidR="00E47456" w:rsidRDefault="0065712B">
      <w:pPr>
        <w:pStyle w:val="BodyText"/>
      </w:pPr>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p>
    <w:p w14:paraId="572F5C3F" w14:textId="77777777" w:rsidR="00E47456" w:rsidRDefault="0065712B" w:rsidP="00FD4035">
      <w:r>
        <w:pict w14:anchorId="6B05D7C0">
          <v:rect id="_x0000_i1029" style="width:0;height:1.5pt" o:hralign="center" o:hrstd="t" o:hr="t"/>
        </w:pict>
      </w:r>
    </w:p>
    <w:p w14:paraId="4EF2B022" w14:textId="77777777" w:rsidR="00E47456" w:rsidRDefault="0065712B" w:rsidP="00FD4035">
      <w:pPr>
        <w:pStyle w:val="Heading1"/>
      </w:pPr>
      <w:bookmarkStart w:id="15" w:name="discussion"/>
      <w:bookmarkEnd w:id="9"/>
      <w:bookmarkEnd w:id="14"/>
      <w:r>
        <w:t>4. Discussion</w:t>
      </w:r>
    </w:p>
    <w:p w14:paraId="4F5BDA9F" w14:textId="77777777" w:rsidR="00E47456" w:rsidRDefault="0065712B" w:rsidP="00FD4035">
      <w:pPr>
        <w:pStyle w:val="Heading2"/>
      </w:pPr>
      <w:bookmarkStart w:id="16" w:name="X58357b202da789a88ec9478e0111cd3c94b5213"/>
      <w:r>
        <w:t>4.1 Origin of the absence of stress-induced phase transformation</w:t>
      </w:r>
    </w:p>
    <w:p w14:paraId="11DEF08A" w14:textId="3E364C7E" w:rsidR="00E47456" w:rsidRDefault="0065712B" w:rsidP="00FD4035">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34</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30BE8B64" w14:textId="77777777" w:rsidR="00E47456" w:rsidRDefault="0065712B">
      <w:pPr>
        <w:pStyle w:val="BodyText"/>
      </w:pPr>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14:paraId="18F64A15" w14:textId="77777777" w:rsidR="00E47456" w:rsidRDefault="0065712B">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p>
    <w:p w14:paraId="3B84B76F" w14:textId="77777777" w:rsidR="00E47456" w:rsidRDefault="0065712B">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p>
    <w:p w14:paraId="6D7DF2D1" w14:textId="77777777" w:rsidR="00E47456" w:rsidRDefault="0065712B">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p>
    <w:p w14:paraId="13D91F6F" w14:textId="77777777" w:rsidR="00E47456" w:rsidRDefault="0065712B">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0B97A132" w14:textId="3FB0D553" w:rsidR="00E47456" w:rsidRDefault="0065712B" w:rsidP="00FD4035">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[35]</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530FB3A9" w14:textId="77777777" w:rsidR="00E47456" w:rsidRDefault="0065712B">
      <w:pPr>
        <w:pStyle w:val="Heading2"/>
      </w:pPr>
      <w:bookmarkStart w:id="17" w:name="the-role-of-carbon"/>
      <w:bookmarkEnd w:id="16"/>
      <w:r>
        <w:t>4.2</w:t>
      </w:r>
      <w:r>
        <w:t xml:space="preserve"> The role of carbon</w:t>
      </w:r>
    </w:p>
    <w:p w14:paraId="1C6C3296" w14:textId="77777777" w:rsidR="00E47456" w:rsidRDefault="0065712B">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7DDD764F" w14:textId="77777777" w:rsidR="00E47456" w:rsidRDefault="0065712B">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3410C264" w14:textId="77777777" w:rsidR="00E47456" w:rsidRDefault="0065712B">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01FE3C64" w14:textId="77777777" w:rsidR="00E47456" w:rsidRDefault="0065712B">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115F7570" w14:textId="77777777" w:rsidR="00E47456" w:rsidRDefault="0065712B">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16290A81" w14:textId="77777777" w:rsidR="00E47456" w:rsidRDefault="0065712B">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and the carbon-free control (</w:t>
      </w:r>
      <w:r>
        <w:rPr>
          <w:b/>
          <w:bCs/>
        </w:rPr>
        <w:t>Fig. 9c</w:t>
      </w:r>
      <w:r>
        <w:t xml:space="preserve">)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3F84C5EA" w14:textId="77777777" w:rsidR="00E47456" w:rsidRDefault="0065712B">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63A96DAF" w14:textId="77777777" w:rsidR="00E47456" w:rsidRDefault="0065712B">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75E1BDF2" w14:textId="77777777" w:rsidR="00E47456" w:rsidRDefault="0065712B">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7040D1EA" w14:textId="77777777" w:rsidR="00E47456" w:rsidRDefault="0065712B" w:rsidP="00FD4035">
      <w:pPr>
        <w:pStyle w:val="Heading2"/>
      </w:pPr>
      <w:bookmarkStart w:id="18" w:name="X14190cefc5af7e6c61eb8a7f0ac8ec72264613c"/>
      <w:bookmarkEnd w:id="17"/>
      <w:r>
        <w:t>4.3</w:t>
      </w:r>
      <w:r>
        <w:t xml:space="preserve"> Anneal-temperature dependence of mechanical properties</w:t>
      </w:r>
    </w:p>
    <w:p w14:paraId="01C1F885" w14:textId="2DD7E961" w:rsidR="00E47456" w:rsidRDefault="0065712B" w:rsidP="00FD4035">
      <w:pPr>
        <w:pStyle w:val="FirstParagraph"/>
      </w:pPr>
      <w:r>
        <w:t xml:space="preserve">Although the </w:t>
      </w:r>
      <w:r>
        <w:t>LLM-</w:t>
      </w:r>
      <w:r>
        <w:t xml:space="preserve">alloy did not show super-elastic behavior, its monotonic tensile behavior varies strongly with annealing temperature, and the trends are exactly those expected for a cold-drawn wire passing through recovery, recrystallization, and grain growth. Reading these as a </w:t>
      </w:r>
      <w:r>
        <w:t>survey</w:t>
      </w:r>
      <w:r>
        <w:t xml:space="preserve"> rather than a designed experiment</w:t>
      </w:r>
      <w:r>
        <w:t>, three regimes emerge.</w:t>
      </w:r>
    </w:p>
    <w:p w14:paraId="0967B932" w14:textId="3E5FDA0C" w:rsidR="00E47456" w:rsidRDefault="0065712B" w:rsidP="00FD4035">
      <w:pPr>
        <w:pStyle w:val="BodyText"/>
      </w:pPr>
      <w:r>
        <w:t>At the lowest temperatures (600–700 °C) the wire is very strong but essentially brittle: tensile strengths of ≈</w:t>
      </w:r>
      <w:r>
        <w:t>1876–2254</w:t>
      </w:r>
      <w:r>
        <w:t xml:space="preserve"> MPa and yield strengths of ≈</w:t>
      </w:r>
      <w:r>
        <w:t>1635–1908</w:t>
      </w:r>
      <w:r>
        <w:t xml:space="preserve">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drawing is what sustains the high strength, and the small ductility gains in this window reflect stress relief rather than any genuine restoration of formability; </w:t>
      </w:r>
      <w:r>
        <w:t>the wire still fractures soon after yield.</w:t>
      </w:r>
    </w:p>
    <w:p w14:paraId="6B387374" w14:textId="74BB841A" w:rsidR="00E47456" w:rsidRDefault="0065712B" w:rsidP="00FD4035">
      <w:pPr>
        <w:pStyle w:val="BodyText"/>
      </w:pPr>
      <w:r>
        <w:t xml:space="preserve">The abrupt change near 800 °C </w:t>
      </w:r>
      <w:r>
        <w:t>is consistent with</w:t>
      </w:r>
      <w:r>
        <w:t xml:space="preserve"> the onset of recrystallization. Elongation jumps from 2.2% at 700 °C to </w:t>
      </w:r>
      <w:r>
        <w:t>26.1</w:t>
      </w:r>
      <w:r>
        <w:t xml:space="preserve">% at 800 °C, while tensile strength falls from </w:t>
      </w:r>
      <w:r>
        <w:t>1876</w:t>
      </w:r>
      <w:r>
        <w:t xml:space="preserve"> to </w:t>
      </w:r>
      <w:r>
        <w:t>1209</w:t>
      </w:r>
      <w:r>
        <w:t xml:space="preserve"> MPa and yield strength from </w:t>
      </w:r>
      <w:r>
        <w:t>1635</w:t>
      </w:r>
      <w:r>
        <w:t xml:space="preserve"> to </w:t>
      </w:r>
      <w:r>
        <w:t>1151</w:t>
      </w:r>
      <w:r>
        <w:t xml:space="preserve">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6FB21420" w14:textId="6D5605FA" w:rsidR="00E47456" w:rsidRDefault="0065712B" w:rsidP="00FD4035">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w:t>
      </w:r>
      <w:r>
        <w:t>1151 → 519</w:t>
      </w:r>
      <w:r>
        <w:t xml:space="preserve">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xml:space="preserve"> Above 1000 °C, elongation eases back slightly (29.</w:t>
      </w:r>
      <w:r>
        <w:t>1</w:t>
      </w:r>
      <w:r>
        <w:t xml:space="preserve">% at 1100 °C, </w:t>
      </w:r>
      <w:r>
        <w:t>25.6</w:t>
      </w:r>
      <w:r>
        <w:t>% at 1200 °C), which we attribute to excessive coarsening reducing uniform elongation even as the matrix continues to soften. Throughout the sweep, the elastic modulus stays within ≈150–</w:t>
      </w:r>
      <w:r>
        <w:t>162</w:t>
      </w:r>
      <w:r>
        <w:t xml:space="preserve"> GPa, as expected for a structure-insensitive property of an essentially unchanged multi-phase mixture.</w:t>
      </w:r>
    </w:p>
    <w:p w14:paraId="1DBB0F61" w14:textId="183048ED" w:rsidR="00E47456" w:rsidRDefault="0065712B">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≈675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519–675 MPa, UTS 968–978 MPa, elongation 25.6–33.0%),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2C49CA8A" w14:textId="77777777" w:rsidR="00E47456" w:rsidRDefault="0065712B" w:rsidP="00FD4035">
      <w:pPr>
        <w:pStyle w:val="Heading2"/>
      </w:pPr>
      <w:bookmarkStart w:id="19" w:name="implications-for-ai-guided-alloy-design"/>
      <w:bookmarkEnd w:id="18"/>
      <w:r>
        <w:t>4.4</w:t>
      </w:r>
      <w:r>
        <w:t xml:space="preserve"> Implications for AI-guided alloy design</w:t>
      </w:r>
    </w:p>
    <w:p w14:paraId="25EBE2DB" w14:textId="0F6A69EB" w:rsidR="00E47456" w:rsidRDefault="0065712B" w:rsidP="00FD4035">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656AB36A" w14:textId="77777777" w:rsidR="00E47456" w:rsidRDefault="0065712B">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14:paraId="4971CAC4" w14:textId="77777777" w:rsidR="00E47456" w:rsidRDefault="0065712B">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2D7C9234" w14:textId="77777777" w:rsidR="00E47456" w:rsidRDefault="0065712B">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1F0195EE" w14:textId="77777777" w:rsidR="00E47456" w:rsidRDefault="0065712B" w:rsidP="00FD4035">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1AE1986A" w14:textId="77777777" w:rsidR="00E47456" w:rsidRDefault="0065712B" w:rsidP="00FD4035">
      <w:r>
        <w:pict w14:anchorId="5A32D7CF">
          <v:rect id="_x0000_i1030" style="width:0;height:1.5pt" o:hralign="center" o:hrstd="t" o:hr="t"/>
        </w:pict>
      </w:r>
    </w:p>
    <w:p w14:paraId="5BA0E2E3" w14:textId="77777777" w:rsidR="00E47456" w:rsidRDefault="0065712B" w:rsidP="00FD4035">
      <w:pPr>
        <w:pStyle w:val="Heading1"/>
      </w:pPr>
      <w:bookmarkStart w:id="20" w:name="conclusions"/>
      <w:bookmarkEnd w:id="15"/>
      <w:bookmarkEnd w:id="19"/>
      <w:r>
        <w:t>5. Conclusions</w:t>
      </w:r>
    </w:p>
    <w:p w14:paraId="462D0A23" w14:textId="006E0A3B" w:rsidR="00E47456" w:rsidRDefault="0065712B" w:rsidP="00FD4035">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48EABB3A" w14:textId="77777777" w:rsidR="00E47456" w:rsidRDefault="0065712B">
      <w:pPr>
        <w:pStyle w:val="BodyText"/>
      </w:pPr>
      <w:r>
        <w:t>What was observed is the following. The LLM-alloy proved readily castable and drew to 0.36 mm wire without difficulty. Across seven anneal temperatures its 0.2% proof stress fell from 1908 to 519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p>
    <w:p w14:paraId="701D8A17" w14:textId="77777777" w:rsidR="00E47456" w:rsidRDefault="0065712B">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38479562" w14:textId="77777777" w:rsidR="00E47456" w:rsidRDefault="0065712B">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2D3AA25A" w14:textId="188B3335" w:rsidR="00E47456" w:rsidRDefault="0065712B">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3D7310B1" w14:textId="77777777" w:rsidR="00E47456" w:rsidRDefault="0065712B" w:rsidP="00FD4035">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02542069" w14:textId="77777777" w:rsidR="00E47456" w:rsidRDefault="0065712B" w:rsidP="00FD4035">
      <w:r>
        <w:pict w14:anchorId="6B8E122A">
          <v:rect id="_x0000_i1031" style="width:0;height:1.5pt" o:hralign="center" o:hrstd="t" o:hr="t"/>
        </w:pict>
      </w:r>
    </w:p>
    <w:p w14:paraId="706C01E8" w14:textId="77777777" w:rsidR="00E47456" w:rsidRDefault="0065712B" w:rsidP="00FD4035">
      <w:pPr>
        <w:pStyle w:val="Heading1"/>
      </w:pPr>
      <w:bookmarkStart w:id="21" w:name="acknowledgments"/>
      <w:bookmarkEnd w:id="20"/>
      <w:r>
        <w:t>Acknowledgments</w:t>
      </w:r>
    </w:p>
    <w:p w14:paraId="7A921019" w14:textId="77777777" w:rsidR="00E47456" w:rsidRDefault="0065712B" w:rsidP="00FD4035">
      <w:pPr>
        <w:pStyle w:val="FirstParagraph"/>
      </w:pPr>
      <w:r>
        <w:t>The authors thank Fort Wayne Metals for providing access to melting, hot-rolling, cold-drawing, and metallography facilities, and for technical guidance throughout alloy synthesis.</w:t>
      </w:r>
    </w:p>
    <w:p w14:paraId="508098BA" w14:textId="77777777" w:rsidR="00E47456" w:rsidRDefault="0065712B" w:rsidP="00FD4035">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706FE4F8" w14:textId="77777777" w:rsidR="00E47456" w:rsidRDefault="0065712B" w:rsidP="00FD4035">
      <w:r>
        <w:pict w14:anchorId="445BB9A9">
          <v:rect id="_x0000_i1032" style="width:0;height:1.5pt" o:hralign="center" o:hrstd="t" o:hr="t"/>
        </w:pict>
      </w:r>
    </w:p>
    <w:p w14:paraId="0FAFF04A" w14:textId="77777777" w:rsidR="00E47456" w:rsidRDefault="0065712B" w:rsidP="00FD4035">
      <w:pPr>
        <w:pStyle w:val="Heading1"/>
      </w:pPr>
      <w:bookmarkStart w:id="22" w:name="declarations"/>
      <w:bookmarkEnd w:id="21"/>
      <w:r>
        <w:t>Declarations</w:t>
      </w:r>
    </w:p>
    <w:p w14:paraId="6BA1F376" w14:textId="77777777" w:rsidR="00E47456" w:rsidRDefault="0065712B" w:rsidP="00FD4035">
      <w:pPr>
        <w:pStyle w:val="FirstParagraph"/>
      </w:pPr>
      <w:r>
        <w:rPr>
          <w:b/>
          <w:bCs/>
        </w:rPr>
        <w:t>Funding.</w:t>
      </w:r>
      <w:r>
        <w:t xml:space="preserve"> </w:t>
      </w:r>
      <w:r>
        <w:t>No external funding was received for this work.</w:t>
      </w:r>
    </w:p>
    <w:p w14:paraId="3F05F8FE" w14:textId="77777777" w:rsidR="00E47456" w:rsidRDefault="0065712B" w:rsidP="00FD4035">
      <w:pPr>
        <w:pStyle w:val="BodyText"/>
      </w:pPr>
      <w:r>
        <w:rPr>
          <w:b/>
          <w:bCs/>
        </w:rPr>
        <w:t>Competing interests.</w:t>
      </w:r>
      <w:r>
        <w:t xml:space="preserve"> The authors declare no competing interests.</w:t>
      </w:r>
    </w:p>
    <w:p w14:paraId="632DFD51" w14:textId="12C9B156" w:rsidR="00E47456" w:rsidRDefault="0065712B" w:rsidP="00FD4035">
      <w:pPr>
        <w:pStyle w:val="BodyText"/>
      </w:pPr>
      <w:r>
        <w:rPr>
          <w:b/>
          <w:bCs/>
        </w:rPr>
        <w:t>Generative AI use.</w:t>
      </w:r>
      <w:r>
        <w:t xml:space="preserve"> </w:t>
      </w:r>
      <w:r>
        <w:t xml:space="preserve">An LLM deep-research agent (Google Gemini 2.5, Deep Research) was used to hypothesize the </w:t>
      </w:r>
      <w:r>
        <w:t>LLM</w:t>
      </w:r>
      <w:r>
        <w:t>-alloy composition under study, as described in Sec. 2.1; this use is a study method</w:t>
      </w:r>
      <w:r>
        <w:t xml:space="preserve"> and is itself the object of the investigation. No AI system generated experimental data or determined any reported measurement, and the authors reviewed the entire</w:t>
      </w:r>
      <w:r>
        <w:t xml:space="preserve"> manuscript</w:t>
      </w:r>
      <w:r>
        <w:t xml:space="preserve"> and take full responsibility for its content</w:t>
      </w:r>
      <w:r>
        <w:t>.</w:t>
      </w:r>
    </w:p>
    <w:p w14:paraId="765BEC7B" w14:textId="77777777" w:rsidR="00E47456" w:rsidRDefault="0065712B" w:rsidP="00FD4035">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3F8C25A4" w14:textId="77777777" w:rsidR="00E47456" w:rsidRDefault="0065712B" w:rsidP="00FD4035">
      <w:r>
        <w:pict w14:anchorId="0DEE7186">
          <v:rect id="_x0000_i1033" style="width:0;height:1.5pt" o:hralign="center" o:hrstd="t" o:hr="t"/>
        </w:pict>
      </w:r>
    </w:p>
    <w:p w14:paraId="7E8CE143" w14:textId="77777777" w:rsidR="00E47456" w:rsidRDefault="0065712B" w:rsidP="00FD4035">
      <w:pPr>
        <w:pStyle w:val="Bibliography"/>
      </w:pPr>
      <w:bookmarkStart w:id="23" w:name="ref-merchant2023gnome"/>
      <w:bookmarkStart w:id="24" w:name="refs"/>
      <w:r>
        <w:t xml:space="preserve">[1] </w:t>
      </w:r>
      <w:r>
        <w:tab/>
        <w:t>A. Merchant, S. Batzner, S.S. Schoenholz, M. Aykol, G. Cheon, E.D. Cubuk, Scaling deep learning for materials discovery, Nature 624 (2023) 80–85. https://doi.org/</w:t>
      </w:r>
      <w:hyperlink r:id="rId14">
        <w:r>
          <w:rPr>
            <w:rStyle w:val="Hyperlink"/>
          </w:rPr>
          <w:t>10.1038/s41586-023-06735-9</w:t>
        </w:r>
      </w:hyperlink>
      <w:r>
        <w:t>.</w:t>
      </w:r>
    </w:p>
    <w:p w14:paraId="7DAABBA0" w14:textId="77777777" w:rsidR="00E47456" w:rsidRDefault="0065712B" w:rsidP="00FD4035">
      <w:pPr>
        <w:pStyle w:val="Bibliography"/>
      </w:pPr>
      <w:bookmarkStart w:id="25" w:name="ref-comanici2025gemini"/>
      <w:bookmarkEnd w:id="23"/>
      <w:r>
        <w:t xml:space="preserve">[2] </w:t>
      </w:r>
      <w:r>
        <w:tab/>
        <w:t xml:space="preserve">Google DeepMind, Gemini 2.5: Pushing the frontier with advanced reasoning, multimodality, long context, and next-generation agentic capabilities, (2025). </w:t>
      </w:r>
      <w:hyperlink r:id="rId15">
        <w:r>
          <w:rPr>
            <w:rStyle w:val="Hyperlink"/>
          </w:rPr>
          <w:t>https://arxiv.org/abs/2507.06261</w:t>
        </w:r>
      </w:hyperlink>
      <w:r>
        <w:t>.</w:t>
      </w:r>
    </w:p>
    <w:p w14:paraId="19ECE5BC" w14:textId="77777777" w:rsidR="00E47456" w:rsidRDefault="0065712B" w:rsidP="00FD4035">
      <w:pPr>
        <w:pStyle w:val="Bibliography"/>
      </w:pPr>
      <w:bookmarkStart w:id="26" w:name="ref-xu2025deepresearch"/>
      <w:bookmarkEnd w:id="25"/>
      <w:r>
        <w:t xml:space="preserve">[3] </w:t>
      </w:r>
      <w:r>
        <w:tab/>
      </w:r>
      <w:r>
        <w:t xml:space="preserve">R. Xu, J. Peng, A comprehensive survey of deep research: Systems, methodologies, and applications, (2025). </w:t>
      </w:r>
      <w:hyperlink r:id="rId16">
        <w:r>
          <w:rPr>
            <w:rStyle w:val="Hyperlink"/>
          </w:rPr>
          <w:t>https://arxiv.org/abs/2506.12594</w:t>
        </w:r>
      </w:hyperlink>
      <w:r>
        <w:t>.</w:t>
      </w:r>
    </w:p>
    <w:p w14:paraId="30361379" w14:textId="77777777" w:rsidR="00E47456" w:rsidRDefault="0065712B" w:rsidP="00FD4035">
      <w:pPr>
        <w:pStyle w:val="Bibliography"/>
      </w:pPr>
      <w:bookmarkStart w:id="27" w:name="ref-aims2022"/>
      <w:bookmarkEnd w:id="26"/>
      <w:r>
        <w:t xml:space="preserve">[4] </w:t>
      </w:r>
      <w:r>
        <w:tab/>
        <w:t>W. Trehern, R. Ortiz-Ayala, K.C. Atli, R. Arróyave, I. Karaman, Data-driven shape memory alloy discovery using artificial intelligence materials selection (AIMS) framework, Acta Materialia 228 (2022) 117751. https://doi.org/</w:t>
      </w:r>
      <w:hyperlink r:id="rId17">
        <w:r>
          <w:rPr>
            <w:rStyle w:val="Hyperlink"/>
          </w:rPr>
          <w:t>10.1016/j.actamat.2022.117751</w:t>
        </w:r>
      </w:hyperlink>
      <w:r>
        <w:t>.</w:t>
      </w:r>
    </w:p>
    <w:p w14:paraId="2595C8F3" w14:textId="77777777" w:rsidR="00E47456" w:rsidRDefault="0065712B" w:rsidP="00FD4035">
      <w:pPr>
        <w:pStyle w:val="Bibliography"/>
      </w:pPr>
      <w:bookmarkStart w:id="28" w:name="ref-generativeinversion2025"/>
      <w:bookmarkEnd w:id="27"/>
      <w:r>
        <w:t xml:space="preserve">[5] </w:t>
      </w:r>
      <w:r>
        <w:tab/>
        <w:t>C. Li, P. Dang, Y. Xian, Y. Zhou, B. Shi, X. Ding, J. Sun, D. Xue, Generative inverse design for property-targeted materials design: Application to shape memory alloys, Advanced Functional Materials 36 (2026) 2527774. https://doi.org/</w:t>
      </w:r>
      <w:hyperlink r:id="rId18">
        <w:r>
          <w:rPr>
            <w:rStyle w:val="Hyperlink"/>
          </w:rPr>
          <w:t>10.1002/adfm.202527774</w:t>
        </w:r>
      </w:hyperlink>
      <w:r>
        <w:t>.</w:t>
      </w:r>
    </w:p>
    <w:p w14:paraId="7E4ACA65" w14:textId="77777777" w:rsidR="00E47456" w:rsidRDefault="0065712B" w:rsidP="00FD4035">
      <w:pPr>
        <w:pStyle w:val="Bibliography"/>
      </w:pPr>
      <w:bookmarkStart w:id="29" w:name="ref-hu2024beyond"/>
      <w:bookmarkEnd w:id="28"/>
      <w:r>
        <w:t xml:space="preserve">[6] </w:t>
      </w:r>
      <w:r>
        <w:tab/>
        <w:t xml:space="preserve">Q. Hu, R. Han, M.J. Buehler, Beyond designer’s knowledge: Generating materials design hypotheses via large language models, (2024). </w:t>
      </w:r>
      <w:hyperlink r:id="rId19">
        <w:r>
          <w:rPr>
            <w:rStyle w:val="Hyperlink"/>
          </w:rPr>
          <w:t>https://arxiv.org/abs/2409.06756</w:t>
        </w:r>
      </w:hyperlink>
      <w:r>
        <w:t>.</w:t>
      </w:r>
    </w:p>
    <w:p w14:paraId="164386C5" w14:textId="77777777" w:rsidR="00E47456" w:rsidRDefault="0065712B" w:rsidP="00FD4035">
      <w:pPr>
        <w:pStyle w:val="Bibliography"/>
      </w:pPr>
      <w:bookmarkStart w:id="30" w:name="ref-otsuka2005physical"/>
      <w:bookmarkEnd w:id="29"/>
      <w:r>
        <w:t xml:space="preserve">[7] </w:t>
      </w:r>
      <w:r>
        <w:tab/>
        <w:t>K. Otsuka, C.M. Wayman, Physical metallurgy of titanium-nickel-based shape memory alloys, Cambridge University Press, Cambridge, UK, 1998.</w:t>
      </w:r>
    </w:p>
    <w:p w14:paraId="3795F3A2" w14:textId="77777777" w:rsidR="00E47456" w:rsidRDefault="0065712B" w:rsidP="00FD4035">
      <w:pPr>
        <w:pStyle w:val="Bibliography"/>
      </w:pPr>
      <w:bookmarkStart w:id="31" w:name="ref-lagoudas2008shape"/>
      <w:bookmarkEnd w:id="30"/>
      <w:r>
        <w:t xml:space="preserve">[8] </w:t>
      </w:r>
      <w:r>
        <w:tab/>
        <w:t>D.C. Lagoudas, ed., Shape memory alloys: Modeling and engineering applications, Springer, New York, 2008. https://doi.org/</w:t>
      </w:r>
      <w:hyperlink r:id="rId20">
        <w:r>
          <w:rPr>
            <w:rStyle w:val="Hyperlink"/>
          </w:rPr>
          <w:t>10.1007/978-0-387-47685-8</w:t>
        </w:r>
      </w:hyperlink>
      <w:r>
        <w:t>.</w:t>
      </w:r>
    </w:p>
    <w:p w14:paraId="0EB04CF2" w14:textId="77777777" w:rsidR="00E47456" w:rsidRDefault="0065712B" w:rsidP="00FD4035">
      <w:pPr>
        <w:pStyle w:val="Bibliography"/>
      </w:pPr>
      <w:bookmarkStart w:id="32" w:name="ref-duerig1999overview"/>
      <w:bookmarkEnd w:id="31"/>
      <w:r>
        <w:t xml:space="preserve">[9] </w:t>
      </w:r>
      <w:r>
        <w:tab/>
      </w:r>
      <w:r>
        <w:t>T. Duerig, A. Pelton, D. Stöckel, An overview of nitinol medical applications, Materials Science and Engineering: A 273–275 (1999) 149–160. https://doi.org/</w:t>
      </w:r>
      <w:hyperlink r:id="rId21">
        <w:r>
          <w:rPr>
            <w:rStyle w:val="Hyperlink"/>
          </w:rPr>
          <w:t>10.1016/S0921-5093(99)00294-4</w:t>
        </w:r>
      </w:hyperlink>
      <w:r>
        <w:t>.</w:t>
      </w:r>
    </w:p>
    <w:p w14:paraId="1C849125" w14:textId="77777777" w:rsidR="00E47456" w:rsidRDefault="0065712B" w:rsidP="00FD4035">
      <w:pPr>
        <w:pStyle w:val="Bibliography"/>
      </w:pPr>
      <w:bookmarkStart w:id="33" w:name="ref-mohd2014nitinol"/>
      <w:bookmarkEnd w:id="32"/>
      <w:r>
        <w:t xml:space="preserve">[10] </w:t>
      </w:r>
      <w:r>
        <w:tab/>
        <w:t>J. Mohd Jani, M. Leary, A. Subic, M.A. Gibson, A review of shape memory alloy research, applications and opportunities, Materials &amp; Design 56 (2014) 1078–1113. https://doi.org/</w:t>
      </w:r>
      <w:hyperlink r:id="rId22">
        <w:r>
          <w:rPr>
            <w:rStyle w:val="Hyperlink"/>
          </w:rPr>
          <w:t>10.1016/j.matdes.2013.11.084</w:t>
        </w:r>
      </w:hyperlink>
      <w:r>
        <w:t>.</w:t>
      </w:r>
    </w:p>
    <w:p w14:paraId="24C0F8E2" w14:textId="77777777" w:rsidR="00E47456" w:rsidRDefault="0065712B" w:rsidP="00FD4035">
      <w:pPr>
        <w:pStyle w:val="Bibliography"/>
      </w:pPr>
      <w:bookmarkStart w:id="34" w:name="ref-cladera2014ironbased"/>
      <w:bookmarkEnd w:id="33"/>
      <w:r>
        <w:t xml:space="preserve">[11] </w:t>
      </w:r>
      <w:r>
        <w:tab/>
        <w:t>A. Cladera, B. Weber, C. Leinenbach, C. Czaderski, M. Shahverdi, M. Motavalli, Iron-based shape memory alloys for civil engineering structures: An overview, Construction and Building Materials 63 (2014) 281–293. https://doi.org/</w:t>
      </w:r>
      <w:hyperlink r:id="rId23">
        <w:r>
          <w:rPr>
            <w:rStyle w:val="Hyperlink"/>
          </w:rPr>
          <w:t>10.1016/j.conbuildmat.2014.04.032</w:t>
        </w:r>
      </w:hyperlink>
      <w:r>
        <w:t>.</w:t>
      </w:r>
    </w:p>
    <w:p w14:paraId="1A18B1AC" w14:textId="77777777" w:rsidR="00E47456" w:rsidRDefault="0065712B" w:rsidP="00FD4035">
      <w:pPr>
        <w:pStyle w:val="Bibliography"/>
      </w:pPr>
      <w:bookmarkStart w:id="35" w:name="ref-omori2011superelastic"/>
      <w:bookmarkEnd w:id="34"/>
      <w:r>
        <w:t xml:space="preserve">[12] </w:t>
      </w:r>
      <w:r>
        <w:tab/>
      </w:r>
      <w:r>
        <w:t>T. Omori, K. Ando, M. Okano, X. Xu, Y. Tanaka, I. Ohnuma, R. Kainuma, K. Ishida, Superelastic effect in polycrystalline ferrous alloys, Science 333 (2011) 68–71. https://doi.org/</w:t>
      </w:r>
      <w:hyperlink r:id="rId24">
        <w:r>
          <w:rPr>
            <w:rStyle w:val="Hyperlink"/>
          </w:rPr>
          <w:t>10.1126/science.1202232</w:t>
        </w:r>
      </w:hyperlink>
      <w:r>
        <w:t>.</w:t>
      </w:r>
    </w:p>
    <w:p w14:paraId="4064D678" w14:textId="77777777" w:rsidR="00E47456" w:rsidRDefault="0065712B" w:rsidP="00FD4035">
      <w:pPr>
        <w:pStyle w:val="Bibliography"/>
      </w:pPr>
      <w:bookmarkStart w:id="36" w:name="ref-vollmer2016cyclic"/>
      <w:bookmarkEnd w:id="3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5">
        <w:r>
          <w:rPr>
            <w:rStyle w:val="Hyperlink"/>
          </w:rPr>
          <w:t>10.1016/j.scriptamat.2015.12.007</w:t>
        </w:r>
      </w:hyperlink>
      <w:r>
        <w:t>.</w:t>
      </w:r>
    </w:p>
    <w:p w14:paraId="7784A244" w14:textId="77777777" w:rsidR="00E47456" w:rsidRDefault="0065712B" w:rsidP="00FD4035">
      <w:pPr>
        <w:pStyle w:val="Bibliography"/>
      </w:pPr>
      <w:bookmarkStart w:id="37" w:name="ref-abuzaid2019femnnial"/>
      <w:bookmarkEnd w:id="36"/>
      <w:r>
        <w:t xml:space="preserve">[14] </w:t>
      </w:r>
      <w:r>
        <w:tab/>
        <w:t>W. Abuzaid, Y. Wu, R. Sidharth, F. Brenne, S. Alkan, M. Vollmer, P. Krooß, T. Niendorf, H. Sehitoglu, FeMnNiAl iron-based shape memory alloy: Promises and challenges, Shape Memory and Superelasticity 5 (2019) 384–396. https://doi.org/</w:t>
      </w:r>
      <w:hyperlink r:id="rId26">
        <w:r>
          <w:rPr>
            <w:rStyle w:val="Hyperlink"/>
          </w:rPr>
          <w:t>10.1007/s40830-019-00230-9</w:t>
        </w:r>
      </w:hyperlink>
      <w:r>
        <w:t>.</w:t>
      </w:r>
    </w:p>
    <w:p w14:paraId="36520164" w14:textId="77777777" w:rsidR="00E47456" w:rsidRDefault="0065712B" w:rsidP="00FD4035">
      <w:pPr>
        <w:pStyle w:val="Bibliography"/>
      </w:pPr>
      <w:bookmarkStart w:id="38" w:name="ref-omori2017martensitic"/>
      <w:bookmarkEnd w:id="37"/>
      <w:r>
        <w:t xml:space="preserve">[15] </w:t>
      </w:r>
      <w:r>
        <w:tab/>
        <w:t>T. Omori, R. Kainuma, Martensitic transformation and superelasticity in fe-mn-al-based shape memory alloys, Shape Memory and Superelasticity 3 (2017) 322–334. https://doi.org/</w:t>
      </w:r>
      <w:hyperlink r:id="rId27">
        <w:r>
          <w:rPr>
            <w:rStyle w:val="Hyperlink"/>
          </w:rPr>
          <w:t>10.1007/s40830-017-0129-9</w:t>
        </w:r>
      </w:hyperlink>
      <w:r>
        <w:t>.</w:t>
      </w:r>
    </w:p>
    <w:p w14:paraId="030C2862" w14:textId="33C6C47C" w:rsidR="00E47456" w:rsidRDefault="0065712B" w:rsidP="00FD4035">
      <w:pPr>
        <w:pStyle w:val="Bibliography"/>
      </w:pPr>
      <w:bookmarkStart w:id="39" w:name="ref-rahnama2017acta"/>
      <w:bookmarkEnd w:id="38"/>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8">
        <w:r>
          <w:rPr>
            <w:rStyle w:val="Hyperlink"/>
          </w:rPr>
          <w:t>10.1016/j.</w:t>
        </w:r>
        <w:r>
          <w:rPr>
            <w:rStyle w:val="Hyperlink"/>
          </w:rPr>
          <w:t>actamat.2017.03.043</w:t>
        </w:r>
      </w:hyperlink>
      <w:r>
        <w:t>.</w:t>
      </w:r>
    </w:p>
    <w:p w14:paraId="0475DCEB" w14:textId="6B6CA4C2" w:rsidR="00E47456" w:rsidRDefault="0065712B">
      <w:pPr>
        <w:pStyle w:val="Bibliography"/>
      </w:pPr>
      <w:bookmarkStart w:id="40" w:name="ref-saha2022jom"/>
      <w:bookmarkEnd w:id="39"/>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29">
        <w:r>
          <w:rPr>
            <w:rStyle w:val="Hyperlink"/>
          </w:rPr>
          <w:t>10.1007/s11837-022-05349-2</w:t>
        </w:r>
      </w:hyperlink>
      <w:r>
        <w:t>.</w:t>
      </w:r>
    </w:p>
    <w:p w14:paraId="38A8E862" w14:textId="77777777" w:rsidR="00E47456" w:rsidRDefault="0065712B">
      <w:pPr>
        <w:pStyle w:val="Bibliography"/>
      </w:pPr>
      <w:bookmarkStart w:id="41" w:name="ref-omori2016agg"/>
      <w:bookmarkEnd w:id="40"/>
      <w:r>
        <w:t xml:space="preserve">[18] </w:t>
      </w:r>
      <w:r>
        <w:tab/>
        <w:t xml:space="preserve">T. Omori, H. Iwaizako, R. Kainuma, Abnormal grain growth induced by cyclic heat treatment in </w:t>
      </w:r>
      <w:r>
        <w:t>Fe-Mn-Al-Ni superelastic alloy, Materials &amp; Design 101 (2016) 263–269. https://doi.org/</w:t>
      </w:r>
      <w:hyperlink r:id="rId30">
        <w:r>
          <w:rPr>
            <w:rStyle w:val="Hyperlink"/>
          </w:rPr>
          <w:t>10.1016/j.matdes.2016.04.011</w:t>
        </w:r>
      </w:hyperlink>
      <w:r>
        <w:t>.</w:t>
      </w:r>
    </w:p>
    <w:p w14:paraId="42E7CD3C" w14:textId="77777777" w:rsidR="00E47456" w:rsidRDefault="0065712B">
      <w:pPr>
        <w:pStyle w:val="Bibliography"/>
      </w:pPr>
      <w:bookmarkStart w:id="42" w:name="ref-cai2024niticu"/>
      <w:bookmarkEnd w:id="41"/>
      <w:r>
        <w:t xml:space="preserve">[19] </w:t>
      </w:r>
      <w:r>
        <w:tab/>
        <w:t>S. Cai, J.E. Schaffer, T. Shi, J. Gao, L. Kadeřávek, Effect of Cu alloying and heat treatment parameters on NiTi alloy phase stability and constitutive behavior, Shape Memory and Superelasticity 10 (2024) 460–472. https://doi.org/</w:t>
      </w:r>
      <w:hyperlink r:id="rId31">
        <w:r>
          <w:rPr>
            <w:rStyle w:val="Hyperlink"/>
          </w:rPr>
          <w:t>10.1007/s40830-024-00504-x</w:t>
        </w:r>
      </w:hyperlink>
      <w:r>
        <w:t>.</w:t>
      </w:r>
    </w:p>
    <w:p w14:paraId="51B958F4" w14:textId="77777777" w:rsidR="00E47456" w:rsidRDefault="0065712B" w:rsidP="00FD4035">
      <w:pPr>
        <w:pStyle w:val="Bibliography"/>
      </w:pPr>
      <w:bookmarkStart w:id="43" w:name="ref-tai2024ssrf"/>
      <w:bookmarkEnd w:id="42"/>
      <w:r>
        <w:t>[20</w:t>
      </w:r>
      <w:r>
        <w:t xml:space="preserve">] </w:t>
      </w:r>
      <w:r>
        <w:tab/>
      </w:r>
      <w:r>
        <w:t>R.Z. Tai, Z.T. Zhao, Overview of SSRF phase-II beamlines, Nuclear Science and Techniques 35 (2024) 137. https://doi.org/</w:t>
      </w:r>
      <w:hyperlink r:id="rId32">
        <w:r>
          <w:rPr>
            <w:rStyle w:val="Hyperlink"/>
          </w:rPr>
          <w:t>10.1007/s41365-024-01487-1</w:t>
        </w:r>
      </w:hyperlink>
      <w:r>
        <w:t>.</w:t>
      </w:r>
    </w:p>
    <w:p w14:paraId="4E966088" w14:textId="41F98CE7" w:rsidR="00E47456" w:rsidRDefault="0065712B" w:rsidP="00FD4035">
      <w:pPr>
        <w:pStyle w:val="Bibliography"/>
      </w:pPr>
      <w:bookmarkStart w:id="44" w:name="ref-yang2024ssrf"/>
      <w:bookmarkEnd w:id="43"/>
      <w:r>
        <w:t>[</w:t>
      </w:r>
      <w:r>
        <w:t>21</w:t>
      </w:r>
      <w:r>
        <w:t xml:space="preserve">] </w:t>
      </w:r>
      <w:r>
        <w:tab/>
        <w:t>K. Yang, Z.-H. Dong, C.-Y. Zhou, Z.-L. Zhao, D.-X. Liang, S.-C. Cao, others, Ultrahard X-ray multifunctional application beamline at the SSRF, Nuclear Science and Techniques 35 (2024) 98. https://doi.org/</w:t>
      </w:r>
      <w:hyperlink r:id="rId33">
        <w:r>
          <w:rPr>
            <w:rStyle w:val="Hyperlink"/>
          </w:rPr>
          <w:t>10.1007/s41365-024-01468-4</w:t>
        </w:r>
      </w:hyperlink>
      <w:r>
        <w:t>.</w:t>
      </w:r>
    </w:p>
    <w:p w14:paraId="7A021DB7" w14:textId="1D9F5F73" w:rsidR="00E47456" w:rsidRDefault="0065712B" w:rsidP="00FD4035">
      <w:pPr>
        <w:pStyle w:val="Bibliography"/>
      </w:pPr>
      <w:bookmarkStart w:id="45" w:name="ref-hammersley1998fit2d"/>
      <w:bookmarkEnd w:id="44"/>
      <w:r>
        <w:t>[</w:t>
      </w:r>
      <w:r>
        <w:t>22</w:t>
      </w:r>
      <w:r>
        <w:t>]</w:t>
      </w:r>
      <w:r>
        <w:t xml:space="preserve"> </w:t>
      </w:r>
      <w:r>
        <w:tab/>
        <w:t>A.P. Hammersley, FIT2D V9.129 reference manual V3.1, (1998).</w:t>
      </w:r>
    </w:p>
    <w:p w14:paraId="3E3AED4B" w14:textId="061D76FA" w:rsidR="00E47456" w:rsidRDefault="0065712B" w:rsidP="00FD4035">
      <w:pPr>
        <w:pStyle w:val="Bibliography"/>
      </w:pPr>
      <w:bookmarkStart w:id="46" w:name="ref-rietveld1969"/>
      <w:bookmarkEnd w:id="45"/>
      <w:r>
        <w:t>[</w:t>
      </w:r>
      <w:r>
        <w:t>23</w:t>
      </w:r>
      <w:r>
        <w:t xml:space="preserve">] </w:t>
      </w:r>
      <w:r>
        <w:tab/>
        <w:t>H.M. Rietveld, A profile refinement method for nuclear and magnetic structures, Journal of Applied Crystallography 2 (1969) 65–71. https://doi.org/</w:t>
      </w:r>
      <w:hyperlink r:id="rId34">
        <w:r>
          <w:rPr>
            <w:rStyle w:val="Hyperlink"/>
          </w:rPr>
          <w:t>10.1107/S0021889869006558</w:t>
        </w:r>
      </w:hyperlink>
      <w:r>
        <w:t>.</w:t>
      </w:r>
    </w:p>
    <w:p w14:paraId="75AE1ACD" w14:textId="336A1124" w:rsidR="00E47456" w:rsidRDefault="0065712B" w:rsidP="00FD4035">
      <w:pPr>
        <w:pStyle w:val="Bibliography"/>
      </w:pPr>
      <w:bookmarkStart w:id="47" w:name="ref-lutterotti1997maud"/>
      <w:bookmarkEnd w:id="46"/>
      <w:r>
        <w:t>[</w:t>
      </w:r>
      <w:r>
        <w:t>24</w:t>
      </w:r>
      <w:r>
        <w:t xml:space="preserve">] </w:t>
      </w:r>
      <w:r>
        <w:tab/>
      </w:r>
      <w:r>
        <w:t>L. Lutterotti, S. Matthies, H.R. Wenk, A.S. Schultz, J.W. Richardson, Combined texture and structure analysis of deformed limestone from time-of-flight neutron diffraction spectra, Journal of Applied Physics 81 (1997) 594–600. https://doi.org/</w:t>
      </w:r>
      <w:hyperlink r:id="rId35">
        <w:r>
          <w:rPr>
            <w:rStyle w:val="Hyperlink"/>
          </w:rPr>
          <w:t>10.1063/1.364220</w:t>
        </w:r>
      </w:hyperlink>
      <w:r>
        <w:t>.</w:t>
      </w:r>
    </w:p>
    <w:p w14:paraId="33473265" w14:textId="07204E06" w:rsidR="00E47456" w:rsidRDefault="0065712B">
      <w:pPr>
        <w:pStyle w:val="Bibliography"/>
      </w:pPr>
      <w:bookmarkStart w:id="48" w:name="ref-lukas2007calphad"/>
      <w:bookmarkEnd w:id="47"/>
      <w:r>
        <w:t xml:space="preserve">[25] </w:t>
      </w:r>
      <w:r>
        <w:tab/>
        <w:t>H.L. Lukas, S.G. Fries, B. Sundman, Computational thermodynamics: The calphad method, Cambridge University Press, Cambridge, 2007. https://doi.org/</w:t>
      </w:r>
      <w:hyperlink r:id="rId36">
        <w:r>
          <w:rPr>
            <w:rStyle w:val="Hyperlink"/>
          </w:rPr>
          <w:t>10.1017/CBO9780511804137</w:t>
        </w:r>
      </w:hyperlink>
      <w:r>
        <w:t>.</w:t>
      </w:r>
    </w:p>
    <w:p w14:paraId="4D651359" w14:textId="77777777" w:rsidR="00E47456" w:rsidRDefault="0065712B">
      <w:pPr>
        <w:pStyle w:val="Bibliography"/>
      </w:pPr>
      <w:bookmarkStart w:id="49" w:name="ref-otis2017pycalphad"/>
      <w:bookmarkEnd w:id="48"/>
      <w:r>
        <w:t xml:space="preserve">[26] </w:t>
      </w:r>
      <w:r>
        <w:tab/>
        <w:t>R. Otis, Z.-K. Liu, Pycalphad: CALPHAD-based computational thermodynamics in Python, Journal of Open Research Software 5 (2017) 1. https://doi.org/</w:t>
      </w:r>
      <w:hyperlink r:id="rId37">
        <w:r>
          <w:rPr>
            <w:rStyle w:val="Hyperlink"/>
          </w:rPr>
          <w:t>10.5334/jors.140</w:t>
        </w:r>
      </w:hyperlink>
      <w:r>
        <w:t>.</w:t>
      </w:r>
    </w:p>
    <w:p w14:paraId="39A42230" w14:textId="77777777" w:rsidR="00E47456" w:rsidRDefault="0065712B">
      <w:pPr>
        <w:pStyle w:val="Bibliography"/>
      </w:pPr>
      <w:bookmarkStart w:id="50" w:name="ref-hallstedt2017mpea"/>
      <w:bookmarkEnd w:id="49"/>
      <w:r>
        <w:t xml:space="preserve">[27] </w:t>
      </w:r>
      <w:r>
        <w:tab/>
        <w:t>B. Hallstedt, Database for high entropy alloys (mpea), version 2b, (2017).</w:t>
      </w:r>
    </w:p>
    <w:p w14:paraId="68C051A5" w14:textId="77777777" w:rsidR="00E47456" w:rsidRDefault="0065712B">
      <w:pPr>
        <w:pStyle w:val="Bibliography"/>
      </w:pPr>
      <w:bookmarkStart w:id="51" w:name="ref-hallstedt2023mpea"/>
      <w:bookmarkEnd w:id="50"/>
      <w:r>
        <w:t xml:space="preserve">[28] </w:t>
      </w:r>
      <w:r>
        <w:tab/>
      </w:r>
      <w:r>
        <w:t>B. Hallstedt, M. Noori, F. Kies, F. Oppermann, C. Haase, Thermodynamic database for multi-principal element alloys within the system Al–Co–Cr–Fe–Mn–Ni–C, Calphad 83 (2023) 102644. https://doi.org/</w:t>
      </w:r>
      <w:hyperlink r:id="rId38">
        <w:r>
          <w:rPr>
            <w:rStyle w:val="Hyperlink"/>
          </w:rPr>
          <w:t>10.1016/j.calphad.2023.102644</w:t>
        </w:r>
      </w:hyperlink>
      <w:r>
        <w:t>.</w:t>
      </w:r>
    </w:p>
    <w:p w14:paraId="35090859" w14:textId="77777777" w:rsidR="00E47456" w:rsidRDefault="0065712B">
      <w:pPr>
        <w:pStyle w:val="Bibliography"/>
      </w:pPr>
      <w:bookmarkStart w:id="52" w:name="ref-prechimn04"/>
      <w:bookmarkEnd w:id="51"/>
      <w:r>
        <w:t xml:space="preserve">[29] </w:t>
      </w:r>
      <w:r>
        <w:tab/>
        <w:t>B. Hallstedt, A.V. Khvan, B.B. Lindahl, M. Selleby, S. Liu, PrecHiMn-4 — a thermodynamic database for high-Mn steels, Calphad 56 (2017) 49–57. https://doi.org/</w:t>
      </w:r>
      <w:hyperlink r:id="rId39">
        <w:r>
          <w:rPr>
            <w:rStyle w:val="Hyperlink"/>
          </w:rPr>
          <w:t>10.1016/j.calphad.2016.11.006</w:t>
        </w:r>
      </w:hyperlink>
      <w:r>
        <w:t>.</w:t>
      </w:r>
    </w:p>
    <w:p w14:paraId="36921D44" w14:textId="77777777" w:rsidR="00E47456" w:rsidRDefault="0065712B">
      <w:pPr>
        <w:pStyle w:val="Bibliography"/>
      </w:pPr>
      <w:bookmarkStart w:id="53" w:name="ref-mcfe"/>
      <w:bookmarkEnd w:id="52"/>
      <w:r>
        <w:t xml:space="preserve">[30] </w:t>
      </w:r>
      <w:r>
        <w:tab/>
        <w:t>E. Povoden-Karadeniz, MatCalc thermodynamic steel database mc_fe, version 2.059, (2016).</w:t>
      </w:r>
    </w:p>
    <w:p w14:paraId="1E7998DD" w14:textId="77777777" w:rsidR="00E47456" w:rsidRDefault="0065712B" w:rsidP="00FD4035">
      <w:pPr>
        <w:pStyle w:val="Bibliography"/>
      </w:pPr>
      <w:bookmarkStart w:id="54" w:name="ref-tanaka2010science"/>
      <w:bookmarkEnd w:id="53"/>
      <w:r>
        <w:t>[31</w:t>
      </w:r>
      <w:r>
        <w:t xml:space="preserve">] </w:t>
      </w:r>
      <w:r>
        <w:tab/>
        <w:t>Y. Tanaka, Y. Himuro, R. Kainuma, Y. Sutou, T. Omori, K. Ishida, Ferrous polycrystalline shape-memory alloy showing huge superelasticity, Science 327 (2010) 1488–1490. https://doi.org/</w:t>
      </w:r>
      <w:hyperlink r:id="rId40">
        <w:r>
          <w:rPr>
            <w:rStyle w:val="Hyperlink"/>
          </w:rPr>
          <w:t>10.1126/science.1183169</w:t>
        </w:r>
      </w:hyperlink>
      <w:r>
        <w:t>.</w:t>
      </w:r>
    </w:p>
    <w:p w14:paraId="39EA23FD" w14:textId="7D5DFBA4" w:rsidR="00E47456" w:rsidRDefault="0065712B" w:rsidP="00FD4035">
      <w:pPr>
        <w:pStyle w:val="Bibliography"/>
      </w:pPr>
      <w:bookmarkStart w:id="55" w:name="ref-vollmer2019natcomm"/>
      <w:bookmarkEnd w:id="54"/>
      <w:r>
        <w:t>[</w:t>
      </w:r>
      <w:r>
        <w:t>32</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41">
        <w:r>
          <w:rPr>
            <w:rStyle w:val="Hyperlink"/>
          </w:rPr>
          <w:t>10.1038/s41467-019-10308-8</w:t>
        </w:r>
      </w:hyperlink>
      <w:r>
        <w:t>.</w:t>
      </w:r>
    </w:p>
    <w:p w14:paraId="6673623F" w14:textId="198BBD03" w:rsidR="00E47456" w:rsidRDefault="0065712B">
      <w:pPr>
        <w:pStyle w:val="Bibliography"/>
      </w:pPr>
      <w:bookmarkStart w:id="56" w:name="ref-engler2010texture"/>
      <w:bookmarkEnd w:id="55"/>
      <w:r>
        <w:t xml:space="preserve">[33] </w:t>
      </w:r>
      <w:r>
        <w:tab/>
        <w:t>O. Engler, V. Randle, Introduction to texture analysis: Macrotexture, microtexture, and orientation mapping, 2nd ed., CRC Press, Boca Raton, FL, 2010.</w:t>
      </w:r>
    </w:p>
    <w:p w14:paraId="738CF3B5" w14:textId="77777777" w:rsidR="00E47456" w:rsidRDefault="0065712B">
      <w:pPr>
        <w:pStyle w:val="Bibliography"/>
      </w:pPr>
      <w:bookmarkStart w:id="57" w:name="ref-bhadeshia2010steels"/>
      <w:bookmarkEnd w:id="56"/>
      <w:r>
        <w:t>[34</w:t>
      </w:r>
      <w:r>
        <w:t xml:space="preserve">] </w:t>
      </w:r>
      <w:r>
        <w:tab/>
      </w:r>
      <w:r>
        <w:t>H.K.D.H. Bhadeshia, R.W.K. Honeycombe, Steels: Microstructure and properties, Fourth, Elsevier Butterworth-Heinemann, Oxford, 2017.</w:t>
      </w:r>
    </w:p>
    <w:p w14:paraId="016E6B62" w14:textId="77777777" w:rsidR="00E47456" w:rsidRDefault="0065712B">
      <w:pPr>
        <w:pStyle w:val="Bibliography"/>
      </w:pPr>
      <w:bookmarkStart w:id="58" w:name="ref-omori2012apl"/>
      <w:bookmarkEnd w:id="57"/>
      <w:r>
        <w:t xml:space="preserve">[35] </w:t>
      </w:r>
      <w:r>
        <w:tab/>
        <w:t>T. Omori, M. Nagasako, M. Okano, K. Endo, R. Kainuma, Microstructure and martensitic transformation in the Fe-Mn-Al-Ni shape memory alloy with B2-type coherent fine particles, Applied Physics Letters 101 (2012) 231907. https://doi.org/</w:t>
      </w:r>
      <w:hyperlink r:id="rId42">
        <w:r>
          <w:rPr>
            <w:rStyle w:val="Hyperlink"/>
          </w:rPr>
          <w:t>10.1063/1.4769375</w:t>
        </w:r>
      </w:hyperlink>
      <w:r>
        <w:t>.</w:t>
      </w:r>
    </w:p>
    <w:p w14:paraId="041A2F33" w14:textId="77777777" w:rsidR="00E47456" w:rsidRDefault="0065712B">
      <w:pPr>
        <w:pStyle w:val="Bibliography"/>
      </w:pPr>
      <w:bookmarkStart w:id="59" w:name="ref-laroca2017jalcom"/>
      <w:bookmarkEnd w:id="58"/>
      <w:r>
        <w:t xml:space="preserve">[36] </w:t>
      </w:r>
      <w:r>
        <w:tab/>
      </w:r>
      <w:r>
        <w:t>P. La Roca, A. Baruj, C.E. Sobrero, J.A. Malarría, M. Sade, Nanoprecipitation effects on phase stability of Fe-Mn-Al-Ni alloys, Journal of Alloys and Compounds 708 (2017) 422–427. https://doi.org/</w:t>
      </w:r>
      <w:hyperlink r:id="rId43">
        <w:r>
          <w:rPr>
            <w:rStyle w:val="Hyperlink"/>
          </w:rPr>
          <w:t>10.1016/j.jallcom.2017.02.280</w:t>
        </w:r>
      </w:hyperlink>
      <w:r>
        <w:t>.</w:t>
      </w:r>
    </w:p>
    <w:p w14:paraId="7B916B87" w14:textId="77777777" w:rsidR="00E47456" w:rsidRDefault="0065712B" w:rsidP="00FD4035">
      <w:pPr>
        <w:pStyle w:val="Bibliography"/>
      </w:pPr>
      <w:bookmarkStart w:id="60" w:name="ref-heo2012mmta"/>
      <w:bookmarkEnd w:id="59"/>
      <w:r>
        <w:t xml:space="preserve">[37] </w:t>
      </w:r>
      <w:r>
        <w:tab/>
        <w:t>Y.-U. Heo, Y.-Y. Song, S.-J. Park, H.K.D.H. Bhadeshia, D.-W. Suh, Influence of silicon in low density Fe-C-Mn-Al steel, Metallurgical and Materials Transactions A 43 (2012) 1731–1735. https://doi.org/</w:t>
      </w:r>
      <w:hyperlink r:id="rId44">
        <w:r>
          <w:rPr>
            <w:rStyle w:val="Hyperlink"/>
          </w:rPr>
          <w:t>10.1007/s11661-012-1149-x</w:t>
        </w:r>
      </w:hyperlink>
      <w:r>
        <w:t>.</w:t>
      </w:r>
      <w:bookmarkEnd w:id="22"/>
      <w:bookmarkEnd w:id="24"/>
      <w:bookmarkEnd w:id="60"/>
    </w:p>
    <w:sectPr w:rsidR="00E4745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445998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13602"/>
    <w:rsid w:val="0013136C"/>
    <w:rsid w:val="0015495A"/>
    <w:rsid w:val="002C5EFD"/>
    <w:rsid w:val="002F43D0"/>
    <w:rsid w:val="00373041"/>
    <w:rsid w:val="0065712B"/>
    <w:rsid w:val="00DC3E07"/>
    <w:rsid w:val="00E47456"/>
    <w:rsid w:val="00FD40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444F5"/>
  <w15:docId w15:val="{60B431F2-3078-440F-A64B-6B372A53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1360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02/adfm.202527774" TargetMode="External"/><Relationship Id="rId26" Type="http://schemas.openxmlformats.org/officeDocument/2006/relationships/hyperlink" Target="https://doi.org/10.1007/s40830-019-00230-9" TargetMode="External"/><Relationship Id="rId39" Type="http://schemas.openxmlformats.org/officeDocument/2006/relationships/hyperlink" Target="https://doi.org/10.1016/j.calphad.2016.11.006" TargetMode="External"/><Relationship Id="rId21" Type="http://schemas.openxmlformats.org/officeDocument/2006/relationships/hyperlink" Target="https://doi.org/10.1016/S0921-5093(99)00294-4" TargetMode="External"/><Relationship Id="rId34" Type="http://schemas.openxmlformats.org/officeDocument/2006/relationships/hyperlink" Target="https://doi.org/10.1107/S0021889869006558" TargetMode="External"/><Relationship Id="rId42" Type="http://schemas.openxmlformats.org/officeDocument/2006/relationships/hyperlink" Target="https://doi.org/10.1063/1.4769375" TargetMode="Externa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arxiv.org/abs/2506.12594" TargetMode="External"/><Relationship Id="rId29" Type="http://schemas.openxmlformats.org/officeDocument/2006/relationships/hyperlink" Target="https://doi.org/10.1007/s11837-022-05349-2"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hyperlink" Target="https://doi.org/10.1126/science.1202232" TargetMode="External"/><Relationship Id="rId32" Type="http://schemas.openxmlformats.org/officeDocument/2006/relationships/hyperlink" Target="https://doi.org/10.1007/s41365-024-01487-1" TargetMode="External"/><Relationship Id="rId37" Type="http://schemas.openxmlformats.org/officeDocument/2006/relationships/hyperlink" Target="https://doi.org/10.5334/jors.140" TargetMode="External"/><Relationship Id="rId40" Type="http://schemas.openxmlformats.org/officeDocument/2006/relationships/hyperlink" Target="https://doi.org/10.1126/science.1183169" TargetMode="External"/><Relationship Id="rId45"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arxiv.org/abs/2507.06261" TargetMode="External"/><Relationship Id="rId23" Type="http://schemas.openxmlformats.org/officeDocument/2006/relationships/hyperlink" Target="https://doi.org/10.1016/j.conbuildmat.2014.04.032" TargetMode="External"/><Relationship Id="rId28" Type="http://schemas.openxmlformats.org/officeDocument/2006/relationships/hyperlink" Target="https://doi.org/10.1016/j.actamat.2017.03.043" TargetMode="External"/><Relationship Id="rId36" Type="http://schemas.openxmlformats.org/officeDocument/2006/relationships/hyperlink" Target="https://doi.org/10.1017/CBO9780511804137" TargetMode="External"/><Relationship Id="rId10" Type="http://schemas.openxmlformats.org/officeDocument/2006/relationships/image" Target="media/image6.jpg"/><Relationship Id="rId19" Type="http://schemas.openxmlformats.org/officeDocument/2006/relationships/hyperlink" Target="https://arxiv.org/abs/2409.06756" TargetMode="External"/><Relationship Id="rId31" Type="http://schemas.openxmlformats.org/officeDocument/2006/relationships/hyperlink" Target="https://doi.org/10.1007/s40830-024-00504-x" TargetMode="External"/><Relationship Id="rId44" Type="http://schemas.openxmlformats.org/officeDocument/2006/relationships/hyperlink" Target="https://doi.org/10.1007/s11661-012-1149-x"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doi.org/10.1038/s41586-023-06735-9" TargetMode="External"/><Relationship Id="rId22" Type="http://schemas.openxmlformats.org/officeDocument/2006/relationships/hyperlink" Target="https://doi.org/10.1016/j.matdes.2013.11.084" TargetMode="External"/><Relationship Id="rId27" Type="http://schemas.openxmlformats.org/officeDocument/2006/relationships/hyperlink" Target="https://doi.org/10.1007/s40830-017-0129-9" TargetMode="External"/><Relationship Id="rId30" Type="http://schemas.openxmlformats.org/officeDocument/2006/relationships/hyperlink" Target="https://doi.org/10.1016/j.matdes.2016.04.011" TargetMode="External"/><Relationship Id="rId35" Type="http://schemas.openxmlformats.org/officeDocument/2006/relationships/hyperlink" Target="https://doi.org/10.1063/1.364220" TargetMode="External"/><Relationship Id="rId43" Type="http://schemas.openxmlformats.org/officeDocument/2006/relationships/hyperlink" Target="https://doi.org/10.1016/j.jallcom.2017.02.280" TargetMode="Externa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hyperlink" Target="https://doi.org/10.1016/j.actamat.2022.117751" TargetMode="External"/><Relationship Id="rId25" Type="http://schemas.openxmlformats.org/officeDocument/2006/relationships/hyperlink" Target="https://doi.org/10.1016/j.scriptamat.2015.12.007" TargetMode="External"/><Relationship Id="rId33" Type="http://schemas.openxmlformats.org/officeDocument/2006/relationships/hyperlink" Target="https://doi.org/10.1007/s41365-024-01468-4" TargetMode="External"/><Relationship Id="rId38" Type="http://schemas.openxmlformats.org/officeDocument/2006/relationships/hyperlink" Target="https://doi.org/10.1016/j.calphad.2023.102644" TargetMode="External"/><Relationship Id="rId46" Type="http://schemas.openxmlformats.org/officeDocument/2006/relationships/theme" Target="theme/theme1.xml"/><Relationship Id="rId20" Type="http://schemas.openxmlformats.org/officeDocument/2006/relationships/hyperlink" Target="https://doi.org/10.1007/978-0-387-47685-8" TargetMode="External"/><Relationship Id="rId41" Type="http://schemas.openxmlformats.org/officeDocument/2006/relationships/hyperlink" Target="https://doi.org/10.1038/s41467-019-1030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16369</Words>
  <Characters>93305</Characters>
  <Application>Microsoft Office Word</Application>
  <DocSecurity>0</DocSecurity>
  <Lines>777</Lines>
  <Paragraphs>218</Paragraphs>
  <ScaleCrop>false</ScaleCrop>
  <Company/>
  <LinksUpToDate>false</LinksUpToDate>
  <CharactersWithSpaces>109456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2026-08-20T21:23:00Z</dcterms:created>
  <dcterms:modified xsi:type="dcterms:W3CDTF">2026-08-20T21:23:00Z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