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figures, tables and text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 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Omori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2; Fig. 2a (one specimen)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strand passes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2b–e)</w:t>
            </w:r>
          </w:p>
        </w:tc>
        <w:tc>
          <w:tcPr/>
          <w:p>
            <w:pPr>
              <w:pStyle w:val="Compact"/>
            </w:pPr>
            <w:r>
              <w:t xml:space="preserve">Table 2; Fig. 2b–e; Secs. 3.2, 4.2</w:t>
            </w:r>
          </w:p>
        </w:tc>
        <w:tc>
          <w:tcPr/>
          <w:p>
            <w:pPr>
              <w:pStyle w:val="Compact"/>
            </w:pPr>
            <w:r>
              <w:t xml:space="preserve">heat number on report file;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2f; Sec. 3.2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as X1, phase fractions held fixed (Sec. 2.5);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Sec. 3.3 (text only)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Near the solidus, different starting densities converged to different states; in those high-temperature bands of K1 and K2 (mpea-02b: Omori alloy from 1300 °C, LLM alloy from 1250 °C, C-free LLM alloy from 1350 °C; PrecHiMn-04: LLM alloy from 1150 °C, C-free LLM alloy from 1280 °C; all to 1400 °C) the lowest-Gibbs-energy state across density ladders spanning pdens 300–4000 was retained. The Ni scans (K4, K5) and A2-range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A2-range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A2-range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phase compositions (partitioning between α and γ)</w:t>
            </w:r>
          </w:p>
        </w:tc>
        <w:tc>
          <w:tcPr/>
          <w:p>
            <w:pPr>
              <w:pStyle w:val="Compact"/>
            </w:pPr>
            <w:r>
              <w:t xml:space="preserve">mpea-02b, PrecHiMn-04 and mc_fe v2.059, phase sets as K1–K3</w:t>
            </w:r>
          </w:p>
        </w:tc>
        <w:tc>
          <w:tcPr/>
          <w:p>
            <w:pPr>
              <w:pStyle w:val="Compact"/>
            </w:pPr>
            <w:r>
              <w:t xml:space="preserve">LLM as in K1–K3</w:t>
            </w:r>
          </w:p>
        </w:tc>
        <w:tc>
          <w:tcPr/>
          <w:p>
            <w:pPr>
              <w:pStyle w:val="Compact"/>
            </w:pPr>
            <w:r>
              <w:t xml:space="preserve">1200 °C</w:t>
            </w:r>
          </w:p>
        </w:tc>
        <w:tc>
          <w:tcPr/>
          <w:p>
            <w:pPr>
              <w:pStyle w:val="Compact"/>
            </w:pPr>
            <w:r>
              <w:t xml:space="preserve">as K1–K3 (500, 500, 2000)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Superelasticity in an LLM-Hypothesized Fe-Mn-Al-Ni-Si-C Alloy: Tensile, Synchrotron and CALPHAD Assessment</dc:title>
  <dc:creator/>
  <cp:keywords/>
  <dcterms:created xsi:type="dcterms:W3CDTF">2026-10-15T04:10:21Z</dcterms:created>
  <dcterms:modified xsi:type="dcterms:W3CDTF">2026-10-15T04:10:21Z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