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Frank Cai</w:t>
      </w:r>
      <w:r>
        <w:t xml:space="preserve"> </w:t>
      </w:r>
      <w:r>
        <w:t xml:space="preserve">Purdue University, West Lafayette, Indiana, USA</w:t>
      </w:r>
      <w:r>
        <w:t xml:space="preserve"> </w:t>
      </w:r>
      <w:r>
        <w:t xml:space="preserve">frankyc11223@gmail.com · ORCID 0009-0003-0041-1459</w:t>
      </w:r>
    </w:p>
    <w:p>
      <w:pPr>
        <w:pStyle w:val="BodyText"/>
      </w:pPr>
      <w:r>
        <w:t xml:space="preserve">To the Editors,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 </w:t>
      </w:r>
      <w:r>
        <w:t xml:space="preserve">(Editor-in-Chief: Prof. Alán Aspuru-Guzik)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pleased to submit the manuscript</w:t>
      </w:r>
      <w:r>
        <w:t xml:space="preserve"> </w:t>
      </w:r>
      <w:r>
        <w:rPr>
          <w:b/>
          <w:bCs/>
        </w:rPr>
        <w:t xml:space="preserve">“Finite-temperature dynamic stability separates foundation</w:t>
      </w:r>
      <w:r>
        <w:rPr>
          <w:b/>
          <w:bCs/>
        </w:rPr>
        <w:t xml:space="preserve"> </w:t>
      </w:r>
      <w:r>
        <w:rPr>
          <w:b/>
          <w:bCs/>
        </w:rPr>
        <w:t xml:space="preserve">machine-learning interatomic potentials that harmonic benchmarks rank equally”</w:t>
      </w:r>
      <w:r>
        <w:t xml:space="preserve"> </w:t>
      </w:r>
      <w:r>
        <w:t xml:space="preserve">for consideration as a Paper in</w:t>
      </w:r>
      <w:r>
        <w:t xml:space="preserve"> </w:t>
      </w:r>
      <w:r>
        <w:rPr>
          <w:i/>
          <w:iCs/>
        </w:rPr>
        <w:t xml:space="preserve">Digital</w:t>
      </w:r>
      <w:r>
        <w:rPr>
          <w:i/>
          <w:iCs/>
        </w:rPr>
        <w:t xml:space="preserve"> </w:t>
      </w:r>
      <w:r>
        <w:rPr>
          <w:i/>
          <w:iCs/>
        </w:rPr>
        <w:t xml:space="preserve">Discovery</w:t>
      </w:r>
      <w:r>
        <w:t xml:space="preserve">.</w:t>
      </w:r>
    </w:p>
    <w:p>
      <w:pPr>
        <w:pStyle w:val="BodyText"/>
      </w:pPr>
      <w:r>
        <w:t xml:space="preserve">Foundation (universal) machine-learning interatomic potentials (MLIPs) — MACE-MP-0, CHGNet, ORB,</w:t>
      </w:r>
      <w:r>
        <w:t xml:space="preserve"> </w:t>
      </w:r>
      <w:r>
        <w:t xml:space="preserve">SevenNet, MatterSim — are now routine, cheap stand-ins for DFT in high-throughput pipelines,</w:t>
      </w:r>
      <w:r>
        <w:t xml:space="preserve"> </w:t>
      </w:r>
      <w:r>
        <w:t xml:space="preserve">including the dynamical-stability filtering of generative crystal-structure-prediction (CSP)</w:t>
      </w:r>
      <w:r>
        <w:t xml:space="preserve"> </w:t>
      </w:r>
      <w:r>
        <w:t xml:space="preserve">outputs. Yet they are benchmarked almost exclusively against</w:t>
      </w:r>
      <w:r>
        <w:t xml:space="preserve"> </w:t>
      </w:r>
      <w:r>
        <w:rPr>
          <w:b/>
          <w:bCs/>
        </w:rPr>
        <w:t xml:space="preserve">harmonic (0 K) phonons</w:t>
      </w:r>
      <w:r>
        <w:t xml:space="preserve">, while</w:t>
      </w:r>
      <w:r>
        <w:t xml:space="preserve"> </w:t>
      </w:r>
      <w:r>
        <w:t xml:space="preserve">dynamic stability is physically a</w:t>
      </w:r>
      <w:r>
        <w:t xml:space="preserve"> </w:t>
      </w:r>
      <w:r>
        <w:rPr>
          <w:b/>
          <w:bCs/>
        </w:rPr>
        <w:t xml:space="preserve">finite-temperature</w:t>
      </w:r>
      <w:r>
        <w:t xml:space="preserve"> </w:t>
      </w:r>
      <w:r>
        <w:t xml:space="preserve">property. An entire technologically</w:t>
      </w:r>
      <w:r>
        <w:t xml:space="preserve"> </w:t>
      </w:r>
      <w:r>
        <w:t xml:space="preserve">central class of materials — cubic perovskites, bcc refractory metals, cubic fluorites — is</w:t>
      </w:r>
      <w:r>
        <w:t xml:space="preserve"> </w:t>
      </w:r>
      <w:r>
        <w:rPr>
          <w:i/>
          <w:iCs/>
        </w:rPr>
        <w:t xml:space="preserve">harmonically unstable but thermally stabilised by anharmonicity</w:t>
      </w:r>
      <w:r>
        <w:t xml:space="preserve">, exactly the regime the</w:t>
      </w:r>
      <w:r>
        <w:t xml:space="preserve"> </w:t>
      </w:r>
      <w:r>
        <w:t xml:space="preserve">harmonic-only oracle (used by recent benchmarks such as PhononBench and by CSP screening) gets</w:t>
      </w:r>
      <w:r>
        <w:t xml:space="preserve"> </w:t>
      </w:r>
      <w:r>
        <w:t xml:space="preserve">wrong. Two 2025 studies have probed finite-temperature reliability directly, but each is confined</w:t>
      </w:r>
      <w:r>
        <w:t xml:space="preserve"> </w:t>
      </w:r>
      <w:r>
        <w:t xml:space="preserve">to a single model family or a single system; whether the effect is architecture-general and</w:t>
      </w:r>
      <w:r>
        <w:t xml:space="preserve"> </w:t>
      </w:r>
      <w:r>
        <w:t xml:space="preserve">chemistry-general is untested. This work closes that gap.</w:t>
      </w:r>
    </w:p>
    <w:p>
      <w:pPr>
        <w:pStyle w:val="BodyText"/>
      </w:pPr>
      <w:r>
        <w:t xml:space="preserve">Our contributions, and why they should interest the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 </w:t>
      </w:r>
      <w:r>
        <w:t xml:space="preserve">readership: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finite-temperature dynamic-stability benchmark</w:t>
      </w:r>
      <w:r>
        <w:t xml:space="preserve"> </w:t>
      </w:r>
      <w:r>
        <w:t xml:space="preserve">of five foundation MLIPs on a curated,</w:t>
      </w:r>
      <w:r>
        <w:t xml:space="preserve"> </w:t>
      </w:r>
      <w:r>
        <w:t xml:space="preserve">literature-grounded set (no new DFT required), with a fully reproducible, resumable per-unit</w:t>
      </w:r>
      <w:r>
        <w:t xml:space="preserve"> </w:t>
      </w:r>
      <w:r>
        <w:t xml:space="preserve">results ledger and open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cheap, validated screen.</w:t>
      </w:r>
      <w:r>
        <w:t xml:space="preserve"> </w:t>
      </w:r>
      <w:r>
        <w:t xml:space="preserve">We introduce a quantum self-consistent-harmonic (</w:t>
      </w:r>
      <w:r>
        <w:t xml:space="preserve">“soft-mode free</w:t>
      </w:r>
      <w:r>
        <w:t xml:space="preserve"> </w:t>
      </w:r>
      <w:r>
        <w:t xml:space="preserve">energy”</w:t>
      </w:r>
      <w:r>
        <w:t xml:space="preserve">) screen that evaluates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imaginary commensurate mode and calls the phase unstable</w:t>
      </w:r>
      <w:r>
        <w:t xml:space="preserve"> </w:t>
      </w:r>
      <w:r>
        <w:t xml:space="preserve">if any condenses, at sub-second CPU cost per temperature. The criterion matters: in SrTiO₃ the</w:t>
      </w:r>
      <w:r>
        <w:t xml:space="preserve"> </w:t>
      </w:r>
      <w:r>
        <w:t xml:space="preserve">Γ ferroelectric mode is deeper than the R-point tilt yet is quantum-suppressed, so a</w:t>
      </w:r>
      <w:r>
        <w:t xml:space="preserve"> </w:t>
      </w:r>
      <w:r>
        <w:t xml:space="preserve">softest-mode screen inspects the wrong instability.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cautionary methodological result of direct practical value.</w:t>
      </w:r>
      <w:r>
        <w:t xml:space="preserve"> </w:t>
      </w:r>
      <w:r>
        <w:t xml:space="preserve">The</w:t>
      </w:r>
      <w:r>
        <w:t xml:space="preserve"> </w:t>
      </w:r>
      <w:r>
        <w:t xml:space="preserve">“gold-standard”</w:t>
      </w:r>
      <w:r>
        <w:t xml:space="preserve"> </w:t>
      </w:r>
      <w:r>
        <w:t xml:space="preserve">multi-mode stochastic SCHA, when driven by an MLIP in the way a practitioner would realistically</w:t>
      </w:r>
      <w:r>
        <w:t xml:space="preserve"> </w:t>
      </w:r>
      <w:r>
        <w:t xml:space="preserve">deploy it, is clean for martensitic bcc metals but</w:t>
      </w:r>
      <w:r>
        <w:t xml:space="preserve"> </w:t>
      </w:r>
      <w:r>
        <w:rPr>
          <w:i/>
          <w:iCs/>
        </w:rPr>
        <w:t xml:space="preserve">systematically false-stabilises</w:t>
      </w:r>
      <w:r>
        <w:t xml:space="preserve"> </w:t>
      </w:r>
      <w:r>
        <w:t xml:space="preserve">deep</w:t>
      </w:r>
      <w:r>
        <w:t xml:space="preserve"> </w:t>
      </w:r>
      <w:r>
        <w:t xml:space="preserve">displacive (ferroelectric) instabilities at its default fourth-order truncation — the regime that</w:t>
      </w:r>
      <w:r>
        <w:t xml:space="preserve"> </w:t>
      </w:r>
      <w:r>
        <w:t xml:space="preserve">dominates generative-CSP outputs. Theory predicts this truncation to fail for cubic metal halide</w:t>
      </w:r>
      <w:r>
        <w:t xml:space="preserve"> </w:t>
      </w:r>
      <w:r>
        <w:t xml:space="preserve">perovskites; we measure it at benchmark scale and show it extends to oxide perovskites and,</w:t>
      </w:r>
      <w:r>
        <w:t xml:space="preserve"> </w:t>
      </w:r>
      <w:r>
        <w:t xml:space="preserve">blow-up-free, to cubic fluorites. The cheap screen is the more reliable indicator there,</w:t>
      </w:r>
      <w:r>
        <w:t xml:space="preserve"> </w:t>
      </w:r>
      <w:r>
        <w:t xml:space="preserve">inverting the usual cost/accuracy intuition.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actionable guardrail.</w:t>
      </w:r>
      <w:r>
        <w:t xml:space="preserve"> </w:t>
      </w:r>
      <w:r>
        <w:t xml:space="preserve">Inter-model (ensemble) vote disagreement flags unreliable calls</w:t>
      </w:r>
      <w:r>
        <w:t xml:space="preserve"> </w:t>
      </w:r>
      <w:r>
        <w:t xml:space="preserve">(AUC 0.75), whereas the continuous frequency spread does not — a cheap, deployable rule.</w:t>
      </w:r>
    </w:p>
    <w:p>
      <w:pPr>
        <w:pStyle w:val="FirstParagraph"/>
      </w:pPr>
      <w:r>
        <w:t xml:space="preserve">This is a data-driven, evaluation-methodology contribution about the reliability of ML surrogates</w:t>
      </w:r>
      <w:r>
        <w:t xml:space="preserve"> </w:t>
      </w:r>
      <w:r>
        <w:t xml:space="preserve">for materials discovery, which is squarely within the scope of</w:t>
      </w:r>
      <w:r>
        <w:t xml:space="preserve"> </w:t>
      </w:r>
      <w:r>
        <w:rPr>
          <w:i/>
          <w:iCs/>
        </w:rPr>
        <w:t xml:space="preserve">Digital Discovery</w:t>
      </w:r>
      <w:r>
        <w:t xml:space="preserve"> </w:t>
      </w:r>
      <w:r>
        <w:t xml:space="preserve">and directly</w:t>
      </w:r>
      <w:r>
        <w:t xml:space="preserve"> </w:t>
      </w:r>
      <w:r>
        <w:t xml:space="preserve">relevant to anyone using foundation MLIPs to screen generated structures.</w:t>
      </w:r>
    </w:p>
    <w:p>
      <w:pPr>
        <w:pStyle w:val="BodyText"/>
      </w:pPr>
      <w:r>
        <w:t xml:space="preserve">I confirm that this manuscript is original, has not been published previously, and is not under</w:t>
      </w:r>
      <w:r>
        <w:t xml:space="preserve"> </w:t>
      </w:r>
      <w:r>
        <w:t xml:space="preserve">consideration for publication elsewhere. It has a single author with no conflicts of interest to</w:t>
      </w:r>
      <w:r>
        <w:t xml:space="preserve"> </w:t>
      </w:r>
      <w:r>
        <w:t xml:space="preserve">declare. All code and the per-unit results ledger are openly available</w:t>
      </w:r>
      <w:r>
        <w:t xml:space="preserve"> </w:t>
      </w:r>
      <w:r>
        <w:t xml:space="preserve">(https://github.com/fronkt/mlip-dynamic-stability; archived at Zenodo,</w:t>
      </w:r>
      <w:r>
        <w:t xml:space="preserve"> </w:t>
      </w:r>
      <w:r>
        <w:t xml:space="preserve">https://doi.org/10.5281/zenodo.20805824), so every reported number regenerates from the deposited</w:t>
      </w:r>
      <w:r>
        <w:t xml:space="preserve"> </w:t>
      </w:r>
      <w:r>
        <w:t xml:space="preserve">artifacts.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Frank Cai</w:t>
      </w:r>
      <w:r>
        <w:t xml:space="preserve"> </w:t>
      </w:r>
      <w:r>
        <w:t xml:space="preserve">Purdue University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2026-08-17T00:23:38Z</dcterms:created>
  <dcterms:modified xsi:type="dcterms:W3CDTF">2026-08-17T00:23:38Z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