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electronic-supplementary-information-esi"/>
    <w:p>
      <w:pPr>
        <w:pStyle w:val="Heading1"/>
      </w:pPr>
      <w:r>
        <w:t xml:space="preserve">Electronic Supplementary Information (ESI)</w:t>
      </w:r>
    </w:p>
    <w:p>
      <w:pPr>
        <w:pStyle w:val="FirstParagraph"/>
      </w:pPr>
      <w:r>
        <w:rPr>
          <w:i/>
          <w:iCs/>
        </w:rPr>
        <w:t xml:space="preserve">Companion 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manuscript.md</w:t>
      </w:r>
      <w:r>
        <w:rPr>
          <w:i/>
          <w:iCs/>
        </w:rPr>
        <w:t xml:space="preserve">. All tables regenerate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results/ledger.parquet</w:t>
      </w:r>
      <w:r>
        <w:rPr>
          <w:i/>
          <w:iCs/>
        </w:rPr>
        <w:t xml:space="preserve"> </w:t>
      </w:r>
      <w:r>
        <w:rPr>
          <w:i/>
          <w:iCs/>
        </w:rPr>
        <w:t xml:space="preserve">via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mlip_dynstab/analysis.py</w:t>
      </w:r>
      <w:r>
        <w:rPr>
          <w:i/>
          <w:iCs/>
        </w:rPr>
        <w:t xml:space="preserve">; figures via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scripts/make_figures.py</w:t>
      </w:r>
      <w:r>
        <w:rPr>
          <w:i/>
          <w:iCs/>
        </w:rPr>
        <w:t xml:space="preserve">.</w:t>
      </w:r>
    </w:p>
    <w:bookmarkStart w:id="10" w:name="X48d3f01bc877325763a227e3afe3ff950d73bf3"/>
    <w:p>
      <w:pPr>
        <w:pStyle w:val="Heading2"/>
      </w:pPr>
      <w:r>
        <w:t xml:space="preserve">S1. Finite-T method development and discarded routes</w:t>
      </w:r>
    </w:p>
    <w:p>
      <w:pPr>
        <w:pStyle w:val="FirstParagraph"/>
      </w:pPr>
      <w:r>
        <w:t xml:space="preserve">The quantum-SCHA soft-mode screen (§2.4) was the fourth finite-T route we</w:t>
      </w:r>
      <w:r>
        <w:t xml:space="preserve"> </w:t>
      </w:r>
      <w:r>
        <w:t xml:space="preserve">implemented. The earlier three were built, tested against the SrTiO₃ validation gate, and</w:t>
      </w:r>
      <w:r>
        <w:t xml:space="preserve"> </w:t>
      </w:r>
      <w:r>
        <w:t xml:space="preserve">discarded; we document them because the failures are instructive for anyone building MLIP-driven</w:t>
      </w:r>
      <w:r>
        <w:t xml:space="preserve"> </w:t>
      </w:r>
      <w:r>
        <w:t xml:space="preserve">finite-T stability screens.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Hand-rolled TDEP-lite</w:t>
      </w:r>
      <w:r>
        <w:t xml:space="preserve"> </w:t>
      </w:r>
      <w:r>
        <w:t xml:space="preserve">(NVT MD → least-squares effective harmonic force constants → minimum</w:t>
      </w:r>
      <w:r>
        <w:t xml:space="preserve"> </w:t>
      </w:r>
      <w:r>
        <w:t xml:space="preserve">effective frequency). Conceptually the cheapest per-temperature route, but the effective</w:t>
      </w:r>
      <w:r>
        <w:t xml:space="preserve"> </w:t>
      </w:r>
      <w:r>
        <w:t xml:space="preserve">force-constant fit is dominated by the anharmonic tails of the MD distribution and gave</w:t>
      </w:r>
      <w:r>
        <w:t xml:space="preserve"> </w:t>
      </w:r>
      <w:r>
        <w:t xml:space="preserve">non-monotonic, supercell- and trajectory-length-sensitive frequencies that did not reproduce</w:t>
      </w:r>
      <w:r>
        <w:t xml:space="preserve"> </w:t>
      </w:r>
      <w:r>
        <w:t xml:space="preserve">the SrTiO₃ hardening curve. The least-squares step also silently absorbs drift/relaxation off</w:t>
      </w:r>
      <w:r>
        <w:t xml:space="preserve"> </w:t>
      </w:r>
      <w:r>
        <w:t xml:space="preserve">the high-symmetry geometry.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One-shot hiPhive.</w:t>
      </w:r>
      <w:r>
        <w:t xml:space="preserve"> </w:t>
      </w:r>
      <w:r>
        <w:t xml:space="preserve">Required a larger supercell so the pair cutoff stays below L/2, and the</w:t>
      </w:r>
      <w:r>
        <w:t xml:space="preserve"> </w:t>
      </w:r>
      <w:r>
        <w:t xml:space="preserve">single-temperature effective-FC fit inherited the same tail-sensitivity as TDEP-lite without</w:t>
      </w:r>
      <w:r>
        <w:t xml:space="preserve"> </w:t>
      </w:r>
      <w:r>
        <w:t xml:space="preserve">the robustness of a proper TDEP self-consistency loop.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Rattled-MD symmetry-breaking probe.</w:t>
      </w:r>
      <w:r>
        <w:t xml:space="preserve"> </w:t>
      </w:r>
      <w:r>
        <w:t xml:space="preserve">Intended for diffusive/superionic systems where</w:t>
      </w:r>
      <w:r>
        <w:t xml:space="preserve"> </w:t>
      </w:r>
      <w:r>
        <w:t xml:space="preserve">effective-FC fitting is ill-posed; in practice the rattle amplitude was a free knob that set</w:t>
      </w:r>
      <w:r>
        <w:t xml:space="preserve"> </w:t>
      </w:r>
      <w:r>
        <w:t xml:space="preserve">the answer, so it could not provide a calibrated stability call.</w:t>
      </w:r>
    </w:p>
    <w:p>
      <w:pPr>
        <w:pStyle w:val="FirstParagraph"/>
      </w:pPr>
      <w:r>
        <w:t xml:space="preserve">The surviving route replaces noisy MD-fitted effective force constants with a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double</w:t>
      </w:r>
      <w:r>
        <w:t xml:space="preserve"> </w:t>
      </w:r>
      <w:r>
        <w:t xml:space="preserve">well E(Q) along each imaginary commensurate mode plus an analytic single-mode quantum SCHA free</w:t>
      </w:r>
      <w:r>
        <w:t xml:space="preserve"> </w:t>
      </w:r>
      <w:r>
        <w:t xml:space="preserve">energy per mode, with the phase called unstable if any mode condenses (see §2.4; the original</w:t>
      </w:r>
      <w:r>
        <w:t xml:space="preserve"> </w:t>
      </w:r>
      <w:r>
        <w:t xml:space="preserve">implementation screened only the softest mode, which inspects the wrong instability in SrTiO₃). Moving the anharmonicity into a clean static map (cached, T-independent) and the thermal</w:t>
      </w:r>
      <w:r>
        <w:t xml:space="preserve"> </w:t>
      </w:r>
      <w:r>
        <w:t xml:space="preserve">physics into a 1-D self-consistent solve removed the trajectory/cutoff sensitivity and passed</w:t>
      </w:r>
      <w:r>
        <w:t xml:space="preserve"> </w:t>
      </w:r>
      <w:r>
        <w:t xml:space="preserve">the SrTiO₃ gate.</w:t>
      </w:r>
    </w:p>
    <w:bookmarkStart w:id="9" w:name="s1.1-soundness-fixes-during-development"/>
    <w:p>
      <w:pPr>
        <w:pStyle w:val="Heading3"/>
      </w:pPr>
      <w:r>
        <w:t xml:space="preserve">S1.1 Soundness fixes during development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Γ-acoustic artifact.</w:t>
      </w:r>
      <w:r>
        <w:t xml:space="preserve"> </w:t>
      </w:r>
      <w:r>
        <w:t xml:space="preserve">The softest-mode search initially selected the acoustic sum-rule zero</w:t>
      </w:r>
      <w:r>
        <w:t xml:space="preserve"> </w:t>
      </w:r>
      <w:r>
        <w:t xml:space="preserve">at Γ (well depth 0, convex E(Q)); the three acoustic modes at Γ are now masked.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Spurious flat-well modes from incommensurate q.</w:t>
      </w:r>
      <w:r>
        <w:t xml:space="preserve"> </w:t>
      </w:r>
      <w:r>
        <w:t xml:space="preserve">Searching the denominator-6 rational grid</w:t>
      </w:r>
      <w:r>
        <w:t xml:space="preserve"> </w:t>
      </w:r>
      <w:r>
        <w:t xml:space="preserve">on 2×2×2 force constants interpolated force constants at q the cell does not actually resolve,</w:t>
      </w:r>
      <w:r>
        <w:t xml:space="preserve"> </w:t>
      </w:r>
      <w:r>
        <w:t xml:space="preserve">inventing flat soft wells (notably for bcc with MACE/SevenNet). The search is now restricted to</w:t>
      </w:r>
      <w:r>
        <w:t xml:space="preserve"> </w:t>
      </w:r>
      <w:r>
        <w:t xml:space="preserve">exactly force-constant-commensurate q; bcc uses 6×6×6 force constants so the ω-phase q = ⅔⟨111⟩</w:t>
      </w:r>
      <w:r>
        <w:t xml:space="preserve"> </w:t>
      </w:r>
      <w:r>
        <w:t xml:space="preserve">is commensurate.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Unbounded fits.</w:t>
      </w:r>
      <w:r>
        <w:t xml:space="preserve"> </w:t>
      </w:r>
      <w:r>
        <w:t xml:space="preserve">Sextic E(Q) fits occasionally returned a negative leading coefficient</w:t>
      </w:r>
      <w:r>
        <w:t xml:space="preserve"> </w:t>
      </w:r>
      <w:r>
        <w:t xml:space="preserve">(unbounded potential); the fit drops to a bounded quartic in that case, and only the</w:t>
      </w:r>
      <w:r>
        <w:t xml:space="preserve"> </w:t>
      </w:r>
      <w:r>
        <w:t xml:space="preserve">well-plus-barrier window is fitted so a steep repulsive wall does not wash out a shallow well</w:t>
      </w:r>
      <w:r>
        <w:t xml:space="preserve"> </w:t>
      </w:r>
      <w:r>
        <w:t xml:space="preserve">(e.g. BaTiO₃).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SCHA self-consistency.</w:t>
      </w:r>
      <w:r>
        <w:t xml:space="preserve"> </w:t>
      </w:r>
      <w:r>
        <w:t xml:space="preserve">The width is solved with a bracketed root finder to avoid a runaway</w:t>
      </w:r>
      <w:r>
        <w:t xml:space="preserve"> </w:t>
      </w:r>
      <w:r>
        <w:t xml:space="preserve">large-σ spurious root.</w:t>
      </w:r>
    </w:p>
    <w:bookmarkEnd w:id="9"/>
    <w:bookmarkEnd w:id="10"/>
    <w:bookmarkStart w:id="15" w:name="Xede661a0109ccb6b2d4c2d297a94028290510d5"/>
    <w:p>
      <w:pPr>
        <w:pStyle w:val="Heading2"/>
      </w:pPr>
      <w:r>
        <w:t xml:space="preserve">S2. SSCHA harness and the displacive-instability failure</w:t>
      </w:r>
    </w:p>
    <w:bookmarkStart w:id="11" w:name="s2.1-minimizer-step-cap"/>
    <w:p>
      <w:pPr>
        <w:pStyle w:val="Heading3"/>
      </w:pPr>
      <w:r>
        <w:t xml:space="preserve">S2.1 Minimizer step cap</w:t>
      </w:r>
    </w:p>
    <w:p>
      <w:pPr>
        <w:pStyle w:val="FirstParagraph"/>
      </w:pPr>
      <w:r>
        <w:t xml:space="preserve">Multi-mode SSCHA on the 40-atom perovskite cells initially appeared to hang (CPU busy, GPU idle,</w:t>
      </w:r>
      <w:r>
        <w:t xml:space="preserve"> </w:t>
      </w:r>
      <w:r>
        <w:t xml:space="preserve">a per-population step counter climbing past 1000). The cause was an uncapped per-population</w:t>
      </w:r>
      <w:r>
        <w:t xml:space="preserve"> </w:t>
      </w:r>
      <w:r>
        <w:t xml:space="preserve">reweighting loop: with a noisy stochastic gradient on a large soft cell, one population chases</w:t>
      </w:r>
      <w:r>
        <w:t xml:space="preserve"> </w:t>
      </w:r>
      <w:r>
        <w:t xml:space="preserve">the gradient below its own stochastic-noise floor indefinitely instead of regenerating a fresh</w:t>
      </w:r>
      <w:r>
        <w:t xml:space="preserve"> </w:t>
      </w:r>
      <w:r>
        <w:t xml:space="preserve">ensemble. Capping the per-population steps (</w:t>
      </w:r>
      <w:r>
        <w:rPr>
          <w:rStyle w:val="VerbatimChar"/>
        </w:rPr>
        <w:t xml:space="preserve">minim.max_ka = 20</w:t>
      </w:r>
      <w:r>
        <w:t xml:space="preserve">) forces ensemble regeneration;</w:t>
      </w:r>
      <w:r>
        <w:t xml:space="preserve"> </w:t>
      </w:r>
      <w:r>
        <w:t xml:space="preserve">SrTiO₃ then converged in 231 s / 27 steps (previously 1835 steps → timeout). Small cells (8-atom</w:t>
      </w:r>
      <w:r>
        <w:t xml:space="preserve"> </w:t>
      </w:r>
      <w:r>
        <w:t xml:space="preserve">bcc) converge under the cap and are unchanged.</w:t>
      </w:r>
    </w:p>
    <w:bookmarkEnd w:id="11"/>
    <w:bookmarkStart w:id="12" w:name="X6119a5da9d3e040ccd890dc869fa222e0f8f8a1"/>
    <w:p>
      <w:pPr>
        <w:pStyle w:val="Heading3"/>
      </w:pPr>
      <w:r>
        <w:t xml:space="preserve">S2.2 Root-cause diagnostic (cubic BaTiO₃, MACE-MP-0, 100 K)</w:t>
      </w:r>
    </w:p>
    <w:p>
      <w:pPr>
        <w:pStyle w:val="FirstParagraph"/>
      </w:pPr>
      <w:r>
        <w:rPr>
          <w:rStyle w:val="VerbatimChar"/>
        </w:rPr>
        <w:t xml:space="preserve">scripts/sscha_v4_diag.py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min frequency (THz)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harmonic (ground truth)</w:t>
            </w:r>
          </w:p>
        </w:tc>
        <w:tc>
          <w:tcPr/>
          <w:p>
            <w:pPr>
              <w:pStyle w:val="Compact"/>
            </w:pPr>
            <w:r>
              <w:t xml:space="preserve">−5.635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ForcePositiveDefinite</w:t>
            </w:r>
          </w:p>
        </w:tc>
        <w:tc>
          <w:tcPr/>
          <w:p>
            <w:pPr>
              <w:pStyle w:val="Compact"/>
            </w:pPr>
            <w:r>
              <w:t xml:space="preserve">+2.882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converged SCHA auxiliary dynamical matrix</w:t>
            </w:r>
          </w:p>
        </w:tc>
        <w:tc>
          <w:tcPr/>
          <w:p>
            <w:pPr>
              <w:pStyle w:val="Compact"/>
            </w:pPr>
            <w:r>
              <w:t xml:space="preserve">+2.892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free-energy Hessian,</w:t>
            </w:r>
            <w:r>
              <w:t xml:space="preserve"> </w:t>
            </w:r>
            <w:r>
              <w:rPr>
                <w:rStyle w:val="VerbatimChar"/>
              </w:rPr>
              <w:t xml:space="preserve">include_v4=False</w:t>
            </w:r>
            <w:r>
              <w:t xml:space="preserve"> </w:t>
            </w:r>
            <w:r>
              <w:t xml:space="preserve">(production)</w:t>
            </w:r>
          </w:p>
        </w:tc>
        <w:tc>
          <w:tcPr/>
          <w:p>
            <w:pPr>
              <w:pStyle w:val="Compact"/>
            </w:pPr>
            <w:r>
              <w:t xml:space="preserve">+2.872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free-energy Hessian,</w:t>
            </w:r>
            <w:r>
              <w:t xml:space="preserve"> </w:t>
            </w:r>
            <w:r>
              <w:rPr>
                <w:rStyle w:val="VerbatimChar"/>
              </w:rPr>
              <w:t xml:space="preserve">include_v4=True</w:t>
            </w:r>
          </w:p>
        </w:tc>
        <w:tc>
          <w:tcPr/>
          <w:p>
            <w:pPr>
              <w:pStyle w:val="Compact"/>
            </w:pPr>
            <w:r>
              <w:t xml:space="preserve">did not finish in &gt;18 min (single unit)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ForcePositiveDefinite</w:t>
      </w:r>
      <w:r>
        <w:t xml:space="preserve"> </w:t>
      </w:r>
      <w:r>
        <w:t xml:space="preserve">at initialisation removes the soft mode; at low temperature the</w:t>
      </w:r>
      <w:r>
        <w:t xml:space="preserve"> </w:t>
      </w:r>
      <w:r>
        <w:t xml:space="preserve">converged auxiliary matrix’s narrow Gaussian width never samples the anharmonic double well, so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include_v4=False</w:t>
      </w:r>
      <w:r>
        <w:t xml:space="preserve"> </w:t>
      </w:r>
      <w:r>
        <w:t xml:space="preserve">free-energy Hessian merely reproduces the positive auxiliary curvature</w:t>
      </w:r>
      <w:r>
        <w:t xml:space="preserve"> </w:t>
      </w:r>
      <w:r>
        <w:t xml:space="preserve">→ false-stable. The fourth-order term is the only route that could recover the instability but is</w:t>
      </w:r>
      <w:r>
        <w:t xml:space="preserve"> </w:t>
      </w:r>
      <w:r>
        <w:t xml:space="preserve">not viable at grid scale (≈tens of hours per unit) and is numerically stable only in float64.</w:t>
      </w:r>
    </w:p>
    <w:bookmarkEnd w:id="12"/>
    <w:bookmarkStart w:id="13" w:name="s2.3-reliability-by-family-complete-grid"/>
    <w:p>
      <w:pPr>
        <w:pStyle w:val="Heading3"/>
      </w:pPr>
      <w:r>
        <w:t xml:space="preserve">S2.3 Reliability by family (complete grid)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numerical blow-ups (|f|&gt;50 THz)</w:t>
            </w:r>
          </w:p>
        </w:tc>
        <w:tc>
          <w:tcPr/>
          <w:p>
            <w:pPr>
              <w:pStyle w:val="Compact"/>
            </w:pPr>
            <w:r>
              <w:t xml:space="preserve">min freq (THz)</w:t>
            </w:r>
          </w:p>
        </w:tc>
        <w:tc>
          <w:tcPr/>
          <w:p>
            <w:pPr>
              <w:pStyle w:val="Compact"/>
            </w:pPr>
            <w:r>
              <w:t xml:space="preserve">max freq (THz)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bcc (Ti/Zr/Hf)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2.12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fluorite (ZrO₂/HfO₂)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−10.24</w:t>
            </w:r>
          </w:p>
        </w:tc>
        <w:tc>
          <w:tcPr/>
          <w:p>
            <w:pPr>
              <w:pStyle w:val="Compact"/>
            </w:pPr>
            <w:r>
              <w:t xml:space="preserve">3.33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perovskite (oxide + halide)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−2.0×10⁶</w:t>
            </w:r>
          </w:p>
        </w:tc>
        <w:tc>
          <w:tcPr/>
          <w:p>
            <w:pPr>
              <w:pStyle w:val="Compact"/>
            </w:pPr>
            <w:r>
              <w:t xml:space="preserve">3.17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analysis.sscha_reliability(df)</w:t>
      </w:r>
      <w:r>
        <w:t xml:space="preserve">. bcc is the clean gold standard. The six numerical blow-ups are</w:t>
      </w:r>
      <w:r>
        <w:t xml:space="preserve"> </w:t>
      </w:r>
      <w:r>
        <w:t xml:space="preserve">all in the perovskite family and concentrated in the float32 ORB-v2 runs on the deepest FE wells.</w:t>
      </w:r>
      <w:r>
        <w:t xml:space="preserve"> </w:t>
      </w:r>
      <w:r>
        <w:t xml:space="preserve">Cubic fluorites are numerically clean (no blow-ups) but are nonetheless</w:t>
      </w:r>
      <w:r>
        <w:t xml:space="preserve"> </w:t>
      </w:r>
      <w:r>
        <w:rPr>
          <w:b/>
          <w:bCs/>
        </w:rPr>
        <w:t xml:space="preserve">false-stabilised at low</w:t>
      </w:r>
      <w:r>
        <w:rPr>
          <w:b/>
          <w:bCs/>
        </w:rPr>
        <w:t xml:space="preserve"> </w:t>
      </w:r>
      <w:r>
        <w:rPr>
          <w:b/>
          <w:bCs/>
        </w:rPr>
        <w:t xml:space="preserve">T</w:t>
      </w:r>
      <w:r>
        <w:t xml:space="preserve"> </w:t>
      </w:r>
      <w:r>
        <w:t xml:space="preserve">by the §S2.2 mechanism: ZrO₂ and HfO₂ both read ≈ +2 to +3 THz at 100 K (cubic is the</w:t>
      </w:r>
      <w:r>
        <w:t xml:space="preserve"> </w:t>
      </w:r>
      <w:r>
        <w:t xml:space="preserve">&gt;2600 K phase, so the correct call is unstable, as the soft-mode screen reports at ≈ −7 THz), and</w:t>
      </w:r>
      <w:r>
        <w:t xml:space="preserve"> </w:t>
      </w:r>
      <w:r>
        <w:t xml:space="preserve">both then</w:t>
      </w:r>
      <w:r>
        <w:t xml:space="preserve"> </w:t>
      </w:r>
      <w:r>
        <w:rPr>
          <w:i/>
          <w:iCs/>
        </w:rPr>
        <w:t xml:space="preserve">destabilise</w:t>
      </w:r>
      <w:r>
        <w:t xml:space="preserve"> </w:t>
      </w:r>
      <w:r>
        <w:t xml:space="preserve">with temperature (the wrong trend) as the wider high-T Gaussian finally</w:t>
      </w:r>
      <w:r>
        <w:t xml:space="preserve"> </w:t>
      </w:r>
      <w:r>
        <w:t xml:space="preserve">samples the instability. That a numerically well-behaved, shallower instability fails the same</w:t>
      </w:r>
      <w:r>
        <w:t xml:space="preserve"> </w:t>
      </w:r>
      <w:r>
        <w:t xml:space="preserve">way confirms the failure is methodological, not a numerical artifact of the deep perovskite wells.</w:t>
      </w:r>
    </w:p>
    <w:bookmarkEnd w:id="13"/>
    <w:bookmarkStart w:id="14" w:name="X8c248ee2250149a8a77187ded94f2797a3641c8"/>
    <w:p>
      <w:pPr>
        <w:pStyle w:val="Heading3"/>
      </w:pPr>
      <w:r>
        <w:t xml:space="preserve">S2.4 Stochastic reproducibility and finite-size convergence</w:t>
      </w:r>
    </w:p>
    <w:p>
      <w:pPr>
        <w:pStyle w:val="FirstParagraph"/>
      </w:pPr>
      <w:r>
        <w:rPr>
          <w:rStyle w:val="VerbatimChar"/>
        </w:rPr>
        <w:t xml:space="preserve">scripts/sscha_repro.py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scripts/run_revision_compute.sh</w:t>
      </w:r>
      <w:r>
        <w:t xml:space="preserve">; finite-size runs in</w:t>
      </w:r>
      <w:r>
        <w:t xml:space="preserve"> </w:t>
      </w:r>
      <w:r>
        <w:rPr>
          <w:rStyle w:val="VerbatimChar"/>
        </w:rPr>
        <w:t xml:space="preserve">results/convergence_study.parquet</w:t>
      </w:r>
      <w:r>
        <w:t xml:space="preserve"> </w:t>
      </w:r>
      <w:r>
        <w:t xml:space="preserve">(the per-seed reproducibility frequencies print to the run</w:t>
      </w:r>
      <w:r>
        <w:t xml:space="preserve"> </w:t>
      </w:r>
      <w:r>
        <w:t xml:space="preserve">log rather than to a ledger).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bcc-Zr / MACE-MP-0 / 100 K SSCHA over 4 seeds: +1.798 ± 0.001 THz — the</w:t>
      </w:r>
      <w:r>
        <w:t xml:space="preserve"> </w:t>
      </w:r>
      <w:r>
        <w:t xml:space="preserve">cross-model bcc margins (~0.4 THz) exceed the stochastic noise by ~400×.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Finite size.</w:t>
      </w:r>
      <w:r>
        <w:t xml:space="preserve"> </w:t>
      </w:r>
      <w:r>
        <w:t xml:space="preserve">bcc-Zr stability call holds 2×2×2 → 3×3×3 (SSCHA +1.80 → +1.56 THz</w:t>
      </w:r>
      <w:r>
        <w:t xml:space="preserve"> </w:t>
      </w:r>
      <w:r>
        <w:t xml:space="preserve">@100</w:t>
      </w:r>
      <w:r>
        <w:t xml:space="preserve"> </w:t>
      </w:r>
      <w:r>
        <w:t xml:space="preserve">K;</w:t>
      </w:r>
      <w:r>
        <w:t xml:space="preserve"> </w:t>
      </w:r>
      <w:r>
        <w:t xml:space="preserve">screen +0.92 → +1.58 THz). BaTiO₃ Γ-mode screen call holds (−8.5 → −7.3 THz). SrTiO₃’s R-point</w:t>
      </w:r>
      <w:r>
        <w:t xml:space="preserve"> </w:t>
      </w:r>
      <w:r>
        <w:t xml:space="preserve">(½,½,½) instability is commensurate only with even cells, so the 2×2×2↔3×3×3 test is invalid for</w:t>
      </w:r>
      <w:r>
        <w:t xml:space="preserve"> </w:t>
      </w:r>
      <w:r>
        <w:t xml:space="preserve">it (a 4×4×4 / ~320-atom SSCHA test is future work); the §3.3 false-stable is independent of this</w:t>
      </w:r>
      <w:r>
        <w:t xml:space="preserve"> </w:t>
      </w:r>
      <w:r>
        <w:t xml:space="preserve">because it occurs for the always-present Γ mode of BaTiO₃.</w:t>
      </w:r>
    </w:p>
    <w:bookmarkEnd w:id="14"/>
    <w:bookmarkEnd w:id="15"/>
    <w:bookmarkStart w:id="16" w:name="s3.-supplementary-tables"/>
    <w:p>
      <w:pPr>
        <w:pStyle w:val="Heading2"/>
      </w:pPr>
      <w:r>
        <w:t xml:space="preserve">S3. Supplementary tables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Table S1</w:t>
      </w:r>
      <w:r>
        <w:t xml:space="preserve"> </w:t>
      </w:r>
      <w:r>
        <w:t xml:space="preserve">— full per-model harmonic confusion matrices (all 19 scored systems).</w:t>
      </w:r>
      <w:r>
        <w:t xml:space="preserve"> </w:t>
      </w:r>
      <w:r>
        <w:rPr>
          <w:rStyle w:val="VerbatimChar"/>
        </w:rPr>
        <w:t xml:space="preserve">analysis.per_model_table(df, "harmonic")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Table S2</w:t>
      </w:r>
      <w:r>
        <w:t xml:space="preserve"> </w:t>
      </w:r>
      <w:r>
        <w:t xml:space="preserve">— per-model finite-T (softmode) false-stable rates over the full T-ladder, with</w:t>
      </w:r>
      <w:r>
        <w:t xml:space="preserve"> </w:t>
      </w:r>
      <w:r>
        <w:t xml:space="preserve">and without bcc.</w:t>
      </w:r>
      <w:r>
        <w:t xml:space="preserve"> </w:t>
      </w:r>
      <w:r>
        <w:rPr>
          <w:rStyle w:val="VerbatimChar"/>
        </w:rPr>
        <w:t xml:space="preserve">analysis.low_t_false_stable(df, exclude_bcc=...)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Table S3</w:t>
      </w:r>
      <w:r>
        <w:t xml:space="preserve"> </w:t>
      </w:r>
      <w:r>
        <w:t xml:space="preserve">— per-(system, model) predicted stabilisation temperature T* vs experimental</w:t>
      </w:r>
      <w:r>
        <w:t xml:space="preserve"> </w:t>
      </w:r>
      <w:r>
        <w:t xml:space="preserve">transition temperature.</w:t>
      </w:r>
      <w:r>
        <w:t xml:space="preserve"> </w:t>
      </w:r>
      <w:r>
        <w:rPr>
          <w:rStyle w:val="VerbatimChar"/>
        </w:rPr>
        <w:t xml:space="preserve">analysis.predicted_tstar(df)</w:t>
      </w:r>
      <w:r>
        <w:t xml:space="preserve">. Note: the screen</w:t>
      </w:r>
      <w:r>
        <w:t xml:space="preserve"> </w:t>
      </w:r>
      <w:r>
        <w:t xml:space="preserve">systematically</w:t>
      </w:r>
      <w:r>
        <w:t xml:space="preserve"> </w:t>
      </w:r>
      <w:r>
        <w:rPr>
          <w:i/>
          <w:iCs/>
        </w:rPr>
        <w:t xml:space="preserve">under</w:t>
      </w:r>
      <w:r>
        <w:t xml:space="preserve">-estimates the absolute T* for entropy-stabilised bcc, and it fails to</w:t>
      </w:r>
      <w:r>
        <w:t xml:space="preserve"> </w:t>
      </w:r>
      <w:r>
        <w:t xml:space="preserve">order PbTiO₃ against the other perovskite anchors (§3.2), so T* is reported as a diagnostic</w:t>
      </w:r>
      <w:r>
        <w:t xml:space="preserve"> </w:t>
      </w:r>
      <w:r>
        <w:t xml:space="preserve">rather than a quantitative or ordinal T_c prediction.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Table S4</w:t>
      </w:r>
      <w:r>
        <w:t xml:space="preserve"> </w:t>
      </w:r>
      <w:r>
        <w:t xml:space="preserve">— per-(system, T) ensemble-disagreement guardrail table (H3).</w:t>
      </w:r>
      <w:r>
        <w:t xml:space="preserve"> </w:t>
      </w:r>
      <w:r>
        <w:rPr>
          <w:rStyle w:val="VerbatimChar"/>
        </w:rPr>
        <w:t xml:space="preserve">analysis.h3_ensemble_guardrail(df, "softmode")</w:t>
      </w:r>
      <w:r>
        <w:t xml:space="preserve">.</w:t>
      </w:r>
    </w:p>
    <w:bookmarkEnd w:id="16"/>
    <w:bookmarkStart w:id="17" w:name="Xc4a57a0b8252d0d384cab93d53f931eb41635d2"/>
    <w:p>
      <w:pPr>
        <w:pStyle w:val="Heading2"/>
      </w:pPr>
      <w:r>
        <w:t xml:space="preserve">S4. Threats to validity (pre-registered, with outcomes)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Finite-displacement noise near Γ</w:t>
      </w:r>
      <w:r>
        <w:t xml:space="preserve"> </w:t>
      </w:r>
      <w:r>
        <w:t xml:space="preserve">→ acoustic-sum-rule handling + swept imaginary tolerance</w:t>
      </w:r>
      <w:r>
        <w:t xml:space="preserve"> </w:t>
      </w:r>
      <w:r>
        <w:t xml:space="preserve">(default −0.1 THz).</w:t>
      </w:r>
      <w:r>
        <w:t xml:space="preserve"> </w:t>
      </w:r>
      <w:r>
        <w:rPr>
          <w:i/>
          <w:iCs/>
        </w:rPr>
        <w:t xml:space="preserve">Outcome: stability calls are robust to the tolerance for all but the</w:t>
      </w:r>
      <w:r>
        <w:rPr>
          <w:i/>
          <w:iCs/>
        </w:rPr>
        <w:t xml:space="preserve"> </w:t>
      </w:r>
      <w:r>
        <w:rPr>
          <w:i/>
          <w:iCs/>
        </w:rPr>
        <w:t xml:space="preserve">borderline KTaO₃.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Single-mode vs multi-mode</w:t>
      </w:r>
      <w:r>
        <w:t xml:space="preserve"> </w:t>
      </w:r>
      <w:r>
        <w:t xml:space="preserve">→ SSCHA cross-check.</w:t>
      </w:r>
      <w:r>
        <w:t xml:space="preserve"> </w:t>
      </w:r>
      <w:r>
        <w:rPr>
          <w:i/>
          <w:iCs/>
        </w:rPr>
        <w:t xml:space="preserve">Outcome: agreement on bcc (ρ=0.78);</w:t>
      </w:r>
      <w:r>
        <w:rPr>
          <w:i/>
          <w:iCs/>
        </w:rPr>
        <w:t xml:space="preserve"> </w:t>
      </w:r>
      <w:r>
        <w:rPr>
          <w:i/>
          <w:iCs/>
        </w:rPr>
        <w:t xml:space="preserve">divergence on perovskites traced to an SSCHA failure mode, not a screen failure (§3.3).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MLIP relaxation moving off the soft-mode geometry</w:t>
      </w:r>
      <w:r>
        <w:t xml:space="preserve"> </w:t>
      </w:r>
      <w:r>
        <w:t xml:space="preserve">→ both at-reference and at-relaxed</w:t>
      </w:r>
      <w:r>
        <w:t xml:space="preserve"> </w:t>
      </w:r>
      <w:r>
        <w:t xml:space="preserve">geometries recorded; relaxation hiding an instability is itself reported.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Supercell / cell-size convergence</w:t>
      </w:r>
      <w:r>
        <w:t xml:space="preserve"> </w:t>
      </w:r>
      <w:r>
        <w:t xml:space="preserve">→ SSCHA at 2×2×2 (finite size); cross-model comparison at</w:t>
      </w:r>
      <w:r>
        <w:t xml:space="preserve"> </w:t>
      </w:r>
      <w:r>
        <w:t xml:space="preserve">fixed cell is valid, absolute T_dyn approximate.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Ground-truth uncertainty</w:t>
      </w:r>
      <w:r>
        <w:t xml:space="preserve"> </w:t>
      </w:r>
      <w:r>
        <w:t xml:space="preserve">→ transition temperatures approximate; scoring qualitative</w:t>
      </w:r>
      <w:r>
        <w:t xml:space="preserve"> </w:t>
      </w:r>
      <w:r>
        <w:t xml:space="preserve">(correct side of the transition).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2026-08-17T00:23:38Z</dcterms:created>
  <dcterms:modified xsi:type="dcterms:W3CDTF">2026-08-17T00:23:38Z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