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-availability-statement"/>
    <w:p>
      <w:pPr>
        <w:pStyle w:val="Heading1"/>
      </w:pPr>
      <w:r>
        <w:t xml:space="preserve">Data Availability Statement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Neither harmonic benchmarks nor a default SSCHA cross-check certifies a foundation machine-learning interatomic potential for finite-temperature dynamic stability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Frank Cai, Purdue University</w:t>
      </w:r>
    </w:p>
    <w:p>
      <w:pPr>
        <w:pStyle w:val="BodyText"/>
      </w:pPr>
      <w:r>
        <w:t xml:space="preserve">The code supporting this article, together with the per-unit results ledger, is openly available</w:t>
      </w:r>
      <w:r>
        <w:t xml:space="preserve"> </w:t>
      </w:r>
      <w:r>
        <w:t xml:space="preserve">in the repository at https://github.com/fronkt/mlip-dynamic-stability. The version that produced</w:t>
      </w:r>
      <w:r>
        <w:t xml:space="preserve"> </w:t>
      </w:r>
      <w:r>
        <w:t xml:space="preserve">the numbers in this article is release v2.1.0 (commit 0343264) on the repository’s default branch,</w:t>
      </w:r>
      <w:r>
        <w:t xml:space="preserve"> </w:t>
      </w:r>
      <w:r>
        <w:t xml:space="preserve">archived at Zenodo as https://doi.org/10.5281/zenodo.23286095, a version under the concept DOI</w:t>
      </w:r>
      <w:r>
        <w:t xml:space="preserve"> </w:t>
      </w:r>
      <w:r>
        <w:t xml:space="preserve">https://doi.org/10.5281/zenodo.20805799, which resolves to the latest version.</w:t>
      </w:r>
    </w:p>
    <w:p>
      <w:pPr>
        <w:pStyle w:val="BodyText"/>
      </w:pPr>
      <w:r>
        <w:t xml:space="preserve">All production results regenerate from</w:t>
      </w:r>
      <w:r>
        <w:t xml:space="preserve"> </w:t>
      </w:r>
      <w:r>
        <w:rPr>
          <w:rStyle w:val="VerbatimChar"/>
        </w:rPr>
        <w:t xml:space="preserve">results/ledger.parquet</w:t>
      </w:r>
      <w:r>
        <w:t xml:space="preserve"> </w:t>
      </w:r>
      <w:r>
        <w:t xml:space="preserve">(per-unit hashed, append-only,</w:t>
      </w:r>
      <w:r>
        <w:t xml:space="preserve"> </w:t>
      </w:r>
      <w:r>
        <w:t xml:space="preserve">resumable) through</w:t>
      </w:r>
      <w:r>
        <w:t xml:space="preserve"> </w:t>
      </w:r>
      <w:r>
        <w:rPr>
          <w:rStyle w:val="VerbatimChar"/>
        </w:rPr>
        <w:t xml:space="preserve">mlip_dynstab.analysis.canonical</w:t>
      </w:r>
      <w:r>
        <w:t xml:space="preserve">, which selects the current generation of each</w:t>
      </w:r>
      <w:r>
        <w:t xml:space="preserve"> </w:t>
      </w:r>
      <w:r>
        <w:t xml:space="preserve">layer; every figure and statistic in this article is computed through it. Figures are made by</w:t>
      </w:r>
      <w:r>
        <w:t xml:space="preserve"> </w:t>
      </w:r>
      <w:r>
        <w:rPr>
          <w:rStyle w:val="VerbatimChar"/>
        </w:rPr>
        <w:t xml:space="preserve">scripts/make_figures.py</w:t>
      </w:r>
      <w:r>
        <w:t xml:space="preserve"> </w:t>
      </w:r>
      <w:r>
        <w:t xml:space="preserve">and the analysis is in</w:t>
      </w:r>
      <w:r>
        <w:t xml:space="preserve"> </w:t>
      </w:r>
      <w:r>
        <w:rPr>
          <w:rStyle w:val="VerbatimChar"/>
        </w:rPr>
        <w:t xml:space="preserve">mlip_dynstab/analysis.py</w:t>
      </w:r>
      <w:r>
        <w:t xml:space="preserve">. The Wilson intervals</w:t>
      </w:r>
      <w:r>
        <w:t xml:space="preserve"> </w:t>
      </w:r>
      <w:r>
        <w:t xml:space="preserve">and the system-clustered tests are in</w:t>
      </w:r>
      <w:r>
        <w:t xml:space="preserve"> </w:t>
      </w:r>
      <w:r>
        <w:rPr>
          <w:rStyle w:val="VerbatimChar"/>
        </w:rPr>
        <w:t xml:space="preserve">mlip_dynstab/stats.py</w:t>
      </w:r>
      <w:r>
        <w:t xml:space="preserve">, run by</w:t>
      </w:r>
      <w:r>
        <w:t xml:space="preserve"> </w:t>
      </w:r>
      <w:r>
        <w:rPr>
          <w:rStyle w:val="VerbatimChar"/>
        </w:rPr>
        <w:t xml:space="preserve">scripts/stats_hardening.py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results/stats_hardening.json</w:t>
      </w:r>
      <w:r>
        <w:t xml:space="preserve">. The ESI tables are generated from the ledger and that file by</w:t>
      </w:r>
      <w:r>
        <w:t xml:space="preserve"> </w:t>
      </w:r>
      <w:r>
        <w:rPr>
          <w:rStyle w:val="VerbatimChar"/>
        </w:rPr>
        <w:t xml:space="preserve">scripts/build_esi_tables.py</w:t>
      </w:r>
      <w:r>
        <w:t xml:space="preserve">, whose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option fails if the ESI on disk is out of date, and</w:t>
      </w:r>
      <w:r>
        <w:t xml:space="preserve"> </w:t>
      </w:r>
      <w:r>
        <w:rPr>
          <w:rStyle w:val="VerbatimChar"/>
        </w:rPr>
        <w:t xml:space="preserve">scripts/verify_claims.py</w:t>
      </w:r>
      <w:r>
        <w:t xml:space="preserve"> </w:t>
      </w:r>
      <w:r>
        <w:t xml:space="preserve">re-derives the headline numbers from the ledger. The sensitivity</w:t>
      </w:r>
      <w:r>
        <w:t xml:space="preserve"> </w:t>
      </w:r>
      <w:r>
        <w:t xml:space="preserve">analysis of the screen (ESI Table S14) re-solves the cached E(Q) maps with</w:t>
      </w:r>
      <w:r>
        <w:t xml:space="preserve"> </w:t>
      </w:r>
      <w:r>
        <w:rPr>
          <w:rStyle w:val="VerbatimChar"/>
        </w:rPr>
        <w:t xml:space="preserve">scripts/screen_sensitivity.py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results/screen_sensitivity.json</w:t>
      </w:r>
      <w:r>
        <w:t xml:space="preserve">, and the</w:t>
      </w:r>
      <w:r>
        <w:t xml:space="preserve"> </w:t>
      </w:r>
      <w:r>
        <w:t xml:space="preserve">displacement-amplitude sweep (ESI Table S13) is run by</w:t>
      </w:r>
      <w:r>
        <w:t xml:space="preserve"> </w:t>
      </w:r>
      <w:r>
        <w:rPr>
          <w:rStyle w:val="VerbatimChar"/>
        </w:rPr>
        <w:t xml:space="preserve">scripts/run_disp_sweep.py</w:t>
      </w:r>
      <w:r>
        <w:t xml:space="preserve">, with its rows</w:t>
      </w:r>
      <w:r>
        <w:t xml:space="preserve"> </w:t>
      </w:r>
      <w:r>
        <w:t xml:space="preserve">in the ledger. The stage-by-stage SSCHA diagnostic of ESI Table S2 is</w:t>
      </w:r>
      <w:r>
        <w:t xml:space="preserve"> </w:t>
      </w:r>
      <w:r>
        <w:rPr>
          <w:rStyle w:val="VerbatimChar"/>
        </w:rPr>
        <w:t xml:space="preserve">scripts/sscha_v4_diag.py</w:t>
      </w:r>
      <w:r>
        <w:t xml:space="preserve">.</w:t>
      </w:r>
      <w:r>
        <w:t xml:space="preserve"> </w:t>
      </w:r>
      <w:r>
        <w:t xml:space="preserve">The bcc-Zr seed study of Section 3.5 is</w:t>
      </w:r>
      <w:r>
        <w:t xml:space="preserve"> </w:t>
      </w:r>
      <w:r>
        <w:rPr>
          <w:rStyle w:val="VerbatimChar"/>
        </w:rPr>
        <w:t xml:space="preserve">scripts/sscha_repro.py</w:t>
      </w:r>
      <w:r>
        <w:t xml:space="preserve">; its per-seed frequencies were printed to</w:t>
      </w:r>
      <w:r>
        <w:t xml:space="preserve"> </w:t>
      </w:r>
      <w:r>
        <w:t xml:space="preserve">the run log and are not deposited. The finite-size rows are in</w:t>
      </w:r>
      <w:r>
        <w:t xml:space="preserve"> </w:t>
      </w:r>
      <w:r>
        <w:rPr>
          <w:rStyle w:val="VerbatimChar"/>
        </w:rPr>
        <w:t xml:space="preserve">results/convergence_study.parquet</w:t>
      </w:r>
      <w:r>
        <w:t xml:space="preserve">,</w:t>
      </w:r>
      <w:r>
        <w:t xml:space="preserve"> </w:t>
      </w:r>
      <w:r>
        <w:t xml:space="preserve">whose SSCHA rows are the superseded v1 generation (Section 3.5). The SSCHA seed study with convergence</w:t>
      </w:r>
      <w:r>
        <w:t xml:space="preserve"> </w:t>
      </w:r>
      <w:r>
        <w:t xml:space="preserve">diagnostics, the 3×3×3 bcc-Zr re-measurement and the converged-recipe grid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scripts/sscha_seed_study.py</w:t>
      </w:r>
      <w:r>
        <w:t xml:space="preserve">; the grid is compared with the production values by</w:t>
      </w:r>
      <w:r>
        <w:t xml:space="preserve"> </w:t>
      </w:r>
      <w:r>
        <w:rPr>
          <w:rStyle w:val="VerbatimChar"/>
        </w:rPr>
        <w:t xml:space="preserve">scripts/grid_compare.py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results/revision/grid_compare.json</w:t>
      </w:r>
      <w:r>
        <w:t xml:space="preserve">), the force-level ensemble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scripts/force_spread.py</w:t>
      </w:r>
      <w:r>
        <w:t xml:space="preserve">), the first-principles reference calculations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scripts/dft_reference.py</w:t>
      </w:r>
      <w:r>
        <w:t xml:space="preserve">) and their convergence, functional and lattice 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scripts/dft_checks.py</w:t>
      </w:r>
      <w:r>
        <w:t xml:space="preserve">) write their outputs under</w:t>
      </w:r>
      <w:r>
        <w:t xml:space="preserve"> </w:t>
      </w:r>
      <w:r>
        <w:rPr>
          <w:rStyle w:val="VerbatimChar"/>
        </w:rPr>
        <w:t xml:space="preserve">results/revision/</w:t>
      </w:r>
      <w:r>
        <w:t xml:space="preserve">. The identity between</w:t>
      </w:r>
      <w:r>
        <w:t xml:space="preserve"> </w:t>
      </w:r>
      <w:r>
        <w:t xml:space="preserve">the screen’s symmetric-point curvature and its trial stiffness, and the origin of every negative</w:t>
      </w:r>
      <w:r>
        <w:t xml:space="preserve"> </w:t>
      </w:r>
      <w:r>
        <w:t xml:space="preserve">value of that observable, are checked by</w:t>
      </w:r>
      <w:r>
        <w:t xml:space="preserve"> </w:t>
      </w:r>
      <w:r>
        <w:rPr>
          <w:rStyle w:val="VerbatimChar"/>
        </w:rPr>
        <w:t xml:space="preserve">scripts/curvature_identity_check.py</w:t>
      </w:r>
      <w:r>
        <w:t xml:space="preserve"> </w:t>
      </w:r>
      <w:r>
        <w:t xml:space="preserve">(into</w:t>
      </w:r>
      <w:r>
        <w:t xml:space="preserve"> </w:t>
      </w:r>
      <w:r>
        <w:rPr>
          <w:rStyle w:val="VerbatimChar"/>
        </w:rPr>
        <w:t xml:space="preserve">results/curvature_identity_check.json</w:t>
      </w:r>
      <w:r>
        <w:t xml:space="preserve">), and the H2 count under each frozen-cell convention by</w:t>
      </w:r>
      <w:r>
        <w:t xml:space="preserve"> </w:t>
      </w:r>
      <w:r>
        <w:rPr>
          <w:rStyle w:val="VerbatimChar"/>
        </w:rPr>
        <w:t xml:space="preserve">scripts/h2_by_convention.py</w:t>
      </w:r>
      <w:r>
        <w:t xml:space="preserve"> </w:t>
      </w:r>
      <w:r>
        <w:t xml:space="preserve">(into</w:t>
      </w:r>
      <w:r>
        <w:t xml:space="preserve"> </w:t>
      </w:r>
      <w:r>
        <w:rPr>
          <w:rStyle w:val="VerbatimChar"/>
        </w:rPr>
        <w:t xml:space="preserve">results/h2_by_convention.json</w:t>
      </w:r>
      <w:r>
        <w:t xml:space="preserve">); both re-solve the cached</w:t>
      </w:r>
      <w:r>
        <w:t xml:space="preserve"> </w:t>
      </w:r>
      <w:r>
        <w:t xml:space="preserve">maps and need no GPU. The pre-registered fine-tuning trial (</w:t>
      </w:r>
      <w:r>
        <w:rPr>
          <w:rStyle w:val="VerbatimChar"/>
        </w:rPr>
        <w:t xml:space="preserve">scripts/finetune_trial.py</w:t>
      </w:r>
      <w:r>
        <w:t xml:space="preserve">), the replicates</w:t>
      </w:r>
      <w:r>
        <w:t xml:space="preserve"> </w:t>
      </w:r>
      <w:r>
        <w:t xml:space="preserve">of the converged grid and the 4×4×4 attempt (runners in</w:t>
      </w:r>
      <w:r>
        <w:t xml:space="preserve"> </w:t>
      </w:r>
      <w:r>
        <w:rPr>
          <w:rStyle w:val="VerbatimChar"/>
        </w:rPr>
        <w:t xml:space="preserve">scripts/box/as_run/</w:t>
      </w:r>
      <w:r>
        <w:t xml:space="preserve">) also write under</w:t>
      </w:r>
      <w:r>
        <w:t xml:space="preserve"> </w:t>
      </w:r>
      <w:r>
        <w:rPr>
          <w:rStyle w:val="VerbatimChar"/>
        </w:rPr>
        <w:t xml:space="preserve">results/revision/</w:t>
      </w:r>
      <w:r>
        <w:t xml:space="preserve">, and their pre-registrations are in</w:t>
      </w:r>
      <w:r>
        <w:t xml:space="preserve"> </w:t>
      </w:r>
      <w:r>
        <w:rPr>
          <w:rStyle w:val="VerbatimChar"/>
        </w:rPr>
        <w:t xml:space="preserve">tasks/</w:t>
      </w:r>
      <w:r>
        <w:t xml:space="preserve">.</w:t>
      </w:r>
    </w:p>
    <w:p>
      <w:pPr>
        <w:pStyle w:val="BodyText"/>
      </w:pPr>
      <w:r>
        <w:t xml:space="preserve">The ledger is append-only and keeps each superseded generation beside the current one, so every</w:t>
      </w:r>
      <w:r>
        <w:t xml:space="preserve"> </w:t>
      </w:r>
      <w:r>
        <w:t xml:space="preserve">correction is auditable. The screen results reported here are the multi-mode grid of Section 2.4</w:t>
      </w:r>
      <w:r>
        <w:t xml:space="preserve"> </w:t>
      </w:r>
      <w:r>
        <w:t xml:space="preserve">(5 models × 20 systems × 4 temperatures = 400 units, method version 4). The first screen</w:t>
      </w:r>
      <w:r>
        <w:t xml:space="preserve"> </w:t>
      </w:r>
      <w:r>
        <w:t xml:space="preserve">generation in the ledger, a single-mode one, had two defects. Its Γ-point acoustic mask removed</w:t>
      </w:r>
      <w:r>
        <w:t xml:space="preserve"> </w:t>
      </w:r>
      <w:r>
        <w:t xml:space="preserve">the three lowest branches rather than the three nearest zero, which for an unstable phase deletes</w:t>
      </w:r>
      <w:r>
        <w:t xml:space="preserve"> </w:t>
      </w:r>
      <w:r>
        <w:t xml:space="preserve">the ferroelectric soft mode, and it was computed with a</w:t>
      </w:r>
      <w:r>
        <w:t xml:space="preserve"> </w:t>
      </w:r>
      <w:r>
        <w:rPr>
          <w:b/>
          <w:bCs/>
        </w:rPr>
        <w:t xml:space="preserve">q</w:t>
      </w:r>
      <w:r>
        <w:t xml:space="preserve">-point search that had been replaced</w:t>
      </w:r>
      <w:r>
        <w:t xml:space="preserve"> </w:t>
      </w:r>
      <w:r>
        <w:t xml:space="preserve">in the code, because the unit hash did not carry the algorithm version and the stale units were</w:t>
      </w:r>
      <w:r>
        <w:t xml:space="preserve"> </w:t>
      </w:r>
      <w:r>
        <w:t xml:space="preserve">skipped as already present. The unit hash now includes the method version and the mode cap, so a</w:t>
      </w:r>
      <w:r>
        <w:t xml:space="preserve"> </w:t>
      </w:r>
      <w:r>
        <w:t xml:space="preserve">re-run under a changed algorithm records new rows rather than reusing old ones. The SSCHA results</w:t>
      </w:r>
      <w:r>
        <w:t xml:space="preserve"> </w:t>
      </w:r>
      <w:r>
        <w:t xml:space="preserve">are a full re-measurement (</w:t>
      </w:r>
      <w:r>
        <w:rPr>
          <w:rStyle w:val="VerbatimChar"/>
        </w:rPr>
        <w:t xml:space="preserve">scripts/run_sscha_v2.py</w:t>
      </w:r>
      <w:r>
        <w:t xml:space="preserve">, method version 3) of the 208-unit grid in the</w:t>
      </w:r>
      <w:r>
        <w:t xml:space="preserve"> </w:t>
      </w:r>
      <w:r>
        <w:t xml:space="preserve">pinned environments. The first SSCHA generation took the three acoustic modes to be the lowest</w:t>
      </w:r>
      <w:r>
        <w:t xml:space="preserve"> </w:t>
      </w:r>
      <w:r>
        <w:t xml:space="preserve">frequencies rather than those smallest in magnitude, which discards the soft mode of an unstable</w:t>
      </w:r>
      <w:r>
        <w:t xml:space="preserve"> </w:t>
      </w:r>
      <w:r>
        <w:t xml:space="preserve">phase, and was computed in an unrecorded software environment. It is retained together with the</w:t>
      </w:r>
      <w:r>
        <w:t xml:space="preserve"> </w:t>
      </w:r>
      <w:r>
        <w:t xml:space="preserve">in-place derived correction (</w:t>
      </w:r>
      <w:r>
        <w:rPr>
          <w:rStyle w:val="VerbatimChar"/>
        </w:rPr>
        <w:t xml:space="preserve">scripts/fix_sscha_acoustic.py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*_v1</w:t>
      </w:r>
      <w:r>
        <w:t xml:space="preserve"> </w:t>
      </w:r>
      <w:r>
        <w:t xml:space="preserve">columns) and the uncorrected</w:t>
      </w:r>
      <w:r>
        <w:t xml:space="preserve"> </w:t>
      </w:r>
      <w:r>
        <w:t xml:space="preserve">snapshot (</w:t>
      </w:r>
      <w:r>
        <w:rPr>
          <w:rStyle w:val="VerbatimChar"/>
        </w:rPr>
        <w:t xml:space="preserve">results/ledger.parquet.pre-d1-fix</w:t>
      </w:r>
      <w:r>
        <w:t xml:space="preserve">). The harmonic layer was likewise re-measured in the</w:t>
      </w:r>
      <w:r>
        <w:t xml:space="preserve"> </w:t>
      </w:r>
      <w:r>
        <w:t xml:space="preserve">pinned environments, and its first generation is kept as the replicate of ESI Section S1.2. Each model was</w:t>
      </w:r>
      <w:r>
        <w:t xml:space="preserve"> </w:t>
      </w:r>
      <w:r>
        <w:t xml:space="preserve">run in its own pinned environment, with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 </w:t>
      </w:r>
      <w:r>
        <w:t xml:space="preserve">manifests deposited as</w:t>
      </w:r>
      <w:r>
        <w:t xml:space="preserve"> </w:t>
      </w:r>
      <w:r>
        <w:rPr>
          <w:rStyle w:val="VerbatimChar"/>
        </w:rPr>
        <w:t xml:space="preserve">envs/lock-&lt;model&gt;-2026-08-16.txt</w:t>
      </w:r>
      <w:r>
        <w:t xml:space="preserve">. The cached E(Q) maps of the current screen generation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results/cache/softmode_v3m24_*.json</w:t>
      </w:r>
      <w:r>
        <w:t xml:space="preserve">, one per system and model) are included, so the</w:t>
      </w:r>
      <w:r>
        <w:t xml:space="preserve"> </w:t>
      </w:r>
      <w:r>
        <w:t xml:space="preserve">temperature solves and the sensitivity analysis regenerate without a GPU.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2026-10-10T17:53:44Z</dcterms:created>
  <dcterms:modified xsi:type="dcterms:W3CDTF">2026-10-10T17:53:44Z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