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Neither harmonic benchmarks nor a default SSCHA cross-check certifies a foundation machine-learning interatomic potential for finite-temperature dynamic stability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Frank Cai, Purdue University</w:t>
      </w:r>
    </w:p>
    <w:p>
      <w:pPr>
        <w:pStyle w:val="BodyText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https://doi.org/10.5281/zenodo.20805799 (concept DOI, resolving to the latest version). The</w:t>
      </w:r>
      <w:r>
        <w:t xml:space="preserve"> </w:t>
      </w:r>
      <w:r>
        <w:t xml:space="preserve">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</w:t>
      </w:r>
      <w:r>
        <w:t xml:space="preserve"> </w:t>
      </w:r>
      <w:r>
        <w:t xml:space="preserve">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</w:t>
      </w:r>
      <w:r>
        <w:t xml:space="preserve"> </w:t>
      </w:r>
      <w:r>
        <w:t xml:space="preserve">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 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 print to the run log rather than to the</w:t>
      </w:r>
      <w:r>
        <w:t xml:space="preserve"> </w:t>
      </w:r>
      <w:r>
        <w:t xml:space="preserve">ledger). The SSCHA results reported here are a full re-measurement (</w:t>
      </w:r>
      <w:r>
        <w:rPr>
          <w:rStyle w:val="VerbatimChar"/>
        </w:rPr>
        <w:t xml:space="preserve">scripts/run_sscha_v2.py</w:t>
      </w:r>
      <w:r>
        <w:t xml:space="preserve">,</w:t>
      </w:r>
      <w:r>
        <w:t xml:space="preserve"> </w:t>
      </w:r>
      <w:r>
        <w:t xml:space="preserve">method version 3) of the original 208-unit grid in the pinned environments, after two defects were</w:t>
      </w:r>
      <w:r>
        <w:t xml:space="preserve"> </w:t>
      </w:r>
      <w:r>
        <w:t xml:space="preserve">found in the original analysis path: an acoustic-mode identification inversion (the three</w:t>
      </w:r>
      <w:r>
        <w:t xml:space="preserve"> </w:t>
      </w:r>
      <w:r>
        <w:t xml:space="preserve">translational modes were selected by lowest frequency rather than smallest magnitude, which for an</w:t>
      </w:r>
      <w:r>
        <w:t xml:space="preserve"> </w:t>
      </w:r>
      <w:r>
        <w:t xml:space="preserve">unstable phase discards the soft mode itself), and an unrecorded software environment. The</w:t>
      </w:r>
      <w:r>
        <w:t xml:space="preserve"> </w:t>
      </w:r>
      <w:r>
        <w:t xml:space="preserve">superseded generations are retained in the append-only ledger —</w:t>
      </w:r>
      <w:r>
        <w:t xml:space="preserve"> </w:t>
      </w:r>
      <w:r>
        <w:rPr>
          <w:rStyle w:val="VerbatimChar"/>
        </w:rPr>
        <w:t xml:space="preserve">mlip_dynstab.analysis.canonical</w:t>
      </w:r>
      <w:r>
        <w:t xml:space="preserve"> </w:t>
      </w:r>
      <w:r>
        <w:t xml:space="preserve">selects the current one — together with the in-place derived correction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scripts/fix_sscha_acoustic.py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*_v1</w:t>
      </w:r>
      <w:r>
        <w:t xml:space="preserve"> </w:t>
      </w:r>
      <w:r>
        <w:t xml:space="preserve">columns) and the uncorrected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results/ledger.parquet.pre-d1-fix</w:t>
      </w:r>
      <w:r>
        <w:t xml:space="preserve">), so every stage of the correction is auditable.</w:t>
      </w:r>
    </w:p>
    <w:p>
      <w:pPr>
        <w:pStyle w:val="BodyText"/>
      </w:pPr>
      <w:r>
        <w:t xml:space="preserve">The finite-temperature screen results reported here are the multi-mode grid described in §2.4</w:t>
      </w:r>
      <w:r>
        <w:t xml:space="preserve"> </w:t>
      </w:r>
      <w:r>
        <w:t xml:space="preserve">(5 models × 20 systems × 4 temperatures = 400 units). The ledger is append-only and also retains</w:t>
      </w:r>
      <w:r>
        <w:t xml:space="preserve"> </w:t>
      </w:r>
      <w:r>
        <w:t xml:space="preserve">the superseded single-mode rows;</w:t>
      </w:r>
      <w:r>
        <w:t xml:space="preserve"> </w:t>
      </w:r>
      <w:r>
        <w:rPr>
          <w:rStyle w:val="VerbatimChar"/>
        </w:rPr>
        <w:t xml:space="preserve">mlip_dynstab.analysis.canonical</w:t>
      </w:r>
      <w:r>
        <w:t xml:space="preserve"> </w:t>
      </w:r>
      <w:r>
        <w:t xml:space="preserve">selects the current generation,</w:t>
      </w:r>
      <w:r>
        <w:t xml:space="preserve"> </w:t>
      </w:r>
      <w:r>
        <w:t xml:space="preserve">and every figure and statistic in this article is computed through it. The unit hash includes the</w:t>
      </w:r>
      <w:r>
        <w:t xml:space="preserve"> </w:t>
      </w:r>
      <w:r>
        <w:t xml:space="preserve">method version and the mode cap, so a re-run under a changed algorithm records new rows rather than</w:t>
      </w:r>
      <w:r>
        <w:t xml:space="preserve"> </w:t>
      </w:r>
      <w:r>
        <w:t xml:space="preserve">silently reusing old ones. Each model was run in its own pinned environment, with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 </w:t>
      </w:r>
      <w:r>
        <w:t xml:space="preserve">manifests deposited as</w:t>
      </w:r>
      <w:r>
        <w:t xml:space="preserve"> </w:t>
      </w:r>
      <w:r>
        <w:rPr>
          <w:rStyle w:val="VerbatimChar"/>
        </w:rPr>
        <w:t xml:space="preserve">envs/lock-&lt;model&gt;-2026-08-16.txt</w:t>
      </w:r>
      <w:r>
        <w:t xml:space="preserve">; the 220 cached E(Q) maps are included so</w:t>
      </w:r>
      <w:r>
        <w:t xml:space="preserve"> </w:t>
      </w:r>
      <w:r>
        <w:t xml:space="preserve">the temperature solves regenerate without a GPU.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2026-09-27T05:17:55Z</dcterms:created>
  <dcterms:modified xsi:type="dcterms:W3CDTF">2026-09-27T05:17:55Z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