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data-availability-statement"/>
    <w:p>
      <w:pPr>
        <w:pStyle w:val="Heading1"/>
      </w:pPr>
      <w:r>
        <w:t xml:space="preserve">Data Availability Statement</w:t>
      </w:r>
    </w:p>
    <w:p>
      <w:pPr>
        <w:pStyle w:val="FirstParagraph"/>
      </w:pPr>
      <w:r>
        <w:rPr>
          <w:b/>
          <w:bCs/>
        </w:rPr>
        <w:t xml:space="preserve">Manuscript:</w:t>
      </w:r>
      <w:r>
        <w:t xml:space="preserve"> </w:t>
      </w:r>
      <w:r>
        <w:t xml:space="preserve">Finite-temperature dynamic stability separates foundation machine-learning interatomic potentials that harmonic benchmarks rank equally</w:t>
      </w:r>
      <w:r>
        <w:t xml:space="preserve"> </w:t>
      </w:r>
      <w:r>
        <w:rPr>
          <w:b/>
          <w:bCs/>
        </w:rPr>
        <w:t xml:space="preserve">Author:</w:t>
      </w:r>
      <w:r>
        <w:t xml:space="preserve"> </w:t>
      </w:r>
      <w:r>
        <w:t xml:space="preserve">Frank Cai, Purdue University</w:t>
      </w:r>
    </w:p>
    <w:p>
      <w:pPr>
        <w:pStyle w:val="BodyText"/>
      </w:pPr>
      <w:r>
        <w:t xml:space="preserve">The code supporting this article, together with the per-unit results ledger, is openly available</w:t>
      </w:r>
      <w:r>
        <w:t xml:space="preserve"> </w:t>
      </w:r>
      <w:r>
        <w:t xml:space="preserve">in the repository at https://github.com/fronkt/mlip-dynamic-stability and archived at Zenodo at</w:t>
      </w:r>
      <w:r>
        <w:t xml:space="preserve"> </w:t>
      </w:r>
      <w:r>
        <w:t xml:space="preserve">https://doi.org/10.5281/zenodo.20805799 (concept DOI, resolving to the latest version). The</w:t>
      </w:r>
      <w:r>
        <w:t xml:space="preserve"> </w:t>
      </w:r>
      <w:r>
        <w:t xml:space="preserve">production results regenerate from</w:t>
      </w:r>
      <w:r>
        <w:t xml:space="preserve"> </w:t>
      </w:r>
      <w:r>
        <w:rPr>
          <w:rStyle w:val="VerbatimChar"/>
        </w:rPr>
        <w:t xml:space="preserve">results/ledger.parquet</w:t>
      </w:r>
      <w:r>
        <w:t xml:space="preserve"> </w:t>
      </w:r>
      <w:r>
        <w:t xml:space="preserve">(per-unit hashed, resumable) and the</w:t>
      </w:r>
      <w:r>
        <w:t xml:space="preserve"> </w:t>
      </w:r>
      <w:r>
        <w:t xml:space="preserve">finite-size runs from</w:t>
      </w:r>
      <w:r>
        <w:t xml:space="preserve"> </w:t>
      </w:r>
      <w:r>
        <w:rPr>
          <w:rStyle w:val="VerbatimChar"/>
        </w:rPr>
        <w:t xml:space="preserve">results/convergence_study.parquet</w:t>
      </w:r>
      <w:r>
        <w:t xml:space="preserve">; figures via</w:t>
      </w:r>
      <w:r>
        <w:t xml:space="preserve"> </w:t>
      </w:r>
      <w:r>
        <w:rPr>
          <w:rStyle w:val="VerbatimChar"/>
        </w:rPr>
        <w:t xml:space="preserve">scripts/make_figures.py</w:t>
      </w:r>
      <w:r>
        <w:t xml:space="preserve">,</w:t>
      </w:r>
      <w:r>
        <w:t xml:space="preserve"> </w:t>
      </w:r>
      <w:r>
        <w:t xml:space="preserve">analysis in</w:t>
      </w:r>
      <w:r>
        <w:t xml:space="preserve"> </w:t>
      </w:r>
      <w:r>
        <w:rPr>
          <w:rStyle w:val="VerbatimChar"/>
        </w:rPr>
        <w:t xml:space="preserve">mlip_dynstab/analysis.py</w:t>
      </w:r>
      <w:r>
        <w:t xml:space="preserve">, the SSCHA root-cause diagnostic in</w:t>
      </w:r>
      <w:r>
        <w:t xml:space="preserve"> </w:t>
      </w:r>
      <w:r>
        <w:rPr>
          <w:rStyle w:val="VerbatimChar"/>
        </w:rPr>
        <w:t xml:space="preserve">scripts/sscha_v4_diag.py</w:t>
      </w:r>
      <w:r>
        <w:t xml:space="preserve">, and the stochastic-reproducibility study (§3.5) via</w:t>
      </w:r>
      <w:r>
        <w:t xml:space="preserve"> </w:t>
      </w:r>
      <w:r>
        <w:rPr>
          <w:rStyle w:val="VerbatimChar"/>
        </w:rPr>
        <w:t xml:space="preserve">scripts/sscha_repro.py</w:t>
      </w:r>
      <w:r>
        <w:t xml:space="preserve"> </w:t>
      </w:r>
      <w:r>
        <w:t xml:space="preserve">(its per-seed frequencies print to the run log rather than to the</w:t>
      </w:r>
      <w:r>
        <w:t xml:space="preserve"> </w:t>
      </w:r>
      <w:r>
        <w:t xml:space="preserve">ledger). The SSCHA results reported are a full re-measurement (</w:t>
      </w:r>
      <w:r>
        <w:rPr>
          <w:rStyle w:val="VerbatimChar"/>
        </w:rPr>
        <w:t xml:space="preserve">scripts/run_sscha_v2.py</w:t>
      </w:r>
      <w:r>
        <w:t xml:space="preserve">, method</w:t>
      </w:r>
      <w:r>
        <w:t xml:space="preserve"> </w:t>
      </w:r>
      <w:r>
        <w:t xml:space="preserve">version 3) of the original 208-unit grid in pinned environments (</w:t>
      </w:r>
      <w:r>
        <w:rPr>
          <w:rStyle w:val="VerbatimChar"/>
        </w:rPr>
        <w:t xml:space="preserve">envs/lock-*.txt</w:t>
      </w:r>
      <w:r>
        <w:t xml:space="preserve">); superseded</w:t>
      </w:r>
      <w:r>
        <w:t xml:space="preserve"> </w:t>
      </w:r>
      <w:r>
        <w:t xml:space="preserve">generations are retained in the append-only ledger, with</w:t>
      </w:r>
      <w:r>
        <w:t xml:space="preserve"> </w:t>
      </w:r>
      <w:r>
        <w:rPr>
          <w:rStyle w:val="VerbatimChar"/>
        </w:rPr>
        <w:t xml:space="preserve">mlip_dynstab.analysis.canonical</w:t>
      </w:r>
      <w:r>
        <w:t xml:space="preserve"> </w:t>
      </w:r>
      <w:r>
        <w:t xml:space="preserve">selecting the current one, so every stage of the correction is auditable. Every headline number in</w:t>
      </w:r>
      <w:r>
        <w:t xml:space="preserve"> </w:t>
      </w:r>
      <w:r>
        <w:t xml:space="preserve">the manuscript is asserted against the ledger by</w:t>
      </w:r>
      <w:r>
        <w:t xml:space="preserve"> </w:t>
      </w:r>
      <w:r>
        <w:rPr>
          <w:rStyle w:val="VerbatimChar"/>
        </w:rPr>
        <w:t xml:space="preserve">scripts/verify_claims.py</w:t>
      </w:r>
      <w:r>
        <w:t xml:space="preserve">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2026-08-17T13:50:43Z</dcterms:created>
  <dcterms:modified xsi:type="dcterms:W3CDTF">2026-08-17T13:50:43Z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