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Finite-temperature dynamic stability is a blind spot of foundation machine-learning interatomic potentials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Frank Cai, Purdue University</w:t>
      </w:r>
    </w:p>
    <w:p>
      <w:pPr>
        <w:pStyle w:val="BodyText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</w:t>
      </w:r>
      <w:r>
        <w:t xml:space="preserve"> </w:t>
      </w:r>
      <w:r>
        <w:t xml:space="preserve">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</w:t>
      </w:r>
      <w:r>
        <w:t xml:space="preserve"> </w:t>
      </w:r>
      <w:r>
        <w:t xml:space="preserve">print to the run log rather than to the ledger).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2026-07-08T04:39:36Z</dcterms:created>
  <dcterms:modified xsi:type="dcterms:W3CDTF">2026-07-08T04:39:36Z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