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2.png" ContentType="image/png"/>
  <Override PartName="/word/media/rId28.png" ContentType="image/png"/>
  <Override PartName="/word/media/rId20.png" ContentType="image/png"/>
  <Override PartName="/word/media/rId25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0ee5b06aaed82dff3ea33fa72d6d866bb3cc17"/>
    <w:p>
      <w:pPr>
        <w:pStyle w:val="Heading1"/>
      </w:pPr>
      <w:r>
        <w:t xml:space="preserve">Finite-temperature dynamic stability is a blind spot of foundation machine-learning interatomic potentials</w:t>
      </w:r>
    </w:p>
    <w:p>
      <w:pPr>
        <w:pStyle w:val="FirstParagraph"/>
      </w:pPr>
      <w:r>
        <w:t xml:space="preserve">Frank Cai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Purdue University, West Lafayette, Indiana, USA. E-mail: frankyc11223@gmail.com.</w:t>
      </w:r>
      <w:r>
        <w:t xml:space="preserve"> </w:t>
      </w:r>
      <w:r>
        <w:t xml:space="preserve">ORCID: 0009-0003-0041-1459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Foundation (universal) machine-learning interatomic potentials (MLIPs) are now used routinely as</w:t>
      </w:r>
      <w:r>
        <w:t xml:space="preserve"> </w:t>
      </w:r>
      <w:r>
        <w:t xml:space="preserve">cheap stand-ins for DFT in high-throughput stability screening, but they are benchmarked almost</w:t>
      </w:r>
      <w:r>
        <w:t xml:space="preserve"> </w:t>
      </w:r>
      <w:r>
        <w:t xml:space="preserve">exclusively against harmonic (0 K) phonons. Dynamic stability is physically a finite-temperature</w:t>
      </w:r>
      <w:r>
        <w:t xml:space="preserve"> </w:t>
      </w:r>
      <w:r>
        <w:t xml:space="preserve">property, and an important class of materials, including cubic perovskites, bcc refractory metals</w:t>
      </w:r>
      <w:r>
        <w:t xml:space="preserve"> </w:t>
      </w:r>
      <w:r>
        <w:t xml:space="preserve">and cubic fluorites, is harmonically unstable but thermally stabilised by anharmonicity. We test</w:t>
      </w:r>
      <w:r>
        <w:t xml:space="preserve"> </w:t>
      </w:r>
      <w:r>
        <w:t xml:space="preserve">five foundation MLIPs (MACE-MP-0, CHGNet, ORB-v2, SevenNet-0, MatterSim) on this regime using a</w:t>
      </w:r>
      <w:r>
        <w:t xml:space="preserve"> </w:t>
      </w:r>
      <w:r>
        <w:t xml:space="preserve">curated set of references whose finite-temperature behaviour is documented in the experimental and</w:t>
      </w:r>
      <w:r>
        <w:t xml:space="preserve"> </w:t>
      </w:r>
      <w:r>
        <w:t xml:space="preserve">DFT literature, so that no new DFT ground truth is required. We introduce a cheap single-mode</w:t>
      </w:r>
      <w:r>
        <w:t xml:space="preserve"> </w:t>
      </w:r>
      <w:r>
        <w:t xml:space="preserve">quantum self-consistent-harmonic (SCHA)</w:t>
      </w:r>
      <w:r>
        <w:t xml:space="preserve"> </w:t>
      </w:r>
      <w:r>
        <w:t xml:space="preserve">“soft-mode free energy”</w:t>
      </w:r>
      <w:r>
        <w:t xml:space="preserve"> </w:t>
      </w:r>
      <w:r>
        <w:t xml:space="preserve">screen that resolves the</w:t>
      </w:r>
      <w:r>
        <w:t xml:space="preserve"> </w:t>
      </w:r>
      <w:r>
        <w:t xml:space="preserve">harmonic-to-finite-temperature stabilisation, and we cross-validate it against the gold-standard</w:t>
      </w:r>
      <w:r>
        <w:t xml:space="preserve"> </w:t>
      </w:r>
      <w:r>
        <w:t xml:space="preserve">multi-mode stochastic SCHA (SSCHA). We report three findings together with a practical</w:t>
      </w:r>
      <w:r>
        <w:t xml:space="preserve"> </w:t>
      </w:r>
      <w:r>
        <w:t xml:space="preserve">ensemble-disagreement guardrail. (i) At the harmonic level the models divide: MatterSim and</w:t>
      </w:r>
      <w:r>
        <w:t xml:space="preserve"> </w:t>
      </w:r>
      <w:r>
        <w:t xml:space="preserve">SevenNet-0 reproduce every documented soft mode (accuracy 1.00), whereas MACE-MP-0, CHGNet and</w:t>
      </w:r>
      <w:r>
        <w:t xml:space="preserve"> </w:t>
      </w:r>
      <w:r>
        <w:t xml:space="preserve">ORB-v2 soften the bcc Zr/Hf instabilities toward zero and carry a 15% false-stable rate. (ii)</w:t>
      </w:r>
      <w:r>
        <w:t xml:space="preserve"> </w:t>
      </w:r>
      <w:r>
        <w:t xml:space="preserve">Harmonic accuracy is necessary but not sufficient for finite-temperature accuracy: the two are only</w:t>
      </w:r>
      <w:r>
        <w:t xml:space="preserve"> </w:t>
      </w:r>
      <w:r>
        <w:t xml:space="preserve">weakly correlated on the matched set, the harmonic leaders (MatterSim, SevenNet-0) are not the</w:t>
      </w:r>
      <w:r>
        <w:t xml:space="preserve"> </w:t>
      </w:r>
      <w:r>
        <w:t xml:space="preserve">finite-temperature leaders, and the soft-mode screen recovers the displacive instability of cubic</w:t>
      </w:r>
      <w:r>
        <w:t xml:space="preserve"> </w:t>
      </w:r>
      <w:r>
        <w:t xml:space="preserve">ferroelectric perovskites that the models otherwise miss. (iii) Multi-mode SSCHA with an MLIP force</w:t>
      </w:r>
      <w:r>
        <w:t xml:space="preserve"> </w:t>
      </w:r>
      <w:r>
        <w:t xml:space="preserve">engine is itself a methodological trap: it is a clean gold standard for the martensitic bcc metals</w:t>
      </w:r>
      <w:r>
        <w:t xml:space="preserve"> </w:t>
      </w:r>
      <w:r>
        <w:t xml:space="preserve">but systematically false-stabilises deep displacive (ferroelectric) instabilities and can diverge</w:t>
      </w:r>
      <w:r>
        <w:t xml:space="preserve"> </w:t>
      </w:r>
      <w:r>
        <w:t xml:space="preserve">numerically, so the cheap soft-mode screen is the more reliable finite-temperature indicator for</w:t>
      </w:r>
      <w:r>
        <w:t xml:space="preserve"> </w:t>
      </w:r>
      <w:r>
        <w:t xml:space="preserve">the displacive instabilities that dominate generative crystal-structure-prediction (CSP) screening.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Foundation MLIPs (MACE-MP, CHGNet, ORB, SevenNet, MatterSim, M3GNet) are increasingly used as DFT</w:t>
      </w:r>
      <w:r>
        <w:t xml:space="preserve"> </w:t>
      </w:r>
      <w:r>
        <w:t xml:space="preserve">surrogates in high-throughput pipelines, including the dynamical-stability filtering of generative</w:t>
      </w:r>
      <w:r>
        <w:t xml:space="preserve"> </w:t>
      </w:r>
      <w:r>
        <w:t xml:space="preserve">CSP outputs. Two 2025 works define the state of the art.</w:t>
      </w:r>
      <w:r>
        <w:t xml:space="preserve"> </w:t>
      </w:r>
      <w:r>
        <w:t xml:space="preserve">“Universal MLIPs are ready for</w:t>
      </w:r>
      <w:r>
        <w:t xml:space="preserve"> </w:t>
      </w:r>
      <w:r>
        <w:t xml:space="preserve">phonons”</w:t>
      </w:r>
      <w:r>
        <w:rPr>
          <w:vertAlign w:val="superscript"/>
        </w:rPr>
        <w:t xml:space="preserve">1</w:t>
      </w:r>
      <w:r>
        <w:t xml:space="preserve"> </w:t>
      </w:r>
      <w:r>
        <w:t xml:space="preserve">benchmarks MLIPs against ~10⁴ DFT harmonic phonon calculations</w:t>
      </w:r>
      <w:r>
        <w:rPr>
          <w:vertAlign w:val="superscript"/>
        </w:rPr>
        <w:t xml:space="preserve">3</w:t>
      </w:r>
      <w:r>
        <w:t xml:space="preserve"> </w:t>
      </w:r>
      <w:r>
        <w:t xml:space="preserve">on largely</w:t>
      </w:r>
      <w:r>
        <w:t xml:space="preserve"> </w:t>
      </w:r>
      <w:r>
        <w:t xml:space="preserve">in-distribution materials and reports a systematic potential-energy-surface (PES) softening bias,</w:t>
      </w:r>
      <w:r>
        <w:t xml:space="preserve"> </w:t>
      </w:r>
      <w:r>
        <w:t xml:space="preserve">in which energy and force under-prediction soften modes and over-estimate stability. PhononBench</w:t>
      </w:r>
      <w:r>
        <w:rPr>
          <w:vertAlign w:val="superscript"/>
        </w:rPr>
        <w:t xml:space="preserve">2</w:t>
      </w:r>
      <w:r>
        <w:t xml:space="preserve"> </w:t>
      </w:r>
      <w:r>
        <w:t xml:space="preserve">scores ~1.1×10⁵ generated structures for harmonic dynamical stability using MatterSim itself as the</w:t>
      </w:r>
      <w:r>
        <w:t xml:space="preserve"> </w:t>
      </w:r>
      <w:r>
        <w:t xml:space="preserve">oracle.</w:t>
      </w:r>
    </w:p>
    <w:p>
      <w:pPr>
        <w:pStyle w:val="BodyText"/>
      </w:pPr>
      <w:r>
        <w:t xml:space="preserve">Both are harmonic, that is, 0 K. Dynamic stability is a finite-temperature property, and a</w:t>
      </w:r>
      <w:r>
        <w:t xml:space="preserve"> </w:t>
      </w:r>
      <w:r>
        <w:t xml:space="preserve">technologically central materials class is harmonically unstable yet thermally stabilised by</w:t>
      </w:r>
      <w:r>
        <w:t xml:space="preserve"> </w:t>
      </w:r>
      <w:r>
        <w:t xml:space="preserve">anharmonicity: cubic perovskites (SrTiO₃, BaTiO₃, halide perovskites), bcc refractory metals</w:t>
      </w:r>
      <w:r>
        <w:t xml:space="preserve"> </w:t>
      </w:r>
      <w:r>
        <w:t xml:space="preserve">(β-Ti/Zr/Hf), and cubic fluorites (ZrO₂/HfO₂). Harmonic phonons assign these imaginary modes, yet</w:t>
      </w:r>
      <w:r>
        <w:t xml:space="preserve"> </w:t>
      </w:r>
      <w:r>
        <w:t xml:space="preserve">the high-symmetry phase is the equilibrium phase above a transition temperature. Whether foundation</w:t>
      </w:r>
      <w:r>
        <w:t xml:space="preserve"> </w:t>
      </w:r>
      <w:r>
        <w:t xml:space="preserve">MLIPs reproduce this harmonic-to-finite-temperature stabilisation is essentially un-benchmarked,</w:t>
      </w:r>
      <w:r>
        <w:t xml:space="preserve"> </w:t>
      </w:r>
      <w:r>
        <w:t xml:space="preserve">even though the harmonic-only oracle that PhononBench and CSP screening rely on is what this regime</w:t>
      </w:r>
      <w:r>
        <w:t xml:space="preserve"> </w:t>
      </w:r>
      <w:r>
        <w:t xml:space="preserve">breaks.</w:t>
      </w:r>
    </w:p>
    <w:p>
      <w:pPr>
        <w:pStyle w:val="BodyText"/>
      </w:pPr>
      <w:r>
        <w:t xml:space="preserve">Research question: do foundation MLIPs reproduce finite-temperature dynamic stability,</w:t>
      </w:r>
      <w:r>
        <w:t xml:space="preserve"> </w:t>
      </w:r>
      <w:r>
        <w:t xml:space="preserve">specifically the harmonic-unstable to thermally-stabilised transition, or does PES softening make</w:t>
      </w:r>
      <w:r>
        <w:t xml:space="preserve"> </w:t>
      </w:r>
      <w:r>
        <w:t xml:space="preserve">their stability calls unreliable where the harmonic approximation fails?</w:t>
      </w:r>
    </w:p>
    <w:p>
      <w:pPr>
        <w:pStyle w:val="BodyText"/>
      </w:pPr>
      <w:r>
        <w:t xml:space="preserve">We pre-registered three hypotheses.</w:t>
      </w:r>
    </w:p>
    <w:p>
      <w:pPr>
        <w:pStyle w:val="Compact"/>
        <w:numPr>
          <w:ilvl w:val="0"/>
          <w:numId w:val="1001"/>
        </w:numPr>
      </w:pPr>
      <w:r>
        <w:t xml:space="preserve">H1 (softening to false-stable). PES softening inflates harmonic stability, so MLIPs over-report</w:t>
      </w:r>
      <w:r>
        <w:t xml:space="preserve"> </w:t>
      </w:r>
      <w:r>
        <w:t xml:space="preserve">stable with a measurable false-stable rate on harmonically-unstable references. This reproduces</w:t>
      </w:r>
      <w:r>
        <w:t xml:space="preserve"> </w:t>
      </w:r>
      <w:r>
        <w:t xml:space="preserve">the literature picture on our model set and anchors the validity of the harness.</w:t>
      </w:r>
    </w:p>
    <w:p>
      <w:pPr>
        <w:pStyle w:val="Compact"/>
        <w:numPr>
          <w:ilvl w:val="0"/>
          <w:numId w:val="1001"/>
        </w:numPr>
      </w:pPr>
      <w:r>
        <w:t xml:space="preserve">H2 (finite-temperature blind spot, the contribution). Harmonic accuracy does not certify a model</w:t>
      </w:r>
      <w:r>
        <w:t xml:space="preserve"> </w:t>
      </w:r>
      <w:r>
        <w:t xml:space="preserve">for finite-temperature screening. It is necessary but not sufficient, and the harmonic leaders</w:t>
      </w:r>
      <w:r>
        <w:t xml:space="preserve"> </w:t>
      </w:r>
      <w:r>
        <w:t xml:space="preserve">need not be the finite-temperature leaders. (We test, and reject, the stronger pre-registered</w:t>
      </w:r>
      <w:r>
        <w:t xml:space="preserve"> </w:t>
      </w:r>
      <w:r>
        <w:t xml:space="preserve">form</w:t>
      </w:r>
      <w:r>
        <w:t xml:space="preserve"> </w:t>
      </w:r>
      <w:r>
        <w:t xml:space="preserve">“harmonic accuracy is uncorrelated with finite-temperature accuracy”</w:t>
      </w:r>
      <w:r>
        <w:t xml:space="preserve">; on the matched set the</w:t>
      </w:r>
      <w:r>
        <w:t xml:space="preserve"> </w:t>
      </w:r>
      <w:r>
        <w:t xml:space="preserve">two are weakly positively correlated, see §3.2.)</w:t>
      </w:r>
    </w:p>
    <w:p>
      <w:pPr>
        <w:pStyle w:val="Compact"/>
        <w:numPr>
          <w:ilvl w:val="0"/>
          <w:numId w:val="1001"/>
        </w:numPr>
      </w:pPr>
      <w:r>
        <w:t xml:space="preserve">H3 (practical guardrail). Inter-model (ensemble) disagreement flags unreliable calls better than</w:t>
      </w:r>
      <w:r>
        <w:t xml:space="preserve"> </w:t>
      </w:r>
      <w:r>
        <w:t xml:space="preserve">any single model’s self-reported energetics.</w:t>
      </w:r>
    </w:p>
    <w:p>
      <w:pPr>
        <w:pStyle w:val="FirstParagraph"/>
      </w:pPr>
      <w:r>
        <w:t xml:space="preserve">Our contributions are a finite-temperature benchmark on the anharmonic regime; a cheap, validated</w:t>
      </w:r>
      <w:r>
        <w:t xml:space="preserve"> </w:t>
      </w:r>
      <w:r>
        <w:t xml:space="preserve">soft-mode free-energy screen; a cautionary result that the gold-standard SSCHA is itself unreliable</w:t>
      </w:r>
      <w:r>
        <w:t xml:space="preserve"> </w:t>
      </w:r>
      <w:r>
        <w:t xml:space="preserve">on deep displacive instabilities when driven by an MLIP, which changes how such cross-checks should</w:t>
      </w:r>
      <w:r>
        <w:t xml:space="preserve"> </w:t>
      </w:r>
      <w:r>
        <w:t xml:space="preserve">be used; and a practical ensemble-disagreement guardrail (H3).</w:t>
      </w:r>
    </w:p>
    <w:bookmarkEnd w:id="10"/>
    <w:bookmarkStart w:id="16" w:name="methods"/>
    <w:p>
      <w:pPr>
        <w:pStyle w:val="Heading2"/>
      </w:pPr>
      <w:r>
        <w:t xml:space="preserve">2. Methods</w:t>
      </w:r>
    </w:p>
    <w:bookmarkStart w:id="11" w:name="systems-and-ground-truth"/>
    <w:p>
      <w:pPr>
        <w:pStyle w:val="Heading3"/>
      </w:pPr>
      <w:r>
        <w:t xml:space="preserve">2.1 Systems and ground truth</w:t>
      </w:r>
    </w:p>
    <w:p>
      <w:pPr>
        <w:pStyle w:val="FirstParagraph"/>
      </w:pPr>
      <w:r>
        <w:t xml:space="preserve">The curated set (</w:t>
      </w:r>
      <w:r>
        <w:rPr>
          <w:rStyle w:val="VerbatimChar"/>
        </w:rPr>
        <w:t xml:space="preserve">configs/curated_systems.yaml</w:t>
      </w:r>
      <w:r>
        <w:t xml:space="preserve">, 20 systems) comprises references whose</w:t>
      </w:r>
      <w:r>
        <w:t xml:space="preserve"> </w:t>
      </w:r>
      <w:r>
        <w:t xml:space="preserve">harmonic-imaginary and finite-temperature-stable behaviour is documented in the literature, so the</w:t>
      </w:r>
      <w:r>
        <w:t xml:space="preserve"> </w:t>
      </w:r>
      <w:r>
        <w:t xml:space="preserve">ground-truth label needs no new DFT:</w:t>
      </w:r>
    </w:p>
    <w:p>
      <w:pPr>
        <w:pStyle w:val="Compact"/>
        <w:numPr>
          <w:ilvl w:val="0"/>
          <w:numId w:val="1002"/>
        </w:numPr>
      </w:pPr>
      <w:r>
        <w:t xml:space="preserve">Oxide displacive/antiferrodistortive perovskites (4): SrTiO₃,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BaTiO₃, PbTiO₃, KNbO₃.</w:t>
      </w:r>
      <w:r>
        <w:rPr>
          <w:vertAlign w:val="superscript"/>
        </w:rPr>
        <w:t xml:space="preserve">12</w:t>
      </w:r>
    </w:p>
    <w:p>
      <w:pPr>
        <w:pStyle w:val="Compact"/>
        <w:numPr>
          <w:ilvl w:val="0"/>
          <w:numId w:val="1002"/>
        </w:numPr>
      </w:pPr>
      <w:r>
        <w:t xml:space="preserve">Halide perovskites (3): CsPbI₃,</w:t>
      </w:r>
      <w:r>
        <w:rPr>
          <w:vertAlign w:val="superscript"/>
        </w:rPr>
        <w:t xml:space="preserve">13</w:t>
      </w:r>
      <w:r>
        <w:t xml:space="preserve"> </w:t>
      </w:r>
      <w:r>
        <w:t xml:space="preserve">CsSnBr₃, CsSnI₃.</w:t>
      </w:r>
      <w:r>
        <w:rPr>
          <w:vertAlign w:val="superscript"/>
        </w:rPr>
        <w:t xml:space="preserve">14</w:t>
      </w:r>
    </w:p>
    <w:p>
      <w:pPr>
        <w:pStyle w:val="Compact"/>
        <w:numPr>
          <w:ilvl w:val="0"/>
          <w:numId w:val="1002"/>
        </w:numPr>
      </w:pPr>
      <w:r>
        <w:t xml:space="preserve">bcc refractory metals (3): Ti, Zr, Hf (phonon-entropy stabilisation).</w:t>
      </w:r>
      <w:r>
        <w:rPr>
          <w:vertAlign w:val="superscript"/>
        </w:rPr>
        <w:t xml:space="preserve">15</w:t>
      </w:r>
    </w:p>
    <w:p>
      <w:pPr>
        <w:pStyle w:val="Compact"/>
        <w:numPr>
          <w:ilvl w:val="0"/>
          <w:numId w:val="1002"/>
        </w:numPr>
      </w:pPr>
      <w:r>
        <w:t xml:space="preserve">Cubic fluorites (2): ZrO₂, HfO₂.</w:t>
      </w:r>
      <w:r>
        <w:rPr>
          <w:vertAlign w:val="superscript"/>
        </w:rPr>
        <w:t xml:space="preserve">16</w:t>
      </w:r>
    </w:p>
    <w:p>
      <w:pPr>
        <w:pStyle w:val="Compact"/>
        <w:numPr>
          <w:ilvl w:val="0"/>
          <w:numId w:val="1002"/>
        </w:numPr>
      </w:pPr>
      <w:r>
        <w:t xml:space="preserve">Superionic (1): α-AgI.</w:t>
      </w:r>
      <w:r>
        <w:rPr>
          <w:vertAlign w:val="superscript"/>
        </w:rPr>
        <w:t xml:space="preserve">17</w:t>
      </w:r>
    </w:p>
    <w:p>
      <w:pPr>
        <w:pStyle w:val="Compact"/>
        <w:numPr>
          <w:ilvl w:val="0"/>
          <w:numId w:val="1002"/>
        </w:numPr>
      </w:pPr>
      <w:r>
        <w:t xml:space="preserve">Quantum-paraelectric near-control (1): KTaO₃.</w:t>
      </w:r>
      <w:r>
        <w:rPr>
          <w:vertAlign w:val="superscript"/>
        </w:rPr>
        <w:t xml:space="preserve">18</w:t>
      </w:r>
    </w:p>
    <w:p>
      <w:pPr>
        <w:pStyle w:val="Compact"/>
        <w:numPr>
          <w:ilvl w:val="0"/>
          <w:numId w:val="1002"/>
        </w:numPr>
      </w:pPr>
      <w:r>
        <w:t xml:space="preserve">Harmonically-stable controls (6): Si, MgO, NaCl, Cu, diamond, CeO₂ (0 K harmonic stability</w:t>
      </w:r>
      <w:r>
        <w:t xml:space="preserve"> </w:t>
      </w:r>
      <w:r>
        <w:t xml:space="preserve">documented in the DFPT phonon database</w:t>
      </w:r>
      <w:r>
        <w:rPr>
          <w:vertAlign w:val="superscript"/>
        </w:rPr>
        <w:t xml:space="preserve">3</w:t>
      </w:r>
      <w:r>
        <w:t xml:space="preserve">).</w:t>
      </w:r>
    </w:p>
    <w:p>
      <w:pPr>
        <w:pStyle w:val="FirstParagraph"/>
      </w:pPr>
      <w:r>
        <w:t xml:space="preserve">Transition temperatures are approximate, and scoring is qualitative (the correct side of the</w:t>
      </w:r>
      <w:r>
        <w:t xml:space="preserve"> </w:t>
      </w:r>
      <w:r>
        <w:t xml:space="preserve">transition, not a fitted T_c). KTaO₃ is flagged borderline (incipient ferroelectric, DFT mode ≈0;</w:t>
      </w:r>
      <w:r>
        <w:t xml:space="preserve"> </w:t>
      </w:r>
      <w:r>
        <w:t xml:space="preserve">four of five MLIPs call it imaginary) and excluded from headline rates, which leaves 19 scored</w:t>
      </w:r>
      <w:r>
        <w:t xml:space="preserve"> </w:t>
      </w:r>
      <w:r>
        <w:t xml:space="preserve">systems. CeO₂ and NaCl are retained as scored stable controls, since they are genuinely stable and</w:t>
      </w:r>
      <w:r>
        <w:t xml:space="preserve"> </w:t>
      </w:r>
      <w:r>
        <w:t xml:space="preserve">only CHGNet marginally trips them (§3.1). The soft-mode screen and the harmonic baseline cover all</w:t>
      </w:r>
      <w:r>
        <w:t xml:space="preserve"> </w:t>
      </w:r>
      <w:r>
        <w:t xml:space="preserve">20 systems; the SSCHA grid covers the perovskites, fluorites and bcc metals. α-AgI is the one</w:t>
      </w:r>
      <w:r>
        <w:t xml:space="preserve"> </w:t>
      </w:r>
      <w:r>
        <w:t xml:space="preserve">system where the soft-mode screen is on shaky physical ground, because a superionic with a</w:t>
      </w:r>
      <w:r>
        <w:t xml:space="preserve"> </w:t>
      </w:r>
      <w:r>
        <w:t xml:space="preserve">diffusive Ag sublattice has no single frozen order parameter; its screen call is reported but</w:t>
      </w:r>
      <w:r>
        <w:t xml:space="preserve"> </w:t>
      </w:r>
      <w:r>
        <w:t xml:space="preserve">flagged, and it is the natural target for a future symmetry-breaking/MD probe.</w:t>
      </w:r>
    </w:p>
    <w:bookmarkEnd w:id="11"/>
    <w:bookmarkStart w:id="12" w:name="models"/>
    <w:p>
      <w:pPr>
        <w:pStyle w:val="Heading3"/>
      </w:pPr>
      <w:r>
        <w:t xml:space="preserve">2.2 Models</w:t>
      </w:r>
    </w:p>
    <w:p>
      <w:pPr>
        <w:pStyle w:val="FirstParagraph"/>
      </w:pPr>
      <w:r>
        <w:t xml:space="preserve">MACE-MP-0,</w:t>
      </w:r>
      <w:r>
        <w:rPr>
          <w:vertAlign w:val="superscript"/>
        </w:rPr>
        <w:t xml:space="preserve">6</w:t>
      </w:r>
      <w:r>
        <w:t xml:space="preserve"> </w:t>
      </w:r>
      <w:r>
        <w:t xml:space="preserve">CHGNet,</w:t>
      </w:r>
      <w:r>
        <w:rPr>
          <w:vertAlign w:val="superscript"/>
        </w:rPr>
        <w:t xml:space="preserve">7</w:t>
      </w:r>
      <w:r>
        <w:t xml:space="preserve"> </w:t>
      </w:r>
      <w:r>
        <w:t xml:space="preserve">ORB-v2,</w:t>
      </w:r>
      <w:r>
        <w:rPr>
          <w:vertAlign w:val="superscript"/>
        </w:rPr>
        <w:t xml:space="preserve">8</w:t>
      </w:r>
      <w:r>
        <w:t xml:space="preserve"> </w:t>
      </w:r>
      <w:r>
        <w:t xml:space="preserve">SevenNet-0,</w:t>
      </w:r>
      <w:r>
        <w:rPr>
          <w:vertAlign w:val="superscript"/>
        </w:rPr>
        <w:t xml:space="preserve">9</w:t>
      </w:r>
      <w:r>
        <w:t xml:space="preserve"> </w:t>
      </w:r>
      <w:r>
        <w:t xml:space="preserve">and MatterSim</w:t>
      </w:r>
      <w:r>
        <w:rPr>
          <w:vertAlign w:val="superscript"/>
        </w:rPr>
        <w:t xml:space="preserve">10</w:t>
      </w:r>
      <w:r>
        <w:t xml:space="preserve"> </w:t>
      </w:r>
      <w:r>
        <w:t xml:space="preserve">run through a</w:t>
      </w:r>
      <w:r>
        <w:t xml:space="preserve"> </w:t>
      </w:r>
      <w:r>
        <w:t xml:space="preserve">backend-agnostic ASE-calculator harness, with one virtual environment per model. Testing MatterSim</w:t>
      </w:r>
      <w:r>
        <w:t xml:space="preserve"> </w:t>
      </w:r>
      <w:r>
        <w:t xml:space="preserve">directly probes PhononBench’s own oracle. ORB-v2 is a direct, float32-only model; we carry this as</w:t>
      </w:r>
      <w:r>
        <w:t xml:space="preserve"> </w:t>
      </w:r>
      <w:r>
        <w:t xml:space="preserve">an explicit caveat because it manifests in both the harmonic and the finite-temperature results.</w:t>
      </w:r>
    </w:p>
    <w:bookmarkEnd w:id="12"/>
    <w:bookmarkStart w:id="13" w:name="harmonic-baseline-credibility-anchor"/>
    <w:p>
      <w:pPr>
        <w:pStyle w:val="Heading3"/>
      </w:pPr>
      <w:r>
        <w:t xml:space="preserve">2.3 Harmonic baseline (credibility anchor)</w:t>
      </w:r>
    </w:p>
    <w:p>
      <w:pPr>
        <w:pStyle w:val="FirstParagraph"/>
      </w:pPr>
      <w:r>
        <w:t xml:space="preserve">Finite-displacement harmonic phonons (phonopy, 2×2×2 force-constant supercells) with each MLIP,</w:t>
      </w:r>
      <w:r>
        <w:t xml:space="preserve"> </w:t>
      </w:r>
      <w:r>
        <w:t xml:space="preserve">classified by the minimum phonon frequency against an imaginary tolerance (default −0.1 THz). The</w:t>
      </w:r>
      <w:r>
        <w:t xml:space="preserve"> </w:t>
      </w:r>
      <w:r>
        <w:t xml:space="preserve">success criterion is to reproduce the published harmonic stability split. This validates the</w:t>
      </w:r>
      <w:r>
        <w:t xml:space="preserve"> </w:t>
      </w:r>
      <w:r>
        <w:t xml:space="preserve">harness and is not claimed as novel.</w:t>
      </w:r>
    </w:p>
    <w:p>
      <w:pPr>
        <w:pStyle w:val="BodyText"/>
      </w:pPr>
      <w:r>
        <w:t xml:space="preserve">Metrics convention (used throughout). A call is false-stable when a model predicts the</w:t>
      </w:r>
      <w:r>
        <w:t xml:space="preserve"> </w:t>
      </w:r>
      <w:r>
        <w:t xml:space="preserve">high-symmetry phase dynamically stable where the reference is unstable; this is the</w:t>
      </w:r>
      <w:r>
        <w:t xml:space="preserve"> </w:t>
      </w:r>
      <w:r>
        <w:t xml:space="preserve">screening-dangerous error, because it lets an unphysical structure through a CSP filter. A call is</w:t>
      </w:r>
      <w:r>
        <w:t xml:space="preserve"> </w:t>
      </w:r>
      <w:r>
        <w:t xml:space="preserve">false-unstable in the opposite case. Recall (unstable) is the fraction of genuinely-unstable</w:t>
      </w:r>
      <w:r>
        <w:t xml:space="preserve"> </w:t>
      </w:r>
      <w:r>
        <w:t xml:space="preserve">reference units a method correctly flags as unstable. Rates exclude the borderline KTaO₃.</w:t>
      </w:r>
    </w:p>
    <w:bookmarkEnd w:id="13"/>
    <w:bookmarkStart w:id="14" w:name="X80815471d872de9eb221a4e579791b2a55ee763"/>
    <w:p>
      <w:pPr>
        <w:pStyle w:val="Heading3"/>
      </w:pPr>
      <w:r>
        <w:t xml:space="preserve">2.4 Finite-temperature soft-mode free energy (primary screen)</w:t>
      </w:r>
    </w:p>
    <w:p>
      <w:pPr>
        <w:pStyle w:val="FirstParagraph"/>
      </w:pPr>
      <w:r>
        <w:t xml:space="preserve">For each system we relax the structure, compute harmonic force constants, and identify the softest</w:t>
      </w:r>
      <w:r>
        <w:t xml:space="preserve"> </w:t>
      </w:r>
      <w:r>
        <w:t xml:space="preserve">force-constant-commensurate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by exact</w:t>
      </w:r>
      <w:r>
        <w:t xml:space="preserve"> </w:t>
      </w:r>
      <w:r>
        <w:rPr>
          <w:rStyle w:val="VerbatimChar"/>
        </w:rPr>
        <w:t xml:space="preserve">run_qpoints</w:t>
      </w:r>
      <w:r>
        <w:t xml:space="preserve"> </w:t>
      </w:r>
      <w:r>
        <w:t xml:space="preserve">evaluation over the rational grid the</w:t>
      </w:r>
      <w:r>
        <w:t xml:space="preserve"> </w:t>
      </w:r>
      <w:r>
        <w:t xml:space="preserve">supercell supports (masking the three acoustic modes at Γ; bcc uses 6×6×6 force constants so the</w:t>
      </w:r>
      <w:r>
        <w:t xml:space="preserve"> </w:t>
      </w:r>
      <w:r>
        <w:t xml:space="preserve">ω-phase q = ⅔⟨111⟩ is commensurate). We freeze that mode into the minimal commensurate cell via</w:t>
      </w:r>
      <w:r>
        <w:t xml:space="preserve"> </w:t>
      </w:r>
      <w:r>
        <w:t xml:space="preserve">phonopy modulation, map the static double well E(Q) with quadratic Q sampling, fit the</w:t>
      </w:r>
      <w:r>
        <w:t xml:space="preserve"> </w:t>
      </w:r>
      <w:r>
        <w:t xml:space="preserve">well-plus-barrier window, and minimise a single-mode quantum SCHA free energy over the</w:t>
      </w:r>
      <w:r>
        <w:t xml:space="preserve"> </w:t>
      </w:r>
      <w:r>
        <w:t xml:space="preserve">order-parameter centroid (self-consistent Gaussian width via bracketed root finding). The</w:t>
      </w:r>
      <w:r>
        <w:t xml:space="preserve"> </w:t>
      </w:r>
      <w:r>
        <w:t xml:space="preserve">high-symmetry phase is stable at T when Q₀≈0 is the global minimum of the free energy. The E(Q) map</w:t>
      </w:r>
      <w:r>
        <w:t xml:space="preserve"> </w:t>
      </w:r>
      <w:r>
        <w:t xml:space="preserve">is temperature-independent and cached, so each temperature is a sub-second CPU solve. Three earlier</w:t>
      </w:r>
      <w:r>
        <w:t xml:space="preserve"> </w:t>
      </w:r>
      <w:r>
        <w:t xml:space="preserve">finite-temperature routes (hand-rolled TDEP,</w:t>
      </w:r>
      <w:r>
        <w:rPr>
          <w:vertAlign w:val="superscript"/>
        </w:rPr>
        <w:t xml:space="preserve">5</w:t>
      </w:r>
      <w:r>
        <w:t xml:space="preserve"> </w:t>
      </w:r>
      <w:r>
        <w:t xml:space="preserve">one-shot hiPhive, and rattled-MD) were implemented</w:t>
      </w:r>
      <w:r>
        <w:t xml:space="preserve"> </w:t>
      </w:r>
      <w:r>
        <w:t xml:space="preserve">and discarded after they failed the SrTiO₃ gate; see the ESI.</w:t>
      </w:r>
    </w:p>
    <w:p>
      <w:pPr>
        <w:pStyle w:val="BodyText"/>
      </w:pPr>
      <w:r>
        <w:t xml:space="preserve">Validation gate. On SrTiO₃ the order parameter condenses below the transition, melts by ≈150 K, and</w:t>
      </w:r>
      <w:r>
        <w:t xml:space="preserve"> </w:t>
      </w:r>
      <w:r>
        <w:t xml:space="preserve">the soft mode hardens from −2.6 to +1.8 THz across the transition (experiment 105 K), which</w:t>
      </w:r>
      <w:r>
        <w:t xml:space="preserve"> </w:t>
      </w:r>
      <w:r>
        <w:t xml:space="preserve">establishes that the screen resolves the harmonic-to-finite-temperature stabilisation.</w:t>
      </w:r>
    </w:p>
    <w:bookmarkEnd w:id="14"/>
    <w:bookmarkStart w:id="15" w:name="Xaf6bd9c76bb5f3008ec4deec66d4c6f9048be3b"/>
    <w:p>
      <w:pPr>
        <w:pStyle w:val="Heading3"/>
      </w:pPr>
      <w:r>
        <w:t xml:space="preserve">2.5 Multi-mode SSCHA (gold-standard cross-check)</w:t>
      </w:r>
    </w:p>
    <w:p>
      <w:pPr>
        <w:pStyle w:val="FirstParagraph"/>
      </w:pPr>
      <w:r>
        <w:t xml:space="preserve">The full stochastic SCHA (python-sscha + cellconstructor)</w:t>
      </w:r>
      <w:r>
        <w:rPr>
          <w:vertAlign w:val="superscript"/>
        </w:rPr>
        <w:t xml:space="preserve">4</w:t>
      </w:r>
      <w:r>
        <w:t xml:space="preserve"> </w:t>
      </w:r>
      <w:r>
        <w:t xml:space="preserve">uses the MLIP as force engine: an ASE</w:t>
      </w:r>
      <w:r>
        <w:t xml:space="preserve"> </w:t>
      </w:r>
      <w:r>
        <w:t xml:space="preserve">finite-displacement harmonic dynamical matrix, then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, then stochastic SCHA</w:t>
      </w:r>
      <w:r>
        <w:t xml:space="preserve"> </w:t>
      </w:r>
      <w:r>
        <w:t xml:space="preserve">relaxation of the auxiliary dynamical matrix at T (root2 representation, with a per-population step</w:t>
      </w:r>
      <w:r>
        <w:t xml:space="preserve"> </w:t>
      </w:r>
      <w:r>
        <w:t xml:space="preserve">cap to force ensemble regeneration on noisy large cells), then a dedicated ensemble at the</w:t>
      </w:r>
      <w:r>
        <w:t xml:space="preserve"> </w:t>
      </w:r>
      <w:r>
        <w:t xml:space="preserve">converged matrix, and finally the free-energy (physical) Hessian. The minimum Hessian frequency</w:t>
      </w:r>
      <w:r>
        <w:t xml:space="preserve"> </w:t>
      </w:r>
      <w:r>
        <w:t xml:space="preserve">excluding the three acoustic modes is the anharmonic dynamic-stability indicator. Unlike the</w:t>
      </w:r>
      <w:r>
        <w:t xml:space="preserve"> </w:t>
      </w:r>
      <w:r>
        <w:t xml:space="preserve">single-mode screen, this captures the full multi-mode phonon entropy and is reliable for</w:t>
      </w:r>
      <w:r>
        <w:t xml:space="preserve"> </w:t>
      </w:r>
      <w:r>
        <w:t xml:space="preserve">entropy-stabilised martensitic transitions.</w:t>
      </w:r>
    </w:p>
    <w:bookmarkEnd w:id="15"/>
    <w:bookmarkEnd w:id="16"/>
    <w:bookmarkStart w:id="40" w:name="results"/>
    <w:p>
      <w:pPr>
        <w:pStyle w:val="Heading2"/>
      </w:pPr>
      <w:r>
        <w:t xml:space="preserve">3. Results</w:t>
      </w:r>
    </w:p>
    <w:bookmarkStart w:id="23" w:name="harmonic-baseline-the-models-divide-h1"/>
    <w:p>
      <w:pPr>
        <w:pStyle w:val="Heading3"/>
      </w:pPr>
      <w:r>
        <w:t xml:space="preserve">3.1 Harmonic baseline: the models divide (H1)</w:t>
      </w:r>
    </w:p>
    <w:p>
      <w:pPr>
        <w:pStyle w:val="FirstParagraph"/>
      </w:pPr>
      <w:r>
        <w:t xml:space="preserve">The five models divide on the harmonic set (19 scored systems, KTaO₃ excluded):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False-stable rate</w:t>
            </w:r>
          </w:p>
        </w:tc>
        <w:tc>
          <w:tcPr/>
          <w:p>
            <w:pPr>
              <w:pStyle w:val="Compact"/>
            </w:pPr>
            <w:r>
              <w:t xml:space="preserve">False-unstable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  <w:tc>
          <w:tcPr/>
          <w:p>
            <w:pPr>
              <w:pStyle w:val="Compact"/>
            </w:pPr>
            <w:r>
              <w:t xml:space="preserve">0.154</w:t>
            </w:r>
          </w:p>
        </w:tc>
        <w:tc>
          <w:tcPr/>
          <w:p>
            <w:pPr>
              <w:pStyle w:val="Compact"/>
            </w:pPr>
            <w:r>
              <w:t xml:space="preserve">0.333</w:t>
            </w:r>
          </w:p>
        </w:tc>
      </w:tr>
    </w:tbl>
    <w:p>
      <w:pPr>
        <w:pStyle w:val="BodyText"/>
      </w:pPr>
      <w:r>
        <w:t xml:space="preserve">MatterSim and SevenNet-0 reproduce every documented soft mode with large imaginary frequencies.</w:t>
      </w:r>
      <w:r>
        <w:t xml:space="preserve"> </w:t>
      </w:r>
      <w:r>
        <w:t xml:space="preserve">MACE-MP-0 and CHGNet each carry two false-stable calls (rate 0.154) on the bcc Zr and Hf soft</w:t>
      </w:r>
      <w:r>
        <w:t xml:space="preserve"> </w:t>
      </w:r>
      <w:r>
        <w:t xml:space="preserve">modes, softened toward zero; this is the PES-softening bias of the literature, localised to</w:t>
      </w:r>
      <w:r>
        <w:t xml:space="preserve"> </w:t>
      </w:r>
      <w:r>
        <w:t xml:space="preserve">specific instabilities. ORB-v2 also carries two false-stable calls (rate 0.154) but on a different</w:t>
      </w:r>
      <w:r>
        <w:t xml:space="preserve"> </w:t>
      </w:r>
      <w:r>
        <w:t xml:space="preserve">pair: it correctly flags bcc-Zr unstable (−0.43 THz) yet softens Hf (−0.09 THz) and SrTiO₃</w:t>
      </w:r>
      <w:r>
        <w:t xml:space="preserve"> </w:t>
      </w:r>
      <w:r>
        <w:t xml:space="preserve">(−0.0 THz) just past the −0.1 THz tolerance. ORB-v2 (direct, float32) softens in both directions;</w:t>
      </w:r>
      <w:r>
        <w:t xml:space="preserve"> </w:t>
      </w:r>
      <w:r>
        <w:t xml:space="preserve">besides those two false-stables it falsely calls MgO unstable (−2.8 THz), its one false-unstable on</w:t>
      </w:r>
      <w:r>
        <w:t xml:space="preserve"> </w:t>
      </w:r>
      <w:r>
        <w:t xml:space="preserve">the oxide side. CHGNet carries the only non-ORB false-unstables (rate 0.333), CeO₂ (−0.26 THz) and</w:t>
      </w:r>
      <w:r>
        <w:t xml:space="preserve"> </w:t>
      </w:r>
      <w:r>
        <w:t xml:space="preserve">NaCl (−0.24 THz), both genuinely stable controls tripped just past the −0.1 THz tolerance; both</w:t>
      </w:r>
      <w:r>
        <w:t xml:space="preserve"> </w:t>
      </w:r>
      <w:r>
        <w:t xml:space="preserve">flip back to stable at a tolerance of ≈0.25 THz, so they are finite-displacement noise rather than</w:t>
      </w:r>
      <w:r>
        <w:t xml:space="preserve"> </w:t>
      </w:r>
      <w:r>
        <w:t xml:space="preserve">a real instability.</w:t>
      </w:r>
    </w:p>
    <w:p>
      <w:pPr>
        <w:pStyle w:val="BodyText"/>
      </w:pPr>
      <w:r>
        <w:t xml:space="preserve">Because every binary call depends on the imaginary tolerance, we sweep it (Fig. 1). A strict</w:t>
      </w:r>
      <w:r>
        <w:t xml:space="preserve"> </w:t>
      </w:r>
      <w:r>
        <w:t xml:space="preserve">tolerance (0 THz) floods false-unstables (29 calls) as near-Γ finite-displacement noise dominates,</w:t>
      </w:r>
      <w:r>
        <w:t xml:space="preserve"> </w:t>
      </w:r>
      <w:r>
        <w:t xml:space="preserve">while a loose tolerance (0.3 THz) inflates false-stables (10 calls); the default −0.1 THz sits in</w:t>
      </w:r>
      <w:r>
        <w:t xml:space="preserve"> </w:t>
      </w:r>
      <w:r>
        <w:t xml:space="preserve">the stable basin between them (6 false-stable, 3 false-unstable), and the split holds across</w:t>
      </w:r>
      <w:r>
        <w:t xml:space="preserve"> </w:t>
      </w:r>
      <w:r>
        <w:t xml:space="preserve">0.05–0.2 THz. The useful point is that the softening toward zero is the physics: per-system minimum</w:t>
      </w:r>
      <w:r>
        <w:t xml:space="preserve"> </w:t>
      </w:r>
      <w:r>
        <w:t xml:space="preserve">frequencies, not binary rates, are the right reporting unit (Fig. 2). This reproduces the published</w:t>
      </w:r>
      <w:r>
        <w:t xml:space="preserve"> </w:t>
      </w:r>
      <w:r>
        <w:t xml:space="preserve">picture and validates the harness.</w:t>
      </w:r>
    </w:p>
    <w:p>
      <w:pPr>
        <w:pStyle w:val="CaptionedFigure"/>
      </w:pPr>
      <w:r>
        <w:drawing>
          <wp:inline>
            <wp:extent cx="4770782" cy="3853324"/>
            <wp:effectExtent b="0" l="0" r="0" t="0"/>
            <wp:docPr descr="Fig. 1 Harmonic false-stable and false-unstable call counts versus the imaginary-frequency tolerance (§3.1). The default −0.1 THz sits in the stable basin between the false-unstable flood at strict tolerance and the false-stable inflation at loose tolerance." title="" id="18" name="Picture"/>
            <a:graphic>
              <a:graphicData uri="http://schemas.openxmlformats.org/drawingml/2006/picture">
                <pic:pic>
                  <pic:nvPicPr>
                    <pic:cNvPr descr="../results/figures/fig_tolerance_swee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0782" cy="3853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1</w:t>
      </w:r>
      <w:r>
        <w:t xml:space="preserve"> </w:t>
      </w:r>
      <w:r>
        <w:t xml:space="preserve">Harmonic false-stable and false-unstable call counts versus the</w:t>
      </w:r>
      <w:r>
        <w:t xml:space="preserve"> </w:t>
      </w:r>
      <w:r>
        <w:t xml:space="preserve">imaginary-frequency tolerance (§3.1). The default −0.1 THz sits in the stable basin between the</w:t>
      </w:r>
      <w:r>
        <w:t xml:space="preserve"> </w:t>
      </w:r>
      <w:r>
        <w:t xml:space="preserve">false-unstable flood at strict tolerance and the false-stable inflation at loose tolerance.</w:t>
      </w:r>
    </w:p>
    <w:p>
      <w:pPr>
        <w:pStyle w:val="CaptionedFigure"/>
      </w:pPr>
      <w:r>
        <w:drawing>
          <wp:inline>
            <wp:extent cx="5334000" cy="5744307"/>
            <wp:effectExtent b="0" l="0" r="0" t="0"/>
            <wp:docPr descr="Fig. 2 Per-system minimum effective frequency across the five models (§3.1–3.2). The softening toward zero of the harmonically-unstable systems is the physics; per-system minima, not binary rates, are the right reporting unit." title="" id="21" name="Picture"/>
            <a:graphic>
              <a:graphicData uri="http://schemas.openxmlformats.org/drawingml/2006/picture">
                <pic:pic>
                  <pic:nvPicPr>
                    <pic:cNvPr descr="../results/figures/fig_softmode_hea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44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2</w:t>
      </w:r>
      <w:r>
        <w:t xml:space="preserve"> </w:t>
      </w:r>
      <w:r>
        <w:t xml:space="preserve">Per-system minimum effective frequency across the five models (§3.1–3.2).</w:t>
      </w:r>
      <w:r>
        <w:t xml:space="preserve"> </w:t>
      </w:r>
      <w:r>
        <w:t xml:space="preserve">The softening toward zero of the harmonically-unstable systems is the physics; per-system minima,</w:t>
      </w:r>
      <w:r>
        <w:t xml:space="preserve"> </w:t>
      </w:r>
      <w:r>
        <w:t xml:space="preserve">not binary rates, are the right reporting unit.</w:t>
      </w:r>
    </w:p>
    <w:bookmarkEnd w:id="23"/>
    <w:bookmarkStart w:id="24" w:name="finite-temperature-soft-mode-screen-h2"/>
    <w:p>
      <w:pPr>
        <w:pStyle w:val="Heading3"/>
      </w:pPr>
      <w:r>
        <w:t xml:space="preserve">3.2 Finite-temperature soft-mode screen (H2)</w:t>
      </w:r>
    </w:p>
    <w:p>
      <w:pPr>
        <w:pStyle w:val="FirstParagraph"/>
      </w:pPr>
      <w:r>
        <w:t xml:space="preserve">On the ferroelectric perovskites at T ≤ 300 K, far below every transition temperature, the cubic</w:t>
      </w:r>
      <w:r>
        <w:t xml:space="preserve"> </w:t>
      </w:r>
      <w:r>
        <w:t xml:space="preserve">phase is definitively dynamically unstable, and the soft-mode screen correctly calls it unstable in</w:t>
      </w:r>
      <w:r>
        <w:t xml:space="preserve"> </w:t>
      </w:r>
      <w:r>
        <w:t xml:space="preserve">23 of 30 model units (recall 0.77). The screen recovers the displacive instability that harmonic</w:t>
      </w:r>
      <w:r>
        <w:t xml:space="preserve"> </w:t>
      </w:r>
      <w:r>
        <w:t xml:space="preserve">accuracy does not predict and that, as §3.3 shows, even the gold-standard SSCHA misses.</w:t>
      </w:r>
    </w:p>
    <w:p>
      <w:pPr>
        <w:pStyle w:val="BodyText"/>
      </w:pPr>
      <w:r>
        <w:t xml:space="preserve">Multi-anchor validation against experiment. Beyond the SrTiO₃ gate (§2.4), the screen’s predicted</w:t>
      </w:r>
      <w:r>
        <w:t xml:space="preserve"> </w:t>
      </w:r>
      <w:r>
        <w:t xml:space="preserve">stabilisation temperature T* (the lowest ladder T at which the cubic phase is called stable) tracks</w:t>
      </w:r>
      <w:r>
        <w:t xml:space="preserve"> </w:t>
      </w:r>
      <w:r>
        <w:t xml:space="preserve">the ordering of the experimental transition temperatures across four anchors. SrTiO₃ (T_c ≈ 105 K)</w:t>
      </w:r>
      <w:r>
        <w:t xml:space="preserve"> </w:t>
      </w:r>
      <w:r>
        <w:t xml:space="preserve">is stabilised earliest, at T* ≈ 100 K for four of five models, while the ferroelectric perovskites</w:t>
      </w:r>
      <w:r>
        <w:t xml:space="preserve"> </w:t>
      </w:r>
      <w:r>
        <w:t xml:space="preserve">stabilise later: BaTiO₃ (T_c ≈ 393 K) at T* ≈ 600 K, KNbO₃ (708 K) at 300–600 K, and PbTiO₃</w:t>
      </w:r>
      <w:r>
        <w:t xml:space="preserve"> </w:t>
      </w:r>
      <w:r>
        <w:t xml:space="preserve">(763 K) at 300–600 K (ORB-v2 the low outlier at 100 K). Within the coarse 300 K T-ladder the screen</w:t>
      </w:r>
      <w:r>
        <w:t xml:space="preserve"> </w:t>
      </w:r>
      <w:r>
        <w:t xml:space="preserve">brackets the correct side of each transition, and the SrTiO₃-below-ferroelectric ordering is</w:t>
      </w:r>
      <w:r>
        <w:t xml:space="preserve"> </w:t>
      </w:r>
      <w:r>
        <w:t xml:space="preserve">reproduced by every model. As expected for a single-mode treatment it does not predict the absolute</w:t>
      </w:r>
      <w:r>
        <w:t xml:space="preserve"> </w:t>
      </w:r>
      <w:r>
        <w:t xml:space="preserve">T_c (it over-shoots BaTiO₃ and under-shoots PbTiO₃), so T* is an ordering check rather than a fitted</w:t>
      </w:r>
      <w:r>
        <w:t xml:space="preserve"> </w:t>
      </w:r>
      <w:r>
        <w:t xml:space="preserve">T_c (full table S3). This multi-anchor agreement, not a single gate, is what licenses using the</w:t>
      </w:r>
      <w:r>
        <w:t xml:space="preserve"> </w:t>
      </w:r>
      <w:r>
        <w:t xml:space="preserve">screen as the reference against which the §3.3 SSCHA calls are judged.</w:t>
      </w:r>
    </w:p>
    <w:p>
      <w:pPr>
        <w:pStyle w:val="BodyText"/>
      </w:pPr>
      <w:r>
        <w:t xml:space="preserve">Per-model false-stable rates on the displacive/anharmonic set (non-bcc, non-borderline, T ≤ 300 K;</w:t>
      </w:r>
      <w:r>
        <w:t xml:space="preserve"> </w:t>
      </w:r>
      <w:r>
        <w:t xml:space="preserve">bcc excluded because its thermodynamic-T_c label is the wrong reference for dynamic stability,</w:t>
      </w:r>
      <w:r>
        <w:t xml:space="preserve"> </w:t>
      </w:r>
      <w:r>
        <w:t xml:space="preserve">§3.3):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Finite-T false-stable rate</w:t>
            </w:r>
          </w:p>
        </w:tc>
        <w:tc>
          <w:tcPr/>
          <w:p>
            <w:pPr>
              <w:pStyle w:val="Compact"/>
            </w:pPr>
            <w:r>
              <w:t xml:space="preserve">Finite-T accuracy</w:t>
            </w:r>
          </w:p>
        </w:tc>
        <w:tc>
          <w:tcPr/>
          <w:p>
            <w:pPr>
              <w:pStyle w:val="Compact"/>
            </w:pPr>
            <w:r>
              <w:t xml:space="preserve">(Harmonic accuracy)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CHGNet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0.789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MACE-MP-0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SevenNet-0</w:t>
            </w:r>
          </w:p>
        </w:tc>
        <w:tc>
          <w:tcPr/>
          <w:p>
            <w:pPr>
              <w:pStyle w:val="Compact"/>
            </w:pPr>
            <w:r>
              <w:t xml:space="preserve">0.188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MatterSim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ORB-v2</w:t>
            </w:r>
          </w:p>
        </w:tc>
        <w:tc>
          <w:tcPr/>
          <w:p>
            <w:pPr>
              <w:pStyle w:val="Compact"/>
            </w:pPr>
            <w:r>
              <w:t xml:space="preserve">0.562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</w:tr>
    </w:tbl>
    <w:p>
      <w:pPr>
        <w:pStyle w:val="BodyText"/>
      </w:pPr>
      <w:r>
        <w:t xml:space="preserve">Read against the harmonic ranking (final column), the message is not a clean inversion, and we are</w:t>
      </w:r>
      <w:r>
        <w:t xml:space="preserve"> </w:t>
      </w:r>
      <w:r>
        <w:t xml:space="preserve">explicit about this because a naive comparison invites one. Comparing harmonic accuracy including</w:t>
      </w:r>
      <w:r>
        <w:t xml:space="preserve"> </w:t>
      </w:r>
      <w:r>
        <w:t xml:space="preserve">bcc against finite-temperature accuracy excluding bcc produces a spurious anti-correlation</w:t>
      </w:r>
      <w:r>
        <w:t xml:space="preserve"> </w:t>
      </w:r>
      <w:r>
        <w:t xml:space="preserve">(Spearman ρ ≈ −0.26); this is a denominator artifact, because CHGNet, MACE and ORB-v2 lose most of</w:t>
      </w:r>
      <w:r>
        <w:t xml:space="preserve"> </w:t>
      </w:r>
      <w:r>
        <w:t xml:space="preserve">their harmonic accuracy on the bcc Zr/Hf softening that is removed from the finite-temperature</w:t>
      </w:r>
      <w:r>
        <w:t xml:space="preserve"> </w:t>
      </w:r>
      <w:r>
        <w:t xml:space="preserve">column. On the matched non-bcc, non-borderline set the two are positively but imperfectly</w:t>
      </w:r>
      <w:r>
        <w:t xml:space="preserve"> </w:t>
      </w:r>
      <w:r>
        <w:t xml:space="preserve">correlated: at the unit level (n = 75 system×model pairs) the concordance of correctness gives</w:t>
      </w:r>
      <w:r>
        <w:t xml:space="preserve"> </w:t>
      </w:r>
      <w:r>
        <w:t xml:space="preserve">φ = 0.11 (McNemar exact p = 0.34, so the harmonic and finite-temperature error sets are not</w:t>
      </w:r>
      <w:r>
        <w:t xml:space="preserve"> </w:t>
      </w:r>
      <w:r>
        <w:t xml:space="preserve">significantly different), and the matched per-model accuracy rank correlation is ρ = +0.15</w:t>
      </w:r>
      <w:r>
        <w:t xml:space="preserve"> </w:t>
      </w:r>
      <w:r>
        <w:t xml:space="preserve">(T ≤ 300 K) to +0.65 (T = 100 K).</w:t>
      </w:r>
    </w:p>
    <w:p>
      <w:pPr>
        <w:pStyle w:val="BodyText"/>
      </w:pPr>
      <w:r>
        <w:t xml:space="preserve">The defensible H2 statement is therefore the weaker one that the data support: harmonic accuracy is</w:t>
      </w:r>
      <w:r>
        <w:t xml:space="preserve"> </w:t>
      </w:r>
      <w:r>
        <w:t xml:space="preserve">necessary but not sufficient for finite-temperature accuracy. Seven of the 71 harmonically-correct</w:t>
      </w:r>
      <w:r>
        <w:t xml:space="preserve"> </w:t>
      </w:r>
      <w:r>
        <w:t xml:space="preserve">(system, model) units are mis-called at finite temperature, against three the other way, and the</w:t>
      </w:r>
      <w:r>
        <w:t xml:space="preserve"> </w:t>
      </w:r>
      <w:r>
        <w:t xml:space="preserve">matched table shows that the harmonic leaders are not the finite-temperature leaders: MatterSim and</w:t>
      </w:r>
      <w:r>
        <w:t xml:space="preserve"> </w:t>
      </w:r>
      <w:r>
        <w:t xml:space="preserve">SevenNet-0 are harmonically perfect yet sit behind MACE-MP-0 and CHGNet on finite-temperature</w:t>
      </w:r>
      <w:r>
        <w:t xml:space="preserve"> </w:t>
      </w:r>
      <w:r>
        <w:t xml:space="preserve">displacive stability. A top harmonic score on the npj/PhononBench benchmarks therefore does not</w:t>
      </w:r>
      <w:r>
        <w:t xml:space="preserve"> </w:t>
      </w:r>
      <w:r>
        <w:t xml:space="preserve">identify the best finite-temperature screener, but neither does it actively mislead. ORB-v2 is the</w:t>
      </w:r>
      <w:r>
        <w:t xml:space="preserve"> </w:t>
      </w:r>
      <w:r>
        <w:t xml:space="preserve">one model that degrades sharply from harmonic to finite temperature (0.867 to 0.667–0.70),</w:t>
      </w:r>
      <w:r>
        <w:t xml:space="preserve"> </w:t>
      </w:r>
      <w:r>
        <w:t xml:space="preserve">consistent with its float32 direct architecture over-softening the PES, though our design cannot</w:t>
      </w:r>
      <w:r>
        <w:t xml:space="preserve"> </w:t>
      </w:r>
      <w:r>
        <w:t xml:space="preserve">separate the architecture from the precision. The stronger evidence that finite temperature is a</w:t>
      </w:r>
      <w:r>
        <w:t xml:space="preserve"> </w:t>
      </w:r>
      <w:r>
        <w:t xml:space="preserve">distinct, harder regime comes not from this ranking comparison but from the displacive recall above</w:t>
      </w:r>
      <w:r>
        <w:t xml:space="preserve"> </w:t>
      </w:r>
      <w:r>
        <w:t xml:space="preserve">and the SSCHA failure in §3.3.</w:t>
      </w:r>
    </w:p>
    <w:bookmarkEnd w:id="24"/>
    <w:bookmarkStart w:id="31" w:name="X3071391ad62650abdc1b0484b081a86a9e497c1"/>
    <w:p>
      <w:pPr>
        <w:pStyle w:val="Heading3"/>
      </w:pPr>
      <w:r>
        <w:t xml:space="preserve">3.3 SSCHA: clean for bcc, a trap for perovskites (the cautionary result)</w:t>
      </w:r>
    </w:p>
    <w:p>
      <w:pPr>
        <w:pStyle w:val="FirstParagraph"/>
      </w:pPr>
      <w:r>
        <w:t xml:space="preserve">We ran multi-mode SSCHA across both families to cross-validate the screen. The result is asymmetric</w:t>
      </w:r>
      <w:r>
        <w:t xml:space="preserve"> </w:t>
      </w:r>
      <w:r>
        <w:t xml:space="preserve">and is itself a central finding. We state at the outset that this concerns SSCHA as it is</w:t>
      </w:r>
      <w:r>
        <w:t xml:space="preserve"> </w:t>
      </w:r>
      <w:r>
        <w:t xml:space="preserve">realistically deployed with an MLIP force engine for a fixed high-symmetry reference, namely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initialisation, a 2×2×2 cell, the v4=False free-energy Hessian, and</w:t>
      </w:r>
      <w:r>
        <w:t xml:space="preserve"> </w:t>
      </w:r>
      <w:r>
        <w:t xml:space="preserve">automatic stochastic relaxation, which is the recipe a practitioner escalating from a cheap screen</w:t>
      </w:r>
      <w:r>
        <w:t xml:space="preserve"> </w:t>
      </w:r>
      <w:r>
        <w:t xml:space="preserve">would actually run. It is not a claim that the SSCHA formalism is wrong; the proper treatment of a</w:t>
      </w:r>
      <w:r>
        <w:t xml:space="preserve"> </w:t>
      </w:r>
      <w:r>
        <w:t xml:space="preserve">structural instability (relaxing the centroids into the distorted phase, or the expensive v4</w:t>
      </w:r>
      <w:r>
        <w:t xml:space="preserve"> </w:t>
      </w:r>
      <w:r>
        <w:t xml:space="preserve">Hessian) answers a different question and is impractical at screening scale (see the root cause</w:t>
      </w:r>
      <w:r>
        <w:t xml:space="preserve"> </w:t>
      </w:r>
      <w:r>
        <w:t xml:space="preserve">below). The finding is that the default escalation path is a trap.</w:t>
      </w:r>
    </w:p>
    <w:p>
      <w:pPr>
        <w:pStyle w:val="BodyText"/>
      </w:pPr>
      <w:r>
        <w:t xml:space="preserve">bcc metals: SSCHA is a clean gold standard, and the screen tracks it. Across Ti/Zr/Hf × 5 models ×</w:t>
      </w:r>
      <w:r>
        <w:t xml:space="preserve"> </w:t>
      </w:r>
      <w:r>
        <w:t xml:space="preserve">5 temperatures (75 runs) SSCHA produced zero numerical failures, with minimum free-energy-Hessian</w:t>
      </w:r>
      <w:r>
        <w:t xml:space="preserve"> </w:t>
      </w:r>
      <w:r>
        <w:t xml:space="preserve">frequencies in a physical [0.0, 2.1] THz range. All five models anharmonically stabilise the bcc</w:t>
      </w:r>
      <w:r>
        <w:t xml:space="preserve"> </w:t>
      </w:r>
      <w:r>
        <w:t xml:space="preserve">phase by ≤50 K (the dynamic-stabilisation temperature, which is far below the thermodynamic</w:t>
      </w:r>
      <w:r>
        <w:t xml:space="preserve"> </w:t>
      </w:r>
      <w:r>
        <w:t xml:space="preserve">transition because bcc-to-hcp/ω is a martensitic, strain-coupled first-order transition; using the</w:t>
      </w:r>
      <w:r>
        <w:t xml:space="preserve"> </w:t>
      </w:r>
      <w:r>
        <w:t xml:space="preserve">thermodynamic T_c to label dynamic stability is the wrong comparison and is what makes the models</w:t>
      </w:r>
      <w:r>
        <w:t xml:space="preserve"> </w:t>
      </w:r>
      <w:r>
        <w:t xml:space="preserve">look false-stable on bcc). The margin to the stability boundary discriminates the models and tracks</w:t>
      </w:r>
      <w:r>
        <w:t xml:space="preserve"> </w:t>
      </w:r>
      <w:r>
        <w:t xml:space="preserve">each model’s harmonic-instability depth: MatterSim and ORB-v2 hug the boundary (~0.4 THz at 50 K),</w:t>
      </w:r>
      <w:r>
        <w:t xml:space="preserve"> </w:t>
      </w:r>
      <w:r>
        <w:t xml:space="preserve">while MACE-MP-0 is firmly stable (~1.8 THz) (Fig. 3). The cheap soft-mode screen tracks SSCHA on</w:t>
      </w:r>
      <w:r>
        <w:t xml:space="preserve"> </w:t>
      </w:r>
      <w:r>
        <w:t xml:space="preserve">bcc: across the 45 paired units the rank correlation of the two minimum frequencies is Spearman</w:t>
      </w:r>
      <w:r>
        <w:t xml:space="preserve"> </w:t>
      </w:r>
      <w:r>
        <w:t xml:space="preserve">ρ = 0.78 with 0.64 sign agreement (Fig. 4). The disagreements are concentrated in ORB-v2’s float32</w:t>
      </w:r>
      <w:r>
        <w:t xml:space="preserve"> </w:t>
      </w:r>
      <w:r>
        <w:t xml:space="preserve">softmode outliers (Ti/Hf near −35 THz, where SSCHA is mildly positive); dropping ORB-v2 raises the</w:t>
      </w:r>
      <w:r>
        <w:t xml:space="preserve"> </w:t>
      </w:r>
      <w:r>
        <w:t xml:space="preserve">sign agreement to 0.78, while the rank correlation softens to 0.63 as the remaining frequency</w:t>
      </w:r>
      <w:r>
        <w:t xml:space="preserve"> </w:t>
      </w:r>
      <w:r>
        <w:t xml:space="preserve">spread narrows. Either way the screen and the gold standard agree on the family where the gold</w:t>
      </w:r>
      <w:r>
        <w:t xml:space="preserve"> </w:t>
      </w:r>
      <w:r>
        <w:t xml:space="preserve">standard is trustworthy.</w:t>
      </w:r>
    </w:p>
    <w:p>
      <w:pPr>
        <w:pStyle w:val="BodyText"/>
      </w:pPr>
      <w:r>
        <w:t xml:space="preserve">Ferroelectric perovskites: SSCHA systematically false-stabilises. On the same FE perovskites at</w:t>
      </w:r>
      <w:r>
        <w:t xml:space="preserve"> </w:t>
      </w:r>
      <w:r>
        <w:t xml:space="preserve">T ≤ 300 K where the screen reaches 0.77 recall, SSCHA correctly identifies the instability in only</w:t>
      </w:r>
      <w:r>
        <w:t xml:space="preserve"> </w:t>
      </w:r>
      <w:r>
        <w:t xml:space="preserve">7 of 30 units (recall 0.23), and the perovskite SSCHA runs include six numerical blow-ups (minimum</w:t>
      </w:r>
      <w:r>
        <w:t xml:space="preserve"> </w:t>
      </w:r>
      <w:r>
        <w:t xml:space="preserve">frequencies down to −2×10⁶ THz, concentrated in the float32 ORB-v2 runs). This is the cautionary</w:t>
      </w:r>
      <w:r>
        <w:t xml:space="preserve"> </w:t>
      </w:r>
      <w:r>
        <w:t xml:space="preserve">result: the expensive gold standard is less reliable than the cheap screen in the displacive regime</w:t>
      </w:r>
      <w:r>
        <w:t xml:space="preserve"> </w:t>
      </w:r>
      <w:r>
        <w:t xml:space="preserve">that dominates generative-CSP outputs (Fig. 5).</w:t>
      </w:r>
    </w:p>
    <w:p>
      <w:pPr>
        <w:pStyle w:val="CaptionedFigure"/>
      </w:pPr>
      <w:r>
        <w:drawing>
          <wp:inline>
            <wp:extent cx="5334000" cy="1866900"/>
            <wp:effectExtent b="0" l="0" r="0" t="0"/>
            <wp:docPr descr="Fig. 3 Multi-mode SSCHA dynamic-stabilisation curves for bcc Ti/Zr/Hf, five models, versus temperature (§3.3). All models stabilise the bcc phase by ≤50 K; the margin to the stability boundary (MatterSim/ORB-v2 hugging ~0.4 THz, MACE-MP-0 firmly stable ~1.8 THz) discriminates the models." title="" id="26" name="Picture"/>
            <a:graphic>
              <a:graphicData uri="http://schemas.openxmlformats.org/drawingml/2006/picture">
                <pic:pic>
                  <pic:nvPicPr>
                    <pic:cNvPr descr="../results/figures/fig_sscha_bc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3</w:t>
      </w:r>
      <w:r>
        <w:t xml:space="preserve"> </w:t>
      </w:r>
      <w:r>
        <w:t xml:space="preserve">Multi-mode SSCHA dynamic-stabilisation curves for bcc Ti/Zr/Hf, five models,</w:t>
      </w:r>
      <w:r>
        <w:t xml:space="preserve"> </w:t>
      </w:r>
      <w:r>
        <w:t xml:space="preserve">versus temperature (§3.3). All models stabilise the bcc phase by ≤50 K; the margin to the stability</w:t>
      </w:r>
      <w:r>
        <w:t xml:space="preserve"> </w:t>
      </w:r>
      <w:r>
        <w:t xml:space="preserve">boundary (MatterSim/ORB-v2 hugging ~0.4 THz, MACE-MP-0 firmly stable ~1.8 THz) discriminates the</w:t>
      </w:r>
      <w:r>
        <w:t xml:space="preserve"> </w:t>
      </w:r>
      <w:r>
        <w:t xml:space="preserve">models.</w:t>
      </w:r>
    </w:p>
    <w:p>
      <w:pPr>
        <w:pStyle w:val="CaptionedFigure"/>
      </w:pPr>
      <w:r>
        <w:drawing>
          <wp:inline>
            <wp:extent cx="5334000" cy="5156200"/>
            <wp:effectExtent b="0" l="0" r="0" t="0"/>
            <wp:docPr descr="Fig. 4 Soft-mode screen vs gold-standard SSCHA minimum frequency on bcc (§3.3): the cheap screen tracks SSCHA on the family where the gold standard is trustworthy." title="" id="29" name="Picture"/>
            <a:graphic>
              <a:graphicData uri="http://schemas.openxmlformats.org/drawingml/2006/picture">
                <pic:pic>
                  <pic:nvPicPr>
                    <pic:cNvPr descr="../results/figures/fig_method_agreemen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4</w:t>
      </w:r>
      <w:r>
        <w:t xml:space="preserve"> </w:t>
      </w:r>
      <w:r>
        <w:t xml:space="preserve">Soft-mode screen vs gold-standard SSCHA minimum frequency on bcc</w:t>
      </w:r>
      <w:r>
        <w:t xml:space="preserve"> </w:t>
      </w:r>
      <w:r>
        <w:t xml:space="preserve">(§3.3): the cheap screen tracks SSCHA on the family where the gold standard is</w:t>
      </w:r>
      <w:r>
        <w:t xml:space="preserve"> </w:t>
      </w:r>
      <w:r>
        <w:t xml:space="preserve">trustworthy.</w:t>
      </w:r>
    </w:p>
    <w:p>
      <w:pPr>
        <w:pStyle w:val="BodyText"/>
      </w:pPr>
      <w:r>
        <w:t xml:space="preserve">Root cause. A controlled diagnostic on cubic BaTiO₃ (MACE-MP-0, 100 K) isolates the mechanism. The</w:t>
      </w:r>
      <w:r>
        <w:t xml:space="preserve"> </w:t>
      </w:r>
      <w:r>
        <w:t xml:space="preserve">harmonic soft mode is −5.6 THz (correctly unstable), but</w:t>
      </w:r>
      <w:r>
        <w:t xml:space="preserve"> </w:t>
      </w:r>
      <w:r>
        <w:rPr>
          <w:rStyle w:val="VerbatimChar"/>
        </w:rPr>
        <w:t xml:space="preserve">ForcePositiveDefinite</w:t>
      </w:r>
      <w:r>
        <w:t xml:space="preserve"> </w:t>
      </w:r>
      <w:r>
        <w:t xml:space="preserve">at initialisation</w:t>
      </w:r>
      <w:r>
        <w:t xml:space="preserve"> </w:t>
      </w:r>
      <w:r>
        <w:t xml:space="preserve">erases it (+2.88 THz); the SCHA auxiliary matrix then stays at +2.89 THz because at low temperature</w:t>
      </w:r>
      <w:r>
        <w:t xml:space="preserve"> </w:t>
      </w:r>
      <w:r>
        <w:t xml:space="preserve">its narrow Gaussian width never samples the anharmonic double well; and the free-energy Hessian</w:t>
      </w:r>
      <w:r>
        <w:t xml:space="preserve"> </w:t>
      </w:r>
      <w:r>
        <w:t xml:space="preserve">without the fourth-order term reproduces that positive curvature (+2.87 THz), giving a false-stable</w:t>
      </w:r>
      <w:r>
        <w:t xml:space="preserve"> </w:t>
      </w:r>
      <w:r>
        <w:t xml:space="preserve">call. Enabling the fourth-order term (</w:t>
      </w:r>
      <w:r>
        <w:rPr>
          <w:rStyle w:val="VerbatimChar"/>
        </w:rPr>
        <w:t xml:space="preserve">include_v4=True</w:t>
      </w:r>
      <w:r>
        <w:t xml:space="preserve">) is the only route that could recover the</w:t>
      </w:r>
      <w:r>
        <w:t xml:space="preserve"> </w:t>
      </w:r>
      <w:r>
        <w:t xml:space="preserve">instability, but it ran for more than 18 min on a single unit without finishing (tens of hours per</w:t>
      </w:r>
      <w:r>
        <w:t xml:space="preserve"> </w:t>
      </w:r>
      <w:r>
        <w:t xml:space="preserve">unit at grid scale) and is numerically viable only in float64. The physically correct SSCHA</w:t>
      </w:r>
      <w:r>
        <w:t xml:space="preserve"> </w:t>
      </w:r>
      <w:r>
        <w:t xml:space="preserve">treatment of a deep displacive instability is to relax the structure into the distorted phase,</w:t>
      </w:r>
      <w:r>
        <w:t xml:space="preserve"> </w:t>
      </w:r>
      <w:r>
        <w:t xml:space="preserve">which changes the question from</w:t>
      </w:r>
      <w:r>
        <w:t xml:space="preserve"> </w:t>
      </w:r>
      <w:r>
        <w:t xml:space="preserve">“is the cubic phase dynamically stable”</w:t>
      </w:r>
      <w:r>
        <w:t xml:space="preserve"> </w:t>
      </w:r>
      <w:r>
        <w:t xml:space="preserve">to</w:t>
      </w:r>
      <w:r>
        <w:t xml:space="preserve"> </w:t>
      </w:r>
      <w:r>
        <w:t xml:space="preserve">“what is the ground</w:t>
      </w:r>
      <w:r>
        <w:t xml:space="preserve"> </w:t>
      </w:r>
      <w:r>
        <w:t xml:space="preserve">state,”</w:t>
      </w:r>
      <w:r>
        <w:t xml:space="preserve"> </w:t>
      </w:r>
      <w:r>
        <w:t xml:space="preserve">and so cannot serve as the benchmark criterion. We therefore use SSCHA as the bcc gold</w:t>
      </w:r>
      <w:r>
        <w:t xml:space="preserve"> </w:t>
      </w:r>
      <w:r>
        <w:t xml:space="preserve">standard and the experimental transition temperature (the SrTiO₃ gate, §2.4) as the validation for</w:t>
      </w:r>
      <w:r>
        <w:t xml:space="preserve"> </w:t>
      </w:r>
      <w:r>
        <w:t xml:space="preserve">the perovskite screen.</w:t>
      </w:r>
    </w:p>
    <w:p>
      <w:pPr>
        <w:pStyle w:val="BodyText"/>
      </w:pPr>
      <w:r>
        <w:t xml:space="preserve">Cubic fluorites confirm the failure is systematic, not numerical. Cubic ZrO₂ (the &gt;2600 K phase,</w:t>
      </w:r>
      <w:r>
        <w:t xml:space="preserve"> </w:t>
      </w:r>
      <w:r>
        <w:t xml:space="preserve">harmonically unstable via the X-point oxygen mode at all temperatures studied) is a cleaner test</w:t>
      </w:r>
      <w:r>
        <w:t xml:space="preserve"> </w:t>
      </w:r>
      <w:r>
        <w:t xml:space="preserve">because its instability is shallower than the FE perovskites and does not trigger the float32</w:t>
      </w:r>
      <w:r>
        <w:t xml:space="preserve"> </w:t>
      </w:r>
      <w:r>
        <w:t xml:space="preserve">blow-ups. The soft-mode screen returns roughly −6.4 to −8 THz for all five models at every</w:t>
      </w:r>
      <w:r>
        <w:t xml:space="preserve"> </w:t>
      </w:r>
      <w:r>
        <w:t xml:space="preserve">temperature (100–900 K), correctly and consistently unstable. SSCHA instead returns ≈ +3 THz at</w:t>
      </w:r>
      <w:r>
        <w:t xml:space="preserve"> </w:t>
      </w:r>
      <w:r>
        <w:t xml:space="preserve">100 K for all five models (false-stable) and then destabilises with temperature (for example</w:t>
      </w:r>
      <w:r>
        <w:t xml:space="preserve"> </w:t>
      </w:r>
      <w:r>
        <w:t xml:space="preserve">MACE-MP-0 −4.6 THz and ORB-v2 −10.2 THz at 900 K), which is both the wrong sign at low T and the</w:t>
      </w:r>
      <w:r>
        <w:t xml:space="preserve"> </w:t>
      </w:r>
      <w:r>
        <w:t xml:space="preserve">wrong temperature trend. Because SSCHA fails the same way on a numerically well-behaved, shallower</w:t>
      </w:r>
      <w:r>
        <w:t xml:space="preserve"> </w:t>
      </w:r>
      <w:r>
        <w:t xml:space="preserve">instability, the false-stable behaviour is intrinsic to the fixed-reference SSCHA deployment (see</w:t>
      </w:r>
      <w:r>
        <w:t xml:space="preserve"> </w:t>
      </w:r>
      <w:r>
        <w:t xml:space="preserve">the root cause above) rather than an artifact of the deepest perovskite wells. HfO₂ shows the same</w:t>
      </w:r>
      <w:r>
        <w:t xml:space="preserve"> </w:t>
      </w:r>
      <w:r>
        <w:t xml:space="preserve">SSCHA false-stable pattern (all models +2.0 to +2.6 THz at 100 K, then destabilising to −4.3/−7.2</w:t>
      </w:r>
      <w:r>
        <w:t xml:space="preserve"> </w:t>
      </w:r>
      <w:r>
        <w:t xml:space="preserve">THz for CHGNet/ORB-v2 by 900 K). Across both fluorites SSCHA produced zero numerical blow-ups yet</w:t>
      </w:r>
      <w:r>
        <w:t xml:space="preserve"> </w:t>
      </w:r>
      <w:r>
        <w:t xml:space="preserve">the same systematic false-stable, which confirms that the failure is a methodological trap, not a</w:t>
      </w:r>
      <w:r>
        <w:t xml:space="preserve"> </w:t>
      </w:r>
      <w:r>
        <w:t xml:space="preserve">numerical one.</w:t>
      </w:r>
    </w:p>
    <w:bookmarkEnd w:id="31"/>
    <w:bookmarkStart w:id="38" w:name="ensemble-disagreement-as-a-guardrail-h3"/>
    <w:p>
      <w:pPr>
        <w:pStyle w:val="Heading3"/>
      </w:pPr>
      <w:r>
        <w:t xml:space="preserve">3.4 Ensemble disagreement as a guardrail (H3)</w:t>
      </w:r>
    </w:p>
    <w:p>
      <w:pPr>
        <w:pStyle w:val="FirstParagraph"/>
      </w:pPr>
      <w:r>
        <w:t xml:space="preserve">Because no single model is reliable across the set, we test whether cross-model disagreement flags</w:t>
      </w:r>
      <w:r>
        <w:t xml:space="preserve"> </w:t>
      </w:r>
      <w:r>
        <w:t xml:space="preserve">the units where the majority-vote consensus finite-temperature call is wrong. On the non-bcc,</w:t>
      </w:r>
      <w:r>
        <w:t xml:space="preserve"> </w:t>
      </w:r>
      <w:r>
        <w:t xml:space="preserve">non-borderline soft-mode units (n = 60; bcc excluded because its thermodynamic-T_c label is the</w:t>
      </w:r>
      <w:r>
        <w:t xml:space="preserve"> </w:t>
      </w:r>
      <w:r>
        <w:t xml:space="preserve">wrong reference for dynamic stability, §3.3), the majority-vote consensus is wrong on 16.7% of</w:t>
      </w:r>
      <w:r>
        <w:t xml:space="preserve"> </w:t>
      </w:r>
      <w:r>
        <w:t xml:space="preserve">units. The disagreement signal separates these: on the 18 units where the five models split on the</w:t>
      </w:r>
      <w:r>
        <w:t xml:space="preserve"> </w:t>
      </w:r>
      <w:r>
        <w:t xml:space="preserve">stable/unstable call, the consensus error rate is 0.39, against 0.07 on the 42 unanimous units, a</w:t>
      </w:r>
      <w:r>
        <w:t xml:space="preserve"> </w:t>
      </w:r>
      <w:r>
        <w:t xml:space="preserve">5.5× enrichment. As a ranked predictor of consensus error, the binary stable/unstable vote split</w:t>
      </w:r>
      <w:r>
        <w:t xml:space="preserve"> </w:t>
      </w:r>
      <w:r>
        <w:t xml:space="preserve">reaches AUC 0.75, whereas the continuous cross-model frequency standard deviation is uninformative</w:t>
      </w:r>
      <w:r>
        <w:t xml:space="preserve"> </w:t>
      </w:r>
      <w:r>
        <w:t xml:space="preserve">(AUC 0.52, no better than chance; Fig. 6).</w:t>
      </w:r>
    </w:p>
    <w:p>
      <w:pPr>
        <w:pStyle w:val="CaptionedFigure"/>
      </w:pPr>
      <w:r>
        <w:drawing>
          <wp:inline>
            <wp:extent cx="4220307" cy="4220307"/>
            <wp:effectExtent b="0" l="0" r="0" t="0"/>
            <wp:docPr descr="Fig. 6 Ensemble-disagreement guardrail (§3.4): the discrete inter-model vote split predicts consensus error (AUC 0.75) while the continuous cross-model frequency spread does not (AUC 0.52)." title="" id="33" name="Picture"/>
            <a:graphic>
              <a:graphicData uri="http://schemas.openxmlformats.org/drawingml/2006/picture">
                <pic:pic>
                  <pic:nvPicPr>
                    <pic:cNvPr descr="../results/figures/fig_ensemble_guardrail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307" cy="4220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6</w:t>
      </w:r>
      <w:r>
        <w:t xml:space="preserve"> </w:t>
      </w:r>
      <w:r>
        <w:t xml:space="preserve">Ensemble-disagreement guardrail (§3.4): the discrete inter-model</w:t>
      </w:r>
      <w:r>
        <w:t xml:space="preserve"> </w:t>
      </w:r>
      <w:r>
        <w:t xml:space="preserve">vote split predicts consensus error (AUC 0.75) while the continuous cross-model frequency spread</w:t>
      </w:r>
      <w:r>
        <w:t xml:space="preserve"> </w:t>
      </w:r>
      <w:r>
        <w:t xml:space="preserve">does not (AUC 0.52).</w:t>
      </w:r>
    </w:p>
    <w:p>
      <w:pPr>
        <w:pStyle w:val="BodyText"/>
      </w:pPr>
      <w:r>
        <w:t xml:space="preserve">This refines H3 into a rule with a caveat: the discrete inter-model vote split is a useful, cheap</w:t>
      </w:r>
      <w:r>
        <w:t xml:space="preserve"> </w:t>
      </w:r>
      <w:r>
        <w:t xml:space="preserve">guardrail (flag any candidate on which the foundation-MLIP ensemble disagrees), but the continuous</w:t>
      </w:r>
      <w:r>
        <w:t xml:space="preserve"> </w:t>
      </w:r>
      <w:r>
        <w:t xml:space="preserve">frequency spread that one might naively threshold is not. The physical reading is that disagreement</w:t>
      </w:r>
      <w:r>
        <w:t xml:space="preserve"> </w:t>
      </w:r>
      <w:r>
        <w:t xml:space="preserve">concentrates near the stability boundary, where split votes coincide with frequencies straddling</w:t>
      </w:r>
      <w:r>
        <w:t xml:space="preserve"> </w:t>
      </w:r>
      <w:r>
        <w:t xml:space="preserve">zero and the call is both most uncertain and most error-prone.</w:t>
      </w:r>
    </w:p>
    <w:p>
      <w:pPr>
        <w:pStyle w:val="CaptionedFigure"/>
      </w:pPr>
      <w:r>
        <w:drawing>
          <wp:inline>
            <wp:extent cx="4220307" cy="4220307"/>
            <wp:effectExtent b="0" l="0" r="0" t="0"/>
            <wp:docPr descr="Fig. 5 Recall of the displacive (ferroelectric-perovskite) instability at T ≤ 300 K: the cheap soft-mode screen (0.77) versus the expensive SSCHA (0.23) (§3.3). The cautionary result is that the gold standard is less reliable than the screen in the regime that matters most." title="" id="36" name="Picture"/>
            <a:graphic>
              <a:graphicData uri="http://schemas.openxmlformats.org/drawingml/2006/picture">
                <pic:pic>
                  <pic:nvPicPr>
                    <pic:cNvPr descr="../results/figures/fig_displacive_recal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307" cy="4220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Fig. 5</w:t>
      </w:r>
      <w:r>
        <w:t xml:space="preserve"> </w:t>
      </w:r>
      <w:r>
        <w:t xml:space="preserve">Recall of the displacive (ferroelectric-perovskite) instability at</w:t>
      </w:r>
      <w:r>
        <w:t xml:space="preserve"> </w:t>
      </w:r>
      <w:r>
        <w:t xml:space="preserve">T ≤ 300 K: the cheap soft-mode screen (0.77) versus the expensive SSCHA (0.23) (§3.3). The</w:t>
      </w:r>
      <w:r>
        <w:t xml:space="preserve"> </w:t>
      </w:r>
      <w:r>
        <w:t xml:space="preserve">cautionary result is that the gold standard is less reliable than the screen in the regime that</w:t>
      </w:r>
      <w:r>
        <w:t xml:space="preserve"> </w:t>
      </w:r>
      <w:r>
        <w:t xml:space="preserve">matters most.</w:t>
      </w:r>
    </w:p>
    <w:bookmarkEnd w:id="38"/>
    <w:bookmarkStart w:id="39" w:name="X054d2a2ddcea26a90d40f6d7c1de66d35e8d344"/>
    <w:p>
      <w:pPr>
        <w:pStyle w:val="Heading3"/>
      </w:pPr>
      <w:r>
        <w:t xml:space="preserve">3.5 Robustness: stochastic noise and finite size</w:t>
      </w:r>
    </w:p>
    <w:p>
      <w:pPr>
        <w:pStyle w:val="FirstParagraph"/>
      </w:pPr>
      <w:r>
        <w:t xml:space="preserve">Stochastic reproducibility. Repeating the bcc-Zr / MACE-MP-0 / 100 K SSCHA with four independent</w:t>
      </w:r>
      <w:r>
        <w:t xml:space="preserve"> </w:t>
      </w:r>
      <w:r>
        <w:t xml:space="preserve">random seeds gives a minimum free-energy-Hessian frequency of +1.798 ± 0.001 THz (range [+1.797,</w:t>
      </w:r>
      <w:r>
        <w:t xml:space="preserve"> </w:t>
      </w:r>
      <w:r>
        <w:t xml:space="preserve">+1.800]). The stochastic noise (≈0.001 THz) is two-to-three orders of magnitude smaller than the</w:t>
      </w:r>
      <w:r>
        <w:t xml:space="preserve"> </w:t>
      </w:r>
      <w:r>
        <w:t xml:space="preserve">cross-model bcc margins (~0.4 THz spread, §3.3), so those margins are real signal rather than</w:t>
      </w:r>
      <w:r>
        <w:t xml:space="preserve"> </w:t>
      </w:r>
      <w:r>
        <w:t xml:space="preserve">sampling noise.</w:t>
      </w:r>
    </w:p>
    <w:p>
      <w:pPr>
        <w:pStyle w:val="BodyText"/>
      </w:pPr>
      <w:r>
        <w:t xml:space="preserve">Finite size. The stability call is insensitive to supercell size on the cases where the test is</w:t>
      </w:r>
      <w:r>
        <w:t xml:space="preserve"> </w:t>
      </w:r>
      <w:r>
        <w:t xml:space="preserve">well-posed (</w:t>
      </w:r>
      <w:r>
        <w:rPr>
          <w:rStyle w:val="VerbatimChar"/>
        </w:rPr>
        <w:t xml:space="preserve">results/convergence_study.parquet</w:t>
      </w:r>
      <w:r>
        <w:t xml:space="preserve">). For bcc-Zr the dynamic-stabilisation verdict</w:t>
      </w:r>
      <w:r>
        <w:t xml:space="preserve"> </w:t>
      </w:r>
      <w:r>
        <w:t xml:space="preserve">holds from 2×2×2 to 3×3×3 (SSCHA +1.80 to +1.56 THz at 100 K, +1.80 to +1.55 at 300 K; soft-mode</w:t>
      </w:r>
      <w:r>
        <w:t xml:space="preserve"> </w:t>
      </w:r>
      <w:r>
        <w:t xml:space="preserve">screen +0.92 to +1.58 THz, stable throughout, the margin shifting by ≤0.25 THz). For the Γ-centred</w:t>
      </w:r>
      <w:r>
        <w:t xml:space="preserve"> </w:t>
      </w:r>
      <w:r>
        <w:t xml:space="preserve">ferroelectric mode of BaTiO₃ the soft-mode screen stays unstable across cell size (−8.5 to −7.3 THz</w:t>
      </w:r>
      <w:r>
        <w:t xml:space="preserve"> </w:t>
      </w:r>
      <w:r>
        <w:t xml:space="preserve">at 100 K). One caveat is intrinsic to the physics rather than the method: the SrTiO₃</w:t>
      </w:r>
      <w:r>
        <w:t xml:space="preserve"> </w:t>
      </w:r>
      <w:r>
        <w:t xml:space="preserve">antiferrodistortive instability lives at the zone-boundary R point = (½,½,½), which is commensurate</w:t>
      </w:r>
      <w:r>
        <w:t xml:space="preserve"> </w:t>
      </w:r>
      <w:r>
        <w:t xml:space="preserve">only with even supercells, so a 3×3×3 cell is blind to it by construction (the screen there reports</w:t>
      </w:r>
      <w:r>
        <w:t xml:space="preserve"> </w:t>
      </w:r>
      <w:r>
        <w:t xml:space="preserve">the Γ value, +0.0 THz, not the R instability at −2.8). A 2×2×2-versus-3×3×3 comparison is therefore</w:t>
      </w:r>
      <w:r>
        <w:t xml:space="preserve"> </w:t>
      </w:r>
      <w:r>
        <w:t xml:space="preserve">not a valid convergence test for R-point systems, and the definitive even-cell test (4×4×4, a</w:t>
      </w:r>
      <w:r>
        <w:t xml:space="preserve"> </w:t>
      </w:r>
      <w:r>
        <w:t xml:space="preserve">~320-atom SSCHA) is left to future work. The §3.3 SSCHA false-stable is not a missing-q artifact:</w:t>
      </w:r>
      <w:r>
        <w:t xml:space="preserve"> </w:t>
      </w:r>
      <w:r>
        <w:t xml:space="preserve">it occurs for the Γ ferroelectric mode of BaTiO₃, which is present in every cell including the</w:t>
      </w:r>
      <w:r>
        <w:t xml:space="preserve"> </w:t>
      </w:r>
      <w:r>
        <w:t xml:space="preserve">2×2×2 used, so the failure is the initialisation/Gaussian-width mechanism of the root-cause</w:t>
      </w:r>
      <w:r>
        <w:t xml:space="preserve"> </w:t>
      </w:r>
      <w:r>
        <w:t xml:space="preserve">diagnostic, not finite size.</w:t>
      </w:r>
    </w:p>
    <w:bookmarkEnd w:id="39"/>
    <w:bookmarkEnd w:id="40"/>
    <w:bookmarkStart w:id="4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harmonic layer (§3.1) reproduces the literature and confirms H1: PES softening produces a real</w:t>
      </w:r>
      <w:r>
        <w:t xml:space="preserve"> </w:t>
      </w:r>
      <w:r>
        <w:t xml:space="preserve">false-stable rate, localised to specific instabilities (bcc Zr/Hf) rather than uniform. The</w:t>
      </w:r>
      <w:r>
        <w:t xml:space="preserve"> </w:t>
      </w:r>
      <w:r>
        <w:t xml:space="preserve">finite-temperature results confirm H2 in a strong form. Harmonic accuracy is non-predictive of</w:t>
      </w:r>
      <w:r>
        <w:t xml:space="preserve"> </w:t>
      </w:r>
      <w:r>
        <w:t xml:space="preserve">finite-temperature accuracy, and the standard escalation (</w:t>
      </w:r>
      <w:r>
        <w:t xml:space="preserve">“if in doubt, run SSCHA”</w:t>
      </w:r>
      <w:r>
        <w:t xml:space="preserve">) fails on the</w:t>
      </w:r>
      <w:r>
        <w:t xml:space="preserve"> </w:t>
      </w:r>
      <w:r>
        <w:t xml:space="preserve">displacive regime, because SSCHA driven by an MLIP false-stabilises deep double wells. The</w:t>
      </w:r>
      <w:r>
        <w:t xml:space="preserve"> </w:t>
      </w:r>
      <w:r>
        <w:t xml:space="preserve">practical recommendation inverts the usual cost/accuracy intuition: for screening</w:t>
      </w:r>
      <w:r>
        <w:t xml:space="preserve"> </w:t>
      </w:r>
      <w:r>
        <w:t xml:space="preserve">harmonically-unstable displacive candidates, the cheap single-mode soft-mode free energy is the</w:t>
      </w:r>
      <w:r>
        <w:t xml:space="preserve"> </w:t>
      </w:r>
      <w:r>
        <w:t xml:space="preserve">more reliable indicator, and SSCHA should be reserved for martensitic and entropy-stabilised cases</w:t>
      </w:r>
      <w:r>
        <w:t xml:space="preserve"> </w:t>
      </w:r>
      <w:r>
        <w:t xml:space="preserve">where its ansatz is sound.</w:t>
      </w:r>
    </w:p>
    <w:p>
      <w:pPr>
        <w:pStyle w:val="BodyText"/>
      </w:pPr>
      <w:r>
        <w:t xml:space="preserve">Limitations. Ground-truth transition temperatures are approximate and scoring is qualitative. SSCHA</w:t>
      </w:r>
      <w:r>
        <w:t xml:space="preserve"> </w:t>
      </w:r>
      <w:r>
        <w:t xml:space="preserve">cells are 2×2×2 (finite size), so dynamic-stabilisation temperatures are approximate, though the</w:t>
      </w:r>
      <w:r>
        <w:t xml:space="preserve"> </w:t>
      </w:r>
      <w:r>
        <w:t xml:space="preserve">cross-model comparison at fixed cell is valid. ORB-v2’s float32-only direct architecture is an</w:t>
      </w:r>
      <w:r>
        <w:t xml:space="preserve"> </w:t>
      </w:r>
      <w:r>
        <w:t xml:space="preserve">outlier in both layers and is flagged throughout rather than excluded.</w:t>
      </w:r>
    </w:p>
    <w:bookmarkEnd w:id="41"/>
    <w:bookmarkStart w:id="42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Finite-temperature dynamic stability is a blind spot of foundation MLIPs and of the harmonic</w:t>
      </w:r>
      <w:r>
        <w:t xml:space="preserve"> </w:t>
      </w:r>
      <w:r>
        <w:t xml:space="preserve">benchmarks used to certify them. A cheap quantum soft-mode free-energy screen recovers the</w:t>
      </w:r>
      <w:r>
        <w:t xml:space="preserve"> </w:t>
      </w:r>
      <w:r>
        <w:t xml:space="preserve">finite-temperature stabilisation that harmonic accuracy does not predict, and, unlike MLIP-driven</w:t>
      </w:r>
      <w:r>
        <w:t xml:space="preserve"> </w:t>
      </w:r>
      <w:r>
        <w:t xml:space="preserve">SSCHA, it remains reliable on the deep displacive instabilities that dominate generative-CSP</w:t>
      </w:r>
      <w:r>
        <w:t xml:space="preserve"> </w:t>
      </w:r>
      <w:r>
        <w:t xml:space="preserve">screening. Harmonic accuracy does not certify a model for finite-temperature use, and neither does</w:t>
      </w:r>
      <w:r>
        <w:t xml:space="preserve"> </w:t>
      </w:r>
      <w:r>
        <w:t xml:space="preserve">an unexamined SSCHA cross-check.</w:t>
      </w:r>
    </w:p>
    <w:bookmarkEnd w:id="42"/>
    <w:bookmarkStart w:id="43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code supporting this article, together with the per-unit results ledger, is openly available</w:t>
      </w:r>
      <w:r>
        <w:t xml:space="preserve"> </w:t>
      </w:r>
      <w:r>
        <w:t xml:space="preserve">in the repository at https://github.com/fronkt/mlip-dynamic-stability and archived at Zenodo at</w:t>
      </w:r>
      <w:r>
        <w:t xml:space="preserve"> </w:t>
      </w:r>
      <w:r>
        <w:t xml:space="preserve">https://doi.org/10.5281/zenodo.20805824. The production results regenerate from</w:t>
      </w:r>
      <w:r>
        <w:t xml:space="preserve"> </w:t>
      </w:r>
      <w:r>
        <w:rPr>
          <w:rStyle w:val="VerbatimChar"/>
        </w:rPr>
        <w:t xml:space="preserve">results/ledger.parquet</w:t>
      </w:r>
      <w:r>
        <w:t xml:space="preserve"> </w:t>
      </w:r>
      <w:r>
        <w:t xml:space="preserve">(per-unit hashed, resumable) and the finite-size runs from</w:t>
      </w:r>
      <w:r>
        <w:t xml:space="preserve"> </w:t>
      </w:r>
      <w:r>
        <w:rPr>
          <w:rStyle w:val="VerbatimChar"/>
        </w:rPr>
        <w:t xml:space="preserve">results/convergence_study.parquet</w:t>
      </w:r>
      <w:r>
        <w:t xml:space="preserve">; figures via</w:t>
      </w:r>
      <w:r>
        <w:t xml:space="preserve"> </w:t>
      </w:r>
      <w:r>
        <w:rPr>
          <w:rStyle w:val="VerbatimChar"/>
        </w:rPr>
        <w:t xml:space="preserve">scripts/make_figures.py</w:t>
      </w:r>
      <w:r>
        <w:t xml:space="preserve">, analysis in</w:t>
      </w:r>
      <w:r>
        <w:t xml:space="preserve"> </w:t>
      </w:r>
      <w:r>
        <w:rPr>
          <w:rStyle w:val="VerbatimChar"/>
        </w:rPr>
        <w:t xml:space="preserve">mlip_dynstab/analysis.py</w:t>
      </w:r>
      <w:r>
        <w:t xml:space="preserve">, the SSCHA root-cause diagnostic in</w:t>
      </w:r>
      <w:r>
        <w:t xml:space="preserve"> </w:t>
      </w:r>
      <w:r>
        <w:rPr>
          <w:rStyle w:val="VerbatimChar"/>
        </w:rPr>
        <w:t xml:space="preserve">scripts/sscha_v4_diag.py</w:t>
      </w:r>
      <w:r>
        <w:t xml:space="preserve">, and the</w:t>
      </w:r>
      <w:r>
        <w:t xml:space="preserve"> </w:t>
      </w:r>
      <w:r>
        <w:t xml:space="preserve">stochastic-reproducibility study (§3.5) via</w:t>
      </w:r>
      <w:r>
        <w:t xml:space="preserve"> </w:t>
      </w:r>
      <w:r>
        <w:rPr>
          <w:rStyle w:val="VerbatimChar"/>
        </w:rPr>
        <w:t xml:space="preserve">scripts/sscha_repro.py</w:t>
      </w:r>
      <w:r>
        <w:t xml:space="preserve"> </w:t>
      </w:r>
      <w:r>
        <w:t xml:space="preserve">(its per-seed frequencies</w:t>
      </w:r>
      <w:r>
        <w:t xml:space="preserve"> </w:t>
      </w:r>
      <w:r>
        <w:t xml:space="preserve">print to the run log rather than to the ledger).</w:t>
      </w:r>
    </w:p>
    <w:bookmarkEnd w:id="43"/>
    <w:bookmarkStart w:id="44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F.C. conceived the study, implemented the benchmark harness and analysis, performed all</w:t>
      </w:r>
      <w:r>
        <w:t xml:space="preserve"> </w:t>
      </w:r>
      <w:r>
        <w:t xml:space="preserve">computations, and wrote the manuscript.</w:t>
      </w:r>
    </w:p>
    <w:bookmarkEnd w:id="44"/>
    <w:bookmarkStart w:id="45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There are no conflicts of interest to declare.</w:t>
      </w:r>
    </w:p>
    <w:bookmarkEnd w:id="45"/>
    <w:bookmarkStart w:id="4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developers of the foundation interatomic-potential packages benchmarked</w:t>
      </w:r>
      <w:r>
        <w:t xml:space="preserve"> </w:t>
      </w:r>
      <w:r>
        <w:t xml:space="preserve">here, MACE-MP-0, CHGNet, ORB, SevenNet and MatterSim, and of phonopy, python-sscha /</w:t>
      </w:r>
      <w:r>
        <w:t xml:space="preserve"> </w:t>
      </w:r>
      <w:r>
        <w:t xml:space="preserve">cellconstructor, ASE and pymatgen, for making their codes and pre-trained models openly available;</w:t>
      </w:r>
      <w:r>
        <w:t xml:space="preserve"> </w:t>
      </w:r>
      <w:r>
        <w:t xml:space="preserve">this benchmark would not have been possible otherwise. Reference structures were obtained from the</w:t>
      </w:r>
      <w:r>
        <w:t xml:space="preserve"> </w:t>
      </w:r>
      <w:r>
        <w:t xml:space="preserve">Materials Project. Computational resources were provided by commercial cloud GPU providers. This</w:t>
      </w:r>
      <w:r>
        <w:t xml:space="preserve"> </w:t>
      </w:r>
      <w:r>
        <w:t xml:space="preserve">research received no specific grant from any funding agency in the public, commercial, or</w:t>
      </w:r>
      <w:r>
        <w:t xml:space="preserve"> </w:t>
      </w:r>
      <w:r>
        <w:t xml:space="preserve">not-for-profit sectors.</w:t>
      </w:r>
    </w:p>
    <w:bookmarkEnd w:id="46"/>
    <w:bookmarkStart w:id="4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A. Loew, D. Sun, H.-C. Wang, S. Botti and M. A. L. Marques,</w:t>
      </w:r>
      <w:r>
        <w:t xml:space="preserve"> </w:t>
      </w:r>
      <w:r>
        <w:rPr>
          <w:i/>
          <w:iCs/>
        </w:rPr>
        <w:t xml:space="preserve">npj Comput. Mater.</w:t>
      </w:r>
      <w:r>
        <w:t xml:space="preserve">, 2025,</w:t>
      </w:r>
      <w:r>
        <w:t xml:space="preserve"> </w:t>
      </w:r>
      <w:r>
        <w:rPr>
          <w:b/>
          <w:bCs/>
        </w:rPr>
        <w:t xml:space="preserve">11</w:t>
      </w:r>
      <w:r>
        <w:t xml:space="preserve">, 178.</w:t>
      </w:r>
    </w:p>
    <w:p>
      <w:pPr>
        <w:pStyle w:val="Compact"/>
        <w:numPr>
          <w:ilvl w:val="0"/>
          <w:numId w:val="1003"/>
        </w:numPr>
      </w:pPr>
      <w:r>
        <w:t xml:space="preserve">X.-Q. Han, P.-J. Guo, Z.-F. Gao, W.-K. Li and Z.-Y. Lu,</w:t>
      </w:r>
      <w:r>
        <w:t xml:space="preserve"> </w:t>
      </w:r>
      <w:r>
        <w:rPr>
          <w:i/>
          <w:iCs/>
        </w:rPr>
        <w:t xml:space="preserve">arXiv</w:t>
      </w:r>
      <w:r>
        <w:t xml:space="preserve">, 2025, arXiv:2512.21227.</w:t>
      </w:r>
    </w:p>
    <w:p>
      <w:pPr>
        <w:pStyle w:val="Compact"/>
        <w:numPr>
          <w:ilvl w:val="0"/>
          <w:numId w:val="1003"/>
        </w:numPr>
      </w:pPr>
      <w:r>
        <w:t xml:space="preserve">G. Petretto, S. Dwaraknath, H. P. C. Miranda, D. Winston, M. Giantomassi, M. J. van Setten, X. Gonze, K. A. Persson, G. Hautier and G.-M. Rignanese,</w:t>
      </w:r>
      <w:r>
        <w:t xml:space="preserve"> </w:t>
      </w:r>
      <w:r>
        <w:rPr>
          <w:i/>
          <w:iCs/>
        </w:rPr>
        <w:t xml:space="preserve">Sci. Data</w:t>
      </w:r>
      <w:r>
        <w:t xml:space="preserve">, 2018,</w:t>
      </w:r>
      <w:r>
        <w:t xml:space="preserve"> </w:t>
      </w:r>
      <w:r>
        <w:rPr>
          <w:b/>
          <w:bCs/>
        </w:rPr>
        <w:t xml:space="preserve">5</w:t>
      </w:r>
      <w:r>
        <w:t xml:space="preserve">, 180065.</w:t>
      </w:r>
    </w:p>
    <w:p>
      <w:pPr>
        <w:pStyle w:val="Compact"/>
        <w:numPr>
          <w:ilvl w:val="0"/>
          <w:numId w:val="1003"/>
        </w:numPr>
      </w:pPr>
      <w:r>
        <w:t xml:space="preserve">L. Monacelli, R. Bianco, M. Cherubini, M. Calandra, I. Errea and F. Mauri,</w:t>
      </w:r>
      <w:r>
        <w:t xml:space="preserve"> </w:t>
      </w:r>
      <w:r>
        <w:rPr>
          <w:i/>
          <w:iCs/>
        </w:rPr>
        <w:t xml:space="preserve">J. Phys.: Condens. Matter</w:t>
      </w:r>
      <w:r>
        <w:t xml:space="preserve">, 2021,</w:t>
      </w:r>
      <w:r>
        <w:t xml:space="preserve"> </w:t>
      </w:r>
      <w:r>
        <w:rPr>
          <w:b/>
          <w:bCs/>
        </w:rPr>
        <w:t xml:space="preserve">33</w:t>
      </w:r>
      <w:r>
        <w:t xml:space="preserve">, 363001.</w:t>
      </w:r>
    </w:p>
    <w:p>
      <w:pPr>
        <w:pStyle w:val="Compact"/>
        <w:numPr>
          <w:ilvl w:val="0"/>
          <w:numId w:val="1003"/>
        </w:numPr>
      </w:pPr>
      <w:r>
        <w:t xml:space="preserve">O. Hellman,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2011,</w:t>
      </w:r>
      <w:r>
        <w:t xml:space="preserve"> </w:t>
      </w:r>
      <w:r>
        <w:rPr>
          <w:b/>
          <w:bCs/>
        </w:rPr>
        <w:t xml:space="preserve">84</w:t>
      </w:r>
      <w:r>
        <w:t xml:space="preserve">, 180301(R); O. Hellman, P. Steneteg, I. A. Abrikosov and S. I. Simak,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2013,</w:t>
      </w:r>
      <w:r>
        <w:t xml:space="preserve"> </w:t>
      </w:r>
      <w:r>
        <w:rPr>
          <w:b/>
          <w:bCs/>
        </w:rPr>
        <w:t xml:space="preserve">87</w:t>
      </w:r>
      <w:r>
        <w:t xml:space="preserve">, 104111.</w:t>
      </w:r>
    </w:p>
    <w:p>
      <w:pPr>
        <w:pStyle w:val="Compact"/>
        <w:numPr>
          <w:ilvl w:val="0"/>
          <w:numId w:val="1003"/>
        </w:numPr>
      </w:pPr>
      <w:r>
        <w:t xml:space="preserve">I. Batatia, P. Benner, Y. Chiang, A. M. Elena, D. P. Kovács, J. Riebesell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2023, arXiv:2401.00096.</w:t>
      </w:r>
    </w:p>
    <w:p>
      <w:pPr>
        <w:pStyle w:val="Compact"/>
        <w:numPr>
          <w:ilvl w:val="0"/>
          <w:numId w:val="1003"/>
        </w:numPr>
      </w:pPr>
      <w:r>
        <w:t xml:space="preserve">B. Deng, P. Zhong, K. Jun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Nat. Mach. Intell.</w:t>
      </w:r>
      <w:r>
        <w:t xml:space="preserve">, 2023,</w:t>
      </w:r>
      <w:r>
        <w:t xml:space="preserve"> </w:t>
      </w:r>
      <w:r>
        <w:rPr>
          <w:b/>
          <w:bCs/>
        </w:rPr>
        <w:t xml:space="preserve">5</w:t>
      </w:r>
      <w:r>
        <w:t xml:space="preserve">, 1031.</w:t>
      </w:r>
    </w:p>
    <w:p>
      <w:pPr>
        <w:pStyle w:val="Compact"/>
        <w:numPr>
          <w:ilvl w:val="0"/>
          <w:numId w:val="1003"/>
        </w:numPr>
      </w:pPr>
      <w:r>
        <w:t xml:space="preserve">M. Neumann, J. Gin, B. Rhodes, S. Bennett, Z. Li, H. Choubisa, A. Hussey and J. Godwin,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arXiv:2410.22570.</w:t>
      </w:r>
    </w:p>
    <w:p>
      <w:pPr>
        <w:pStyle w:val="Compact"/>
        <w:numPr>
          <w:ilvl w:val="0"/>
          <w:numId w:val="1003"/>
        </w:numPr>
      </w:pPr>
      <w:r>
        <w:t xml:space="preserve">Y. Park, J. Kim, S. Hwang and S. Han,</w:t>
      </w:r>
      <w:r>
        <w:t xml:space="preserve"> </w:t>
      </w:r>
      <w:r>
        <w:rPr>
          <w:i/>
          <w:iCs/>
        </w:rPr>
        <w:t xml:space="preserve">J. Chem. Theory Comput.</w:t>
      </w:r>
      <w:r>
        <w:t xml:space="preserve">, 2024,</w:t>
      </w:r>
      <w:r>
        <w:t xml:space="preserve"> </w:t>
      </w:r>
      <w:r>
        <w:rPr>
          <w:b/>
          <w:bCs/>
        </w:rPr>
        <w:t xml:space="preserve">20</w:t>
      </w:r>
      <w:r>
        <w:t xml:space="preserve">, 4857.</w:t>
      </w:r>
    </w:p>
    <w:p>
      <w:pPr>
        <w:pStyle w:val="Compact"/>
        <w:numPr>
          <w:ilvl w:val="0"/>
          <w:numId w:val="1003"/>
        </w:numPr>
      </w:pPr>
      <w:r>
        <w:t xml:space="preserve">H. Yang, C. Hu, Y. Zhou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arXiv</w:t>
      </w:r>
      <w:r>
        <w:t xml:space="preserve">, 2024, arXiv:2405.04967.</w:t>
      </w:r>
    </w:p>
    <w:p>
      <w:pPr>
        <w:pStyle w:val="Compact"/>
        <w:numPr>
          <w:ilvl w:val="0"/>
          <w:numId w:val="1003"/>
        </w:numPr>
      </w:pPr>
      <w:r>
        <w:t xml:space="preserve">T. Tadano and S. Tsuneyuki,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2015,</w:t>
      </w:r>
      <w:r>
        <w:t xml:space="preserve"> </w:t>
      </w:r>
      <w:r>
        <w:rPr>
          <w:b/>
          <w:bCs/>
        </w:rPr>
        <w:t xml:space="preserve">92</w:t>
      </w:r>
      <w:r>
        <w:t xml:space="preserve">, 054301.</w:t>
      </w:r>
    </w:p>
    <w:p>
      <w:pPr>
        <w:pStyle w:val="Compact"/>
        <w:numPr>
          <w:ilvl w:val="0"/>
          <w:numId w:val="1003"/>
        </w:numPr>
      </w:pPr>
      <w:r>
        <w:t xml:space="preserve">W. Zhong, D. Vanderbilt and K. M. Rabe,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1994,</w:t>
      </w:r>
      <w:r>
        <w:t xml:space="preserve"> </w:t>
      </w:r>
      <w:r>
        <w:rPr>
          <w:b/>
          <w:bCs/>
        </w:rPr>
        <w:t xml:space="preserve">73</w:t>
      </w:r>
      <w:r>
        <w:t xml:space="preserve">, 1861.</w:t>
      </w:r>
    </w:p>
    <w:p>
      <w:pPr>
        <w:pStyle w:val="Compact"/>
        <w:numPr>
          <w:ilvl w:val="0"/>
          <w:numId w:val="1003"/>
        </w:numPr>
      </w:pPr>
      <w:r>
        <w:t xml:space="preserve">A. Marronnier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ACS Nano</w:t>
      </w:r>
      <w:r>
        <w:t xml:space="preserve">, 2018,</w:t>
      </w:r>
      <w:r>
        <w:t xml:space="preserve"> </w:t>
      </w:r>
      <w:r>
        <w:rPr>
          <w:b/>
          <w:bCs/>
        </w:rPr>
        <w:t xml:space="preserve">12</w:t>
      </w:r>
      <w:r>
        <w:t xml:space="preserve">, 3477.</w:t>
      </w:r>
    </w:p>
    <w:p>
      <w:pPr>
        <w:pStyle w:val="Compact"/>
        <w:numPr>
          <w:ilvl w:val="0"/>
          <w:numId w:val="1003"/>
        </w:numPr>
      </w:pPr>
      <w:r>
        <w:t xml:space="preserve">L. Monacelli and N. Marzari,</w:t>
      </w:r>
      <w:r>
        <w:t xml:space="preserve"> </w:t>
      </w:r>
      <w:r>
        <w:rPr>
          <w:i/>
          <w:iCs/>
        </w:rPr>
        <w:t xml:space="preserve">Chem. Mater.</w:t>
      </w:r>
      <w:r>
        <w:t xml:space="preserve">, 2023, DOI: 10.1021/acs.chemmater.2c03475.</w:t>
      </w:r>
    </w:p>
    <w:p>
      <w:pPr>
        <w:pStyle w:val="Compact"/>
        <w:numPr>
          <w:ilvl w:val="0"/>
          <w:numId w:val="1003"/>
        </w:numPr>
      </w:pPr>
      <w:r>
        <w:t xml:space="preserve">W. Petry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10933; A. Heiming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1991,</w:t>
      </w:r>
      <w:r>
        <w:t xml:space="preserve"> </w:t>
      </w:r>
      <w:r>
        <w:rPr>
          <w:b/>
          <w:bCs/>
        </w:rPr>
        <w:t xml:space="preserve">43</w:t>
      </w:r>
      <w:r>
        <w:t xml:space="preserve">, 10948.</w:t>
      </w:r>
    </w:p>
    <w:p>
      <w:pPr>
        <w:pStyle w:val="Compact"/>
        <w:numPr>
          <w:ilvl w:val="0"/>
          <w:numId w:val="1003"/>
        </w:numPr>
      </w:pPr>
      <w:r>
        <w:t xml:space="preserve">K. Parlinski, Z. Q. Li and Y. Kawazoe,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, 1997,</w:t>
      </w:r>
      <w:r>
        <w:t xml:space="preserve"> </w:t>
      </w:r>
      <w:r>
        <w:rPr>
          <w:b/>
          <w:bCs/>
        </w:rPr>
        <w:t xml:space="preserve">78</w:t>
      </w:r>
      <w:r>
        <w:t xml:space="preserve">, 4063.</w:t>
      </w:r>
    </w:p>
    <w:p>
      <w:pPr>
        <w:pStyle w:val="Compact"/>
        <w:numPr>
          <w:ilvl w:val="0"/>
          <w:numId w:val="1003"/>
        </w:numPr>
      </w:pPr>
      <w:r>
        <w:t xml:space="preserve">D. A. Wood and N. Marzari,</w:t>
      </w:r>
      <w:r>
        <w:t xml:space="preserve"> </w:t>
      </w:r>
      <w:r>
        <w:rPr>
          <w:i/>
          <w:iCs/>
        </w:rPr>
        <w:t xml:space="preserve">Phys. Rev. B</w:t>
      </w:r>
      <w:r>
        <w:t xml:space="preserve">, 2007,</w:t>
      </w:r>
      <w:r>
        <w:t xml:space="preserve"> </w:t>
      </w:r>
      <w:r>
        <w:rPr>
          <w:b/>
          <w:bCs/>
        </w:rPr>
        <w:t xml:space="preserve">76</w:t>
      </w:r>
      <w:r>
        <w:t xml:space="preserve">, 134301.</w:t>
      </w:r>
    </w:p>
    <w:p>
      <w:pPr>
        <w:pStyle w:val="Compact"/>
        <w:numPr>
          <w:ilvl w:val="0"/>
          <w:numId w:val="1003"/>
        </w:numPr>
      </w:pPr>
      <w:r>
        <w:t xml:space="preserve">A. Ranalli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Adv. Quantum Technol.</w:t>
      </w:r>
      <w:r>
        <w:t xml:space="preserve">, 2023,</w:t>
      </w:r>
      <w:r>
        <w:t xml:space="preserve"> </w:t>
      </w:r>
      <w:r>
        <w:rPr>
          <w:b/>
          <w:bCs/>
        </w:rPr>
        <w:t xml:space="preserve">6</w:t>
      </w:r>
      <w:r>
        <w:t xml:space="preserve">, 2200131.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2026-07-08T07:04:42Z</dcterms:created>
  <dcterms:modified xsi:type="dcterms:W3CDTF">2026-07-08T07:04:42Z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