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2.png" ContentType="image/png"/>
  <Override PartName="/word/media/rId28.png" ContentType="image/png"/>
  <Override PartName="/word/media/rId20.png" ContentType="image/png"/>
  <Override PartName="/word/media/rId25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0950f7d59785a5ea3fab8ceb7ed33297b6e7ed"/>
    <w:p>
      <w:pPr>
        <w:pStyle w:val="Heading1"/>
      </w:pPr>
      <w:r>
        <w:t xml:space="preserve">Finite-temperature dynamic stability separates foundation machine-learning interatomic potentials that harmonic benchmarks rank equally</w:t>
      </w:r>
    </w:p>
    <w:p>
      <w:pPr>
        <w:pStyle w:val="FirstParagraph"/>
      </w:pPr>
      <w:r>
        <w:t xml:space="preserve">Frank Cai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Purdue University, West Lafayette, Indiana, USA. E-mail: frankyc11223@gmail.com.</w:t>
      </w:r>
      <w:r>
        <w:t xml:space="preserve"> </w:t>
      </w:r>
      <w:r>
        <w:t xml:space="preserve">ORCID: 0009-0003-0041-1459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Foundation (universal) machine-learning interatomic potentials (MLIPs) are now used routinely as</w:t>
      </w:r>
      <w:r>
        <w:t xml:space="preserve"> </w:t>
      </w:r>
      <w:r>
        <w:t xml:space="preserve">cheap stand-ins for DFT in high-throughput stability screening, but they are benchmarked almost</w:t>
      </w:r>
      <w:r>
        <w:t xml:space="preserve"> </w:t>
      </w:r>
      <w:r>
        <w:t xml:space="preserve">exclusively against harmonic (0 K) phonons. Dynamic stability is physically a finite-temperature</w:t>
      </w:r>
      <w:r>
        <w:t xml:space="preserve"> </w:t>
      </w:r>
      <w:r>
        <w:t xml:space="preserve">property, and an important class of materials, including cubic perovskites, bcc refractory metals</w:t>
      </w:r>
      <w:r>
        <w:t xml:space="preserve"> </w:t>
      </w:r>
      <w:r>
        <w:t xml:space="preserve">and cubic fluorites, is harmonically unstable but thermally stabilised by anharmonicity. We test</w:t>
      </w:r>
      <w:r>
        <w:t xml:space="preserve"> </w:t>
      </w:r>
      <w:r>
        <w:t xml:space="preserve">five foundation MLIPs (MACE-MP-0, CHGNet, ORB-v2, SevenNet-0, MatterSim) on this regime using a</w:t>
      </w:r>
      <w:r>
        <w:t xml:space="preserve"> </w:t>
      </w:r>
      <w:r>
        <w:t xml:space="preserve">curated set of references whose finite-temperature behaviour is documented in the experimental and</w:t>
      </w:r>
      <w:r>
        <w:t xml:space="preserve"> </w:t>
      </w:r>
      <w:r>
        <w:t xml:space="preserve">DFT literature, so that no new DFT ground truth is required. We introduce a cheap quantum</w:t>
      </w:r>
      <w:r>
        <w:t xml:space="preserve"> </w:t>
      </w:r>
      <w:r>
        <w:t xml:space="preserve">self-consistent-harmonic (SCHA)</w:t>
      </w:r>
      <w:r>
        <w:t xml:space="preserve"> </w:t>
      </w:r>
      <w:r>
        <w:t xml:space="preserve">“soft-mode free energy”</w:t>
      </w:r>
      <w:r>
        <w:t xml:space="preserve"> </w:t>
      </w:r>
      <w:r>
        <w:t xml:space="preserve">screen that evaluates every imaginary</w:t>
      </w:r>
      <w:r>
        <w:t xml:space="preserve"> </w:t>
      </w:r>
      <w:r>
        <w:t xml:space="preserve">commensurate mode and calls the high-symmetry phase unstable if any of them condenses, and we</w:t>
      </w:r>
      <w:r>
        <w:t xml:space="preserve"> </w:t>
      </w:r>
      <w:r>
        <w:t xml:space="preserve">cross-validate it against the gold-standard multi-mode stochastic SCHA (SSCHA). We report three</w:t>
      </w:r>
      <w:r>
        <w:t xml:space="preserve"> </w:t>
      </w:r>
      <w:r>
        <w:t xml:space="preserve">findings together with a practical ensemble-disagreement guardrail. (i) At the harmonic level the</w:t>
      </w:r>
      <w:r>
        <w:t xml:space="preserve"> </w:t>
      </w:r>
      <w:r>
        <w:t xml:space="preserve">models divide: MatterSim and SevenNet-0 reproduce every documented soft mode (accuracy 1.00),</w:t>
      </w:r>
      <w:r>
        <w:t xml:space="preserve"> </w:t>
      </w:r>
      <w:r>
        <w:t xml:space="preserve">whereas MACE-MP-0 and CHGNet soften the bcc Zr/Hf instabilities to zero (15% false-stable rate)</w:t>
      </w:r>
      <w:r>
        <w:t xml:space="preserve"> </w:t>
      </w:r>
      <w:r>
        <w:t xml:space="preserve">and ORB-v2 misses the SrTiO₃ soft mode (8%). (ii) Harmonic accuracy does not predict finite-temperature accuracy in either</w:t>
      </w:r>
      <w:r>
        <w:t xml:space="preserve"> </w:t>
      </w:r>
      <w:r>
        <w:t xml:space="preserve">direction: CHGNet is the worst model harmonically yet the second best at finite temperature, while</w:t>
      </w:r>
      <w:r>
        <w:t xml:space="preserve"> </w:t>
      </w:r>
      <w:r>
        <w:t xml:space="preserve">MatterSim is harmonically perfect and only mid-table, and on the matched set the two are</w:t>
      </w:r>
      <w:r>
        <w:t xml:space="preserve"> </w:t>
      </w:r>
      <w:r>
        <w:t xml:space="preserve">non-significantly concordant at 100 K and significantly anti-associated at 300 K. Screening every</w:t>
      </w:r>
      <w:r>
        <w:t xml:space="preserve"> </w:t>
      </w:r>
      <w:r>
        <w:t xml:space="preserve">imaginary mode rather than the softest one is essential, because the deepest mode need not be the</w:t>
      </w:r>
      <w:r>
        <w:t xml:space="preserve"> </w:t>
      </w:r>
      <w:r>
        <w:t xml:space="preserve">one that condenses: in SrTiO₃ the Γ ferroelectric mode is deeper than the R-point tilt yet is</w:t>
      </w:r>
      <w:r>
        <w:t xml:space="preserve"> </w:t>
      </w:r>
      <w:r>
        <w:t xml:space="preserve">quantum-suppressed, and only the tilt drives the 105 K transition. (iii) Multi-mode SSCHA with an MLIP force</w:t>
      </w:r>
      <w:r>
        <w:t xml:space="preserve"> </w:t>
      </w:r>
      <w:r>
        <w:t xml:space="preserve">engine is a clean gold standard for the martensitic bcc metals, but in its default deployment, with</w:t>
      </w:r>
      <w:r>
        <w:t xml:space="preserve"> </w:t>
      </w:r>
      <w:r>
        <w:t xml:space="preserve">the free-energy Hessian truncated at the bubble, it systematically false-stabilises deep displacive</w:t>
      </w:r>
      <w:r>
        <w:t xml:space="preserve"> </w:t>
      </w:r>
      <w:r>
        <w:t xml:space="preserve">(ferroelectric) instabilities and can diverge numerically. Theory predicts this truncation to fail</w:t>
      </w:r>
      <w:r>
        <w:t xml:space="preserve"> </w:t>
      </w:r>
      <w:r>
        <w:t xml:space="preserve">for cubic metal halide perovskites; we measure the failure at benchmark scale and show it extends to</w:t>
      </w:r>
      <w:r>
        <w:t xml:space="preserve"> </w:t>
      </w:r>
      <w:r>
        <w:t xml:space="preserve">oxide perovskites and, free of stochastic blow-ups, to cubic fluorites. The cheap soft-mode screen</w:t>
      </w:r>
      <w:r>
        <w:t xml:space="preserve"> </w:t>
      </w:r>
      <w:r>
        <w:t xml:space="preserve">is therefore the more reliable finite-temperature indicator for the displacive instabilities that</w:t>
      </w:r>
      <w:r>
        <w:t xml:space="preserve"> </w:t>
      </w:r>
      <w:r>
        <w:t xml:space="preserve">dominate generative crystal-structure-prediction (CSP) screening.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Foundation MLIPs (MACE-MP, CHGNet, ORB, SevenNet, MatterSim, M3GNet) are increasingly used as DFT</w:t>
      </w:r>
      <w:r>
        <w:t xml:space="preserve"> </w:t>
      </w:r>
      <w:r>
        <w:t xml:space="preserve">surrogates in high-throughput pipelines, including the dynamical-stability filtering of generative</w:t>
      </w:r>
      <w:r>
        <w:t xml:space="preserve"> </w:t>
      </w:r>
      <w:r>
        <w:t xml:space="preserve">CSP outputs. Two 2025 works define the state of the art.</w:t>
      </w:r>
      <w:r>
        <w:t xml:space="preserve"> </w:t>
      </w:r>
      <w:r>
        <w:t xml:space="preserve">“Universal MLIPs are ready for</w:t>
      </w:r>
      <w:r>
        <w:t xml:space="preserve"> </w:t>
      </w:r>
      <w:r>
        <w:t xml:space="preserve">phonons”</w:t>
      </w:r>
      <w:r>
        <w:rPr>
          <w:vertAlign w:val="superscript"/>
        </w:rPr>
        <w:t xml:space="preserve">1</w:t>
      </w:r>
      <w:r>
        <w:t xml:space="preserve"> </w:t>
      </w:r>
      <w:r>
        <w:t xml:space="preserve">benchmarks MLIPs against ~10⁴ DFT harmonic phonon calculations</w:t>
      </w:r>
      <w:r>
        <w:rPr>
          <w:vertAlign w:val="superscript"/>
        </w:rPr>
        <w:t xml:space="preserve">3</w:t>
      </w:r>
      <w:r>
        <w:t xml:space="preserve"> </w:t>
      </w:r>
      <w:r>
        <w:t xml:space="preserve">on largely</w:t>
      </w:r>
      <w:r>
        <w:t xml:space="preserve"> </w:t>
      </w:r>
      <w:r>
        <w:t xml:space="preserve">in-distribution materials and reports a systematic potential-energy-surface (PES) softening bias,</w:t>
      </w:r>
      <w:r>
        <w:t xml:space="preserve"> </w:t>
      </w:r>
      <w:r>
        <w:t xml:space="preserve">in which energy and force under-prediction soften modes and over-estimate stability. PhononBench</w:t>
      </w:r>
      <w:r>
        <w:rPr>
          <w:vertAlign w:val="superscript"/>
        </w:rPr>
        <w:t xml:space="preserve">2</w:t>
      </w:r>
      <w:r>
        <w:t xml:space="preserve"> </w:t>
      </w:r>
      <w:r>
        <w:t xml:space="preserve">scores ~1.1×10⁵ generated structures for harmonic dynamical stability using MatterSim itself as the</w:t>
      </w:r>
      <w:r>
        <w:t xml:space="preserve"> </w:t>
      </w:r>
      <w:r>
        <w:t xml:space="preserve">oracle.</w:t>
      </w:r>
    </w:p>
    <w:p>
      <w:pPr>
        <w:pStyle w:val="BodyText"/>
      </w:pPr>
      <w:r>
        <w:t xml:space="preserve">Both are harmonic, that is, 0 K. Dynamic stability is a finite-temperature property, and a</w:t>
      </w:r>
      <w:r>
        <w:t xml:space="preserve"> </w:t>
      </w:r>
      <w:r>
        <w:t xml:space="preserve">technologically central materials class is harmonically unstable yet thermally stabilised by</w:t>
      </w:r>
      <w:r>
        <w:t xml:space="preserve"> </w:t>
      </w:r>
      <w:r>
        <w:t xml:space="preserve">anharmonicity: cubic perovskites (SrTiO₃, BaTiO₃, halide perovskites), bcc refractory metals</w:t>
      </w:r>
      <w:r>
        <w:t xml:space="preserve"> </w:t>
      </w:r>
      <w:r>
        <w:t xml:space="preserve">(β-Ti/Zr/Hf), and cubic fluorites (ZrO₂/HfO₂). Harmonic phonons assign these imaginary modes, yet</w:t>
      </w:r>
      <w:r>
        <w:t xml:space="preserve"> </w:t>
      </w:r>
      <w:r>
        <w:t xml:space="preserve">the high-symmetry phase is the equilibrium phase above a transition temperature, and the</w:t>
      </w:r>
      <w:r>
        <w:t xml:space="preserve"> </w:t>
      </w:r>
      <w:r>
        <w:t xml:space="preserve">harmonic-only oracle that PhononBench and CSP screening rely on is what this regime breaks. Two 2025</w:t>
      </w:r>
      <w:r>
        <w:t xml:space="preserve"> </w:t>
      </w:r>
      <w:r>
        <w:t xml:space="preserve">studies probe finite-temperature reliability directly: four MACE foundation variants were</w:t>
      </w:r>
      <w:r>
        <w:t xml:space="preserve"> </w:t>
      </w:r>
      <w:r>
        <w:t xml:space="preserve">benchmarked for the dynamic stability of halide double perovskites,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and the</w:t>
      </w:r>
      <w:r>
        <w:t xml:space="preserve"> </w:t>
      </w:r>
      <w:r>
        <w:t xml:space="preserve">ferroelectric-to-paraelectric transition of PbTiO₃ was used to expose a disconnect between static</w:t>
      </w:r>
      <w:r>
        <w:t xml:space="preserve"> </w:t>
      </w:r>
      <w:r>
        <w:t xml:space="preserve">accuracy and dynamic reliability.</w:t>
      </w:r>
      <w:r>
        <w:rPr>
          <w:vertAlign w:val="superscript"/>
        </w:rPr>
        <w:t xml:space="preserve">20</w:t>
      </w:r>
      <w:r>
        <w:t xml:space="preserve"> </w:t>
      </w:r>
      <w:r>
        <w:t xml:space="preserve">Both are confined to a single model family or a single</w:t>
      </w:r>
      <w:r>
        <w:t xml:space="preserve"> </w:t>
      </w:r>
      <w:r>
        <w:t xml:space="preserve">system. What remains untested is whether the effect is architecture-general and chemistry-general:</w:t>
      </w:r>
      <w:r>
        <w:t xml:space="preserve"> </w:t>
      </w:r>
      <w:r>
        <w:t xml:space="preserve">no study has classified finite-temperature dynamic stability across several independent MLIP</w:t>
      </w:r>
      <w:r>
        <w:t xml:space="preserve"> </w:t>
      </w:r>
      <w:r>
        <w:t xml:space="preserve">architectures and across the distinct anharmonic families, that is displacive and</w:t>
      </w:r>
      <w:r>
        <w:t xml:space="preserve"> </w:t>
      </w:r>
      <w:r>
        <w:t xml:space="preserve">antiferrodistortive oxide perovskites, halide perovskites, entropy-stabilised bcc refractory metals</w:t>
      </w:r>
      <w:r>
        <w:t xml:space="preserve"> </w:t>
      </w:r>
      <w:r>
        <w:t xml:space="preserve">and cubic fluorites, under a common free-energy criterion and a temperature ladder.</w:t>
      </w:r>
    </w:p>
    <w:p>
      <w:pPr>
        <w:pStyle w:val="BodyText"/>
      </w:pPr>
      <w:r>
        <w:t xml:space="preserve">Research question: do foundation MLIPs reproduce finite-temperature dynamic stability,</w:t>
      </w:r>
      <w:r>
        <w:t xml:space="preserve"> </w:t>
      </w:r>
      <w:r>
        <w:t xml:space="preserve">specifically the harmonic-unstable to thermally-stabilised transition, or does PES softening make</w:t>
      </w:r>
      <w:r>
        <w:t xml:space="preserve"> </w:t>
      </w:r>
      <w:r>
        <w:t xml:space="preserve">their stability calls unreliable where the harmonic approximation fails?</w:t>
      </w:r>
    </w:p>
    <w:p>
      <w:pPr>
        <w:pStyle w:val="BodyText"/>
      </w:pPr>
      <w:r>
        <w:t xml:space="preserve">We pre-registered three hypotheses.</w:t>
      </w:r>
    </w:p>
    <w:p>
      <w:pPr>
        <w:pStyle w:val="Compact"/>
        <w:numPr>
          <w:ilvl w:val="0"/>
          <w:numId w:val="1001"/>
        </w:numPr>
      </w:pPr>
      <w:r>
        <w:t xml:space="preserve">H1 (softening to false-stable). PES softening inflates harmonic stability, so MLIPs over-report</w:t>
      </w:r>
      <w:r>
        <w:t xml:space="preserve"> </w:t>
      </w:r>
      <w:r>
        <w:t xml:space="preserve">stable with a measurable false-stable rate on harmonically-unstable references. This reproduces</w:t>
      </w:r>
      <w:r>
        <w:t xml:space="preserve"> </w:t>
      </w:r>
      <w:r>
        <w:t xml:space="preserve">the literature picture on our model set and anchors the validity of the harness.</w:t>
      </w:r>
    </w:p>
    <w:p>
      <w:pPr>
        <w:pStyle w:val="Compact"/>
        <w:numPr>
          <w:ilvl w:val="0"/>
          <w:numId w:val="1001"/>
        </w:numPr>
      </w:pPr>
      <w:r>
        <w:t xml:space="preserve">H2 (the finite-temperature gap, the contribution). Harmonic accuracy does not certify a model</w:t>
      </w:r>
      <w:r>
        <w:t xml:space="preserve"> </w:t>
      </w:r>
      <w:r>
        <w:t xml:space="preserve">for finite-temperature screening, and the harmonic ranking need not carry over. (The</w:t>
      </w:r>
      <w:r>
        <w:t xml:space="preserve"> </w:t>
      </w:r>
      <w:r>
        <w:t xml:space="preserve">pre-registered form was</w:t>
      </w:r>
      <w:r>
        <w:t xml:space="preserve"> </w:t>
      </w:r>
      <w:r>
        <w:t xml:space="preserve">“harmonic accuracy is uncorrelated with finite-temperature accuracy”</w:t>
      </w:r>
      <w:r>
        <w:t xml:space="preserve">. The</w:t>
      </w:r>
      <w:r>
        <w:t xml:space="preserve"> </w:t>
      </w:r>
      <w:r>
        <w:t xml:space="preserve">matched-set outcome is temperature-dependent — non-significantly concordant at 100 K, and</w:t>
      </w:r>
      <w:r>
        <w:t xml:space="preserve"> </w:t>
      </w:r>
      <w:r>
        <w:t xml:space="preserve">significantly anti-associated at 300 K — so the pre-registered form is neither cleanly confirmed</w:t>
      </w:r>
      <w:r>
        <w:t xml:space="preserve"> </w:t>
      </w:r>
      <w:r>
        <w:t xml:space="preserve">nor cleanly rejected; see §3.2.)</w:t>
      </w:r>
    </w:p>
    <w:p>
      <w:pPr>
        <w:pStyle w:val="Compact"/>
        <w:numPr>
          <w:ilvl w:val="0"/>
          <w:numId w:val="1001"/>
        </w:numPr>
      </w:pPr>
      <w:r>
        <w:t xml:space="preserve">H3 (practical guardrail). Inter-model (ensemble) disagreement flags unreliable calls better than</w:t>
      </w:r>
      <w:r>
        <w:t xml:space="preserve"> </w:t>
      </w:r>
      <w:r>
        <w:t xml:space="preserve">any single model’s self-reported energetics.</w:t>
      </w:r>
    </w:p>
    <w:p>
      <w:pPr>
        <w:pStyle w:val="FirstParagraph"/>
      </w:pPr>
      <w:r>
        <w:t xml:space="preserve">Our contributions are a finite-temperature benchmark on the anharmonic regime spanning five</w:t>
      </w:r>
      <w:r>
        <w:t xml:space="preserve"> </w:t>
      </w:r>
      <w:r>
        <w:t xml:space="preserve">independent MLIP architectures and four anharmonic chemistry families; a cheap, validated</w:t>
      </w:r>
      <w:r>
        <w:t xml:space="preserve"> </w:t>
      </w:r>
      <w:r>
        <w:t xml:space="preserve">free-energy screen whose criterion is the phase rather than a single mode; a cautionary result that</w:t>
      </w:r>
      <w:r>
        <w:t xml:space="preserve"> </w:t>
      </w:r>
      <w:r>
        <w:t xml:space="preserve">MLIP-driven SSCHA at its default bubble truncation false-stabilises deep displacive instabilities,</w:t>
      </w:r>
      <w:r>
        <w:t xml:space="preserve"> </w:t>
      </w:r>
      <w:r>
        <w:t xml:space="preserve">which confirms and extends a published theoretical prediction and changes how such cross-checks</w:t>
      </w:r>
      <w:r>
        <w:t xml:space="preserve"> </w:t>
      </w:r>
      <w:r>
        <w:t xml:space="preserve">should be used; and a practical ensemble-disagreement guardrail (H3).</w:t>
      </w:r>
    </w:p>
    <w:bookmarkEnd w:id="10"/>
    <w:bookmarkStart w:id="16" w:name="methods"/>
    <w:p>
      <w:pPr>
        <w:pStyle w:val="Heading2"/>
      </w:pPr>
      <w:r>
        <w:t xml:space="preserve">2. Methods</w:t>
      </w:r>
    </w:p>
    <w:bookmarkStart w:id="11" w:name="systems-and-ground-truth"/>
    <w:p>
      <w:pPr>
        <w:pStyle w:val="Heading3"/>
      </w:pPr>
      <w:r>
        <w:t xml:space="preserve">2.1 Systems and ground truth</w:t>
      </w:r>
    </w:p>
    <w:p>
      <w:pPr>
        <w:pStyle w:val="FirstParagraph"/>
      </w:pPr>
      <w:r>
        <w:t xml:space="preserve">The curated set (</w:t>
      </w:r>
      <w:r>
        <w:rPr>
          <w:rStyle w:val="VerbatimChar"/>
        </w:rPr>
        <w:t xml:space="preserve">configs/curated_systems.yaml</w:t>
      </w:r>
      <w:r>
        <w:t xml:space="preserve">, 20 systems) comprises references whose</w:t>
      </w:r>
      <w:r>
        <w:t xml:space="preserve"> </w:t>
      </w:r>
      <w:r>
        <w:t xml:space="preserve">harmonic-imaginary and finite-temperature-stable behaviour is documented in the literature, so the</w:t>
      </w:r>
      <w:r>
        <w:t xml:space="preserve"> </w:t>
      </w:r>
      <w:r>
        <w:t xml:space="preserve">ground-truth label needs no new DFT:</w:t>
      </w:r>
    </w:p>
    <w:p>
      <w:pPr>
        <w:pStyle w:val="Compact"/>
        <w:numPr>
          <w:ilvl w:val="0"/>
          <w:numId w:val="1002"/>
        </w:numPr>
      </w:pPr>
      <w:r>
        <w:t xml:space="preserve">Oxide displacive/antiferrodistortive perovskites (4): SrTiO₃,</w:t>
      </w:r>
      <w:r>
        <w:rPr>
          <w:vertAlign w:val="superscript"/>
        </w:rPr>
        <w:t xml:space="preserve">11</w:t>
      </w:r>
      <w:r>
        <w:t xml:space="preserve"> </w:t>
      </w:r>
      <w:r>
        <w:t xml:space="preserve">BaTiO₃, PbTiO₃, KNbO₃.</w:t>
      </w:r>
      <w:r>
        <w:rPr>
          <w:vertAlign w:val="superscript"/>
        </w:rPr>
        <w:t xml:space="preserve">12</w:t>
      </w:r>
    </w:p>
    <w:p>
      <w:pPr>
        <w:pStyle w:val="Compact"/>
        <w:numPr>
          <w:ilvl w:val="0"/>
          <w:numId w:val="1002"/>
        </w:numPr>
      </w:pPr>
      <w:r>
        <w:t xml:space="preserve">Halide perovskites (3): CsPbI₃,</w:t>
      </w:r>
      <w:r>
        <w:rPr>
          <w:vertAlign w:val="superscript"/>
        </w:rPr>
        <w:t xml:space="preserve">13</w:t>
      </w:r>
      <w:r>
        <w:t xml:space="preserve"> </w:t>
      </w:r>
      <w:r>
        <w:t xml:space="preserve">CsSnBr₃, CsSnI₃.</w:t>
      </w:r>
      <w:r>
        <w:rPr>
          <w:vertAlign w:val="superscript"/>
        </w:rPr>
        <w:t xml:space="preserve">14</w:t>
      </w:r>
    </w:p>
    <w:p>
      <w:pPr>
        <w:pStyle w:val="Compact"/>
        <w:numPr>
          <w:ilvl w:val="0"/>
          <w:numId w:val="1002"/>
        </w:numPr>
      </w:pPr>
      <w:r>
        <w:t xml:space="preserve">bcc refractory metals (3): Ti, Zr, Hf (phonon-entropy stabilisation).</w:t>
      </w:r>
      <w:r>
        <w:rPr>
          <w:vertAlign w:val="superscript"/>
        </w:rPr>
        <w:t xml:space="preserve">15</w:t>
      </w:r>
    </w:p>
    <w:p>
      <w:pPr>
        <w:pStyle w:val="Compact"/>
        <w:numPr>
          <w:ilvl w:val="0"/>
          <w:numId w:val="1002"/>
        </w:numPr>
      </w:pPr>
      <w:r>
        <w:t xml:space="preserve">Cubic fluorites (2): ZrO₂, HfO₂.</w:t>
      </w:r>
      <w:r>
        <w:rPr>
          <w:vertAlign w:val="superscript"/>
        </w:rPr>
        <w:t xml:space="preserve">16</w:t>
      </w:r>
    </w:p>
    <w:p>
      <w:pPr>
        <w:pStyle w:val="Compact"/>
        <w:numPr>
          <w:ilvl w:val="0"/>
          <w:numId w:val="1002"/>
        </w:numPr>
      </w:pPr>
      <w:r>
        <w:t xml:space="preserve">Superionic (1): α-AgI.</w:t>
      </w:r>
      <w:r>
        <w:rPr>
          <w:vertAlign w:val="superscript"/>
        </w:rPr>
        <w:t xml:space="preserve">17</w:t>
      </w:r>
    </w:p>
    <w:p>
      <w:pPr>
        <w:pStyle w:val="Compact"/>
        <w:numPr>
          <w:ilvl w:val="0"/>
          <w:numId w:val="1002"/>
        </w:numPr>
      </w:pPr>
      <w:r>
        <w:t xml:space="preserve">Quantum-paraelectric near-control (1): KTaO₃.</w:t>
      </w:r>
      <w:r>
        <w:rPr>
          <w:vertAlign w:val="superscript"/>
        </w:rPr>
        <w:t xml:space="preserve">18</w:t>
      </w:r>
    </w:p>
    <w:p>
      <w:pPr>
        <w:pStyle w:val="Compact"/>
        <w:numPr>
          <w:ilvl w:val="0"/>
          <w:numId w:val="1002"/>
        </w:numPr>
      </w:pPr>
      <w:r>
        <w:t xml:space="preserve">Harmonically-stable controls (6): Si, MgO, NaCl, Cu, diamond, CeO₂ (0 K harmonic stability</w:t>
      </w:r>
      <w:r>
        <w:t xml:space="preserve"> </w:t>
      </w:r>
      <w:r>
        <w:t xml:space="preserve">documented in the DFPT phonon database</w:t>
      </w:r>
      <w:r>
        <w:rPr>
          <w:vertAlign w:val="superscript"/>
        </w:rPr>
        <w:t xml:space="preserve">3</w:t>
      </w:r>
      <w:r>
        <w:t xml:space="preserve">).</w:t>
      </w:r>
    </w:p>
    <w:p>
      <w:pPr>
        <w:pStyle w:val="FirstParagraph"/>
      </w:pPr>
      <w:r>
        <w:t xml:space="preserve">Transition temperatures are approximate, and scoring is qualitative (the correct side of the</w:t>
      </w:r>
      <w:r>
        <w:t xml:space="preserve"> </w:t>
      </w:r>
      <w:r>
        <w:t xml:space="preserve">transition, not a fitted T_c). KTaO₃ is flagged borderline (incipient ferroelectric, DFT mode ≈0;</w:t>
      </w:r>
      <w:r>
        <w:t xml:space="preserve"> </w:t>
      </w:r>
      <w:r>
        <w:t xml:space="preserve">four of five MLIPs call it imaginary) and excluded from headline rates, which leaves 19 scored</w:t>
      </w:r>
      <w:r>
        <w:t xml:space="preserve"> </w:t>
      </w:r>
      <w:r>
        <w:t xml:space="preserve">systems. CeO₂ and NaCl are retained as scored stable controls, since they are genuinely stable and</w:t>
      </w:r>
      <w:r>
        <w:t xml:space="preserve"> </w:t>
      </w:r>
      <w:r>
        <w:t xml:space="preserve">only CHGNet marginally trips them (§3.1). The soft-mode screen and the harmonic baseline cover all</w:t>
      </w:r>
      <w:r>
        <w:t xml:space="preserve"> </w:t>
      </w:r>
      <w:r>
        <w:t xml:space="preserve">20 systems; the SSCHA grid covers the perovskites, fluorites and bcc metals. α-AgI is the one</w:t>
      </w:r>
      <w:r>
        <w:t xml:space="preserve"> </w:t>
      </w:r>
      <w:r>
        <w:t xml:space="preserve">system where the soft-mode screen is on shaky physical ground, because a superionic with a</w:t>
      </w:r>
      <w:r>
        <w:t xml:space="preserve"> </w:t>
      </w:r>
      <w:r>
        <w:t xml:space="preserve">diffusive Ag sublattice has no single frozen order parameter; its screen call is reported but</w:t>
      </w:r>
      <w:r>
        <w:t xml:space="preserve"> </w:t>
      </w:r>
      <w:r>
        <w:t xml:space="preserve">flagged, and it is the natural target for a future symmetry-breaking/MD probe.</w:t>
      </w:r>
    </w:p>
    <w:bookmarkEnd w:id="11"/>
    <w:bookmarkStart w:id="12" w:name="models"/>
    <w:p>
      <w:pPr>
        <w:pStyle w:val="Heading3"/>
      </w:pPr>
      <w:r>
        <w:t xml:space="preserve">2.2 Models</w:t>
      </w:r>
    </w:p>
    <w:p>
      <w:pPr>
        <w:pStyle w:val="FirstParagraph"/>
      </w:pPr>
      <w:r>
        <w:t xml:space="preserve">MACE-MP-0,</w:t>
      </w:r>
      <w:r>
        <w:rPr>
          <w:vertAlign w:val="superscript"/>
        </w:rPr>
        <w:t xml:space="preserve">6</w:t>
      </w:r>
      <w:r>
        <w:t xml:space="preserve"> </w:t>
      </w:r>
      <w:r>
        <w:t xml:space="preserve">CHGNet,</w:t>
      </w:r>
      <w:r>
        <w:rPr>
          <w:vertAlign w:val="superscript"/>
        </w:rPr>
        <w:t xml:space="preserve">7</w:t>
      </w:r>
      <w:r>
        <w:t xml:space="preserve"> </w:t>
      </w:r>
      <w:r>
        <w:t xml:space="preserve">ORB-v2,</w:t>
      </w:r>
      <w:r>
        <w:rPr>
          <w:vertAlign w:val="superscript"/>
        </w:rPr>
        <w:t xml:space="preserve">8</w:t>
      </w:r>
      <w:r>
        <w:t xml:space="preserve"> </w:t>
      </w:r>
      <w:r>
        <w:t xml:space="preserve">SevenNet-0,</w:t>
      </w:r>
      <w:r>
        <w:rPr>
          <w:vertAlign w:val="superscript"/>
        </w:rPr>
        <w:t xml:space="preserve">9</w:t>
      </w:r>
      <w:r>
        <w:t xml:space="preserve"> </w:t>
      </w:r>
      <w:r>
        <w:t xml:space="preserve">and MatterSim</w:t>
      </w:r>
      <w:r>
        <w:rPr>
          <w:vertAlign w:val="superscript"/>
        </w:rPr>
        <w:t xml:space="preserve">10</w:t>
      </w:r>
      <w:r>
        <w:t xml:space="preserve"> </w:t>
      </w:r>
      <w:r>
        <w:t xml:space="preserve">run through a</w:t>
      </w:r>
      <w:r>
        <w:t xml:space="preserve"> </w:t>
      </w:r>
      <w:r>
        <w:t xml:space="preserve">backend-agnostic ASE-calculator harness, with one virtual environment per model. Testing MatterSim</w:t>
      </w:r>
      <w:r>
        <w:t xml:space="preserve"> </w:t>
      </w:r>
      <w:r>
        <w:t xml:space="preserve">directly probes PhononBench’s own oracle. ORB-v2 is a direct, float32-only model; we carry this as</w:t>
      </w:r>
      <w:r>
        <w:t xml:space="preserve"> </w:t>
      </w:r>
      <w:r>
        <w:t xml:space="preserve">an explicit caveat because it manifests in both the harmonic and the finite-temperature results.</w:t>
      </w:r>
    </w:p>
    <w:bookmarkEnd w:id="12"/>
    <w:bookmarkStart w:id="13" w:name="harmonic-baseline-credibility-anchor"/>
    <w:p>
      <w:pPr>
        <w:pStyle w:val="Heading3"/>
      </w:pPr>
      <w:r>
        <w:t xml:space="preserve">2.3 Harmonic baseline (credibility anchor)</w:t>
      </w:r>
    </w:p>
    <w:p>
      <w:pPr>
        <w:pStyle w:val="FirstParagraph"/>
      </w:pPr>
      <w:r>
        <w:t xml:space="preserve">Finite-displacement harmonic phonons (phonopy, 2×2×2 force-constant supercells) with each MLIP,</w:t>
      </w:r>
      <w:r>
        <w:t xml:space="preserve"> </w:t>
      </w:r>
      <w:r>
        <w:t xml:space="preserve">classified by the minimum phonon frequency against an imaginary tolerance (default −0.1 THz). The</w:t>
      </w:r>
      <w:r>
        <w:t xml:space="preserve"> </w:t>
      </w:r>
      <w:r>
        <w:t xml:space="preserve">success criterion is to reproduce the published harmonic stability split. This validates the</w:t>
      </w:r>
      <w:r>
        <w:t xml:space="preserve"> </w:t>
      </w:r>
      <w:r>
        <w:t xml:space="preserve">harness and is not claimed as novel.</w:t>
      </w:r>
    </w:p>
    <w:p>
      <w:pPr>
        <w:pStyle w:val="BodyText"/>
      </w:pPr>
      <w:r>
        <w:t xml:space="preserve">Metrics convention (used throughout). A call is false-stable when a model predicts the</w:t>
      </w:r>
      <w:r>
        <w:t xml:space="preserve"> </w:t>
      </w:r>
      <w:r>
        <w:t xml:space="preserve">high-symmetry phase dynamically stable where the reference is unstable; this is the</w:t>
      </w:r>
      <w:r>
        <w:t xml:space="preserve"> </w:t>
      </w:r>
      <w:r>
        <w:t xml:space="preserve">screening-dangerous error, because it lets an unphysical structure through a CSP filter. A call is</w:t>
      </w:r>
      <w:r>
        <w:t xml:space="preserve"> </w:t>
      </w:r>
      <w:r>
        <w:t xml:space="preserve">false-unstable in the opposite case. Recall (unstable) is the fraction of genuinely-unstable</w:t>
      </w:r>
      <w:r>
        <w:t xml:space="preserve"> </w:t>
      </w:r>
      <w:r>
        <w:t xml:space="preserve">reference units a method correctly flags as unstable. Rates exclude the borderline KTaO₃.</w:t>
      </w:r>
    </w:p>
    <w:bookmarkEnd w:id="13"/>
    <w:bookmarkStart w:id="14" w:name="X80815471d872de9eb221a4e579791b2a55ee763"/>
    <w:p>
      <w:pPr>
        <w:pStyle w:val="Heading3"/>
      </w:pPr>
      <w:r>
        <w:t xml:space="preserve">2.4 Finite-temperature soft-mode free energy (primary screen)</w:t>
      </w:r>
    </w:p>
    <w:p>
      <w:pPr>
        <w:pStyle w:val="FirstParagraph"/>
      </w:pPr>
      <w:r>
        <w:t xml:space="preserve">For each system we relax the structure, compute harmonic force constants, and enumerate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imaginary mode</w:t>
      </w:r>
      <w:r>
        <w:t xml:space="preserve"> </w:t>
      </w:r>
      <w:r>
        <w:t xml:space="preserve">on the force-constant-commensurate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grid by exact</w:t>
      </w:r>
      <w:r>
        <w:t xml:space="preserve"> </w:t>
      </w:r>
      <w:r>
        <w:rPr>
          <w:rStyle w:val="VerbatimChar"/>
        </w:rPr>
        <w:t xml:space="preserve">run_qpoints</w:t>
      </w:r>
      <w:r>
        <w:t xml:space="preserve"> </w:t>
      </w:r>
      <w:r>
        <w:t xml:space="preserve">evaluation over the rational grid the supercell supports (bcc uses 6×6×6 force constants so the</w:t>
      </w:r>
      <w:r>
        <w:t xml:space="preserve"> </w:t>
      </w:r>
      <w:r>
        <w:t xml:space="preserve">ω-phase q = ⅔⟨111⟩ is commensurate). The three acoustic branches at Γ are removed as the branches</w:t>
      </w:r>
      <w:r>
        <w:t xml:space="preserve"> </w:t>
      </w:r>
      <w:r>
        <w:rPr>
          <w:i/>
          <w:iCs/>
        </w:rPr>
        <w:t xml:space="preserve">nearest zero in magnitude</w:t>
      </w:r>
      <w:r>
        <w:t xml:space="preserve">, not the three lowest: when the high-symmetry phase is unstable the soft</w:t>
      </w:r>
      <w:r>
        <w:t xml:space="preserve"> </w:t>
      </w:r>
      <w:r>
        <w:t xml:space="preserve">mode lies below the acoustic zeros, so masking the lowest three would delete the very instability</w:t>
      </w:r>
      <w:r>
        <w:t xml:space="preserve"> </w:t>
      </w:r>
      <w:r>
        <w:t xml:space="preserve">being sought. Modes are deduplicated over degenerate branches and symmetry-equivalent</w:t>
      </w:r>
      <w:r>
        <w:t xml:space="preserve"> </w:t>
      </w:r>
      <w:r>
        <w:rPr>
          <w:b/>
          <w:bCs/>
        </w:rPr>
        <w:t xml:space="preserve">q</w:t>
      </w:r>
      <w:r>
        <w:t xml:space="preserve">, so a</w:t>
      </w:r>
      <w:r>
        <w:t xml:space="preserve"> </w:t>
      </w:r>
      <w:r>
        <w:t xml:space="preserve">triply degenerate T1u triplet and the three arms of a ⟨100⟩ star each cost one E(Q) map rather than</w:t>
      </w:r>
      <w:r>
        <w:t xml:space="preserve"> </w:t>
      </w:r>
      <w:r>
        <w:t xml:space="preserve">three. Each surviving mode is frozen into its minimal commensurate cell via phonopy modulation; we</w:t>
      </w:r>
      <w:r>
        <w:t xml:space="preserve"> </w:t>
      </w:r>
      <w:r>
        <w:t xml:space="preserve">map the static double well E(Q) with quadratic Q sampling, fit the well-plus-barrier window, and</w:t>
      </w:r>
      <w:r>
        <w:t xml:space="preserve"> </w:t>
      </w:r>
      <w:r>
        <w:t xml:space="preserve">minimise a single-mode quantum SCHA free energy over the order-parameter centroid (self-consistent</w:t>
      </w:r>
      <w:r>
        <w:t xml:space="preserve"> </w:t>
      </w:r>
      <w:r>
        <w:t xml:space="preserve">Gaussian width via bracketed root finding).</w:t>
      </w:r>
    </w:p>
    <w:p>
      <w:pPr>
        <w:pStyle w:val="BodyText"/>
      </w:pPr>
      <w:r>
        <w:t xml:space="preserve">Variational free energy per mode. Each frozen mode defines a one-dimensional subsystem with</w:t>
      </w:r>
      <w:r>
        <w:t xml:space="preserve"> </w:t>
      </w:r>
      <w:r>
        <w:t xml:space="preserve">coordinate Q along the unit displacement pattern</w:t>
      </w:r>
      <w:r>
        <w:t xml:space="preserve"> </w:t>
      </w:r>
      <w:r>
        <w:rPr>
          <w:b/>
          <w:bCs/>
        </w:rPr>
        <w:t xml:space="preserve">u</w:t>
      </w:r>
      <w:r>
        <w:t xml:space="preserve">, effective mass</w:t>
      </w:r>
      <w:r>
        <w:t xml:space="preserve"> </w:t>
      </w:r>
      <w:r>
        <w:t xml:space="preserve">M = Σᵢ mᵢ|</w:t>
      </w:r>
      <w:r>
        <w:rPr>
          <w:b/>
          <w:bCs/>
        </w:rPr>
        <w:t xml:space="preserve">u</w:t>
      </w:r>
      <w:r>
        <w:t xml:space="preserve">ᵢ|², and potential V(Q) = aQ² + bQ⁴ + cQ⁶ from the fit above; the Hamiltonian is</w:t>
      </w:r>
      <w:r>
        <w:t xml:space="preserve"> </w:t>
      </w:r>
      <w:r>
        <w:t xml:space="preserve">H = P²/2M + V(Q). We treat it with the self-consistent harmonic approximation in its original</w:t>
      </w:r>
      <w:r>
        <w:t xml:space="preserve"> </w:t>
      </w:r>
      <w:r>
        <w:t xml:space="preserve">single-mode form,</w:t>
      </w:r>
      <w:r>
        <w:rPr>
          <w:vertAlign w:val="superscript"/>
        </w:rPr>
        <w:t xml:space="preserve">23,24</w:t>
      </w:r>
      <w:r>
        <w:t xml:space="preserve"> </w:t>
      </w:r>
      <w:r>
        <w:t xml:space="preserve">built on the Peierls variational bound</w:t>
      </w:r>
      <w:r>
        <w:rPr>
          <w:vertAlign w:val="superscript"/>
        </w:rPr>
        <w:t xml:space="preserve">25,26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≤</m:t>
          </m:r>
          <m:r>
            <m:rPr>
              <m:scr m:val="script"/>
              <m:sty m:val="p"/>
            </m:rPr>
            <m:t>F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Ω</m:t>
          </m:r>
          <m:r>
            <m:rPr>
              <m:sty m:val="p"/>
            </m:rPr>
            <m:t>;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V</m:t>
          </m:r>
          <m:sSub>
            <m:e>
              <m:r>
                <m:rPr>
                  <m:sty m:val="p"/>
                </m:rPr>
                <m:t>⟩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σ</m:t>
              </m:r>
            </m:sub>
          </m:sSub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rPr>
                  <m:sty m:val="p"/>
                </m:rPr>
                <m:t>Ω</m:t>
              </m:r>
            </m:e>
            <m:sup>
              <m:r>
                <m:t>2</m:t>
              </m:r>
            </m:sup>
          </m:sSup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trial state is the thermal density of a harmonic oscillator of frequency Ω displaced to</w:t>
      </w:r>
      <w:r>
        <w:t xml:space="preserve"> </w:t>
      </w:r>
      <w:r>
        <w:t xml:space="preserve">centroid Q₀, F₀(Ω,T) = k_BT ln[2 sinh(ħΩ/2k_BT)] is its free energy, and the last term removes the</w:t>
      </w:r>
      <w:r>
        <w:t xml:space="preserve"> </w:t>
      </w:r>
      <w:r>
        <w:t xml:space="preserve">trial potential counted in F₀. The trial density is a Gaussian of mean Q₀ and quantum width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ℏ</m:t>
              </m:r>
            </m:num>
            <m:den>
              <m:r>
                <m:t>2</m:t>
              </m:r>
              <m:r>
                <m:t>M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coth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ℏ</m:t>
                  </m:r>
                  <m:r>
                    <m:rPr>
                      <m:sty m:val="p"/>
                    </m:rPr>
                    <m:t>Ω</m:t>
                  </m:r>
                </m:num>
                <m:den>
                  <m:r>
                    <m:t>2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carries the nuclear quantum effects: at high T it recovers the classical k_BT/MΩ², and at</w:t>
      </w:r>
      <w:r>
        <w:t xml:space="preserve"> </w:t>
      </w:r>
      <w:r>
        <w:t xml:space="preserve">T → 0 it retains the zero-point width that suppresses condensation in shallow wells (quantum</w:t>
      </w:r>
      <w:r>
        <w:t xml:space="preserve"> </w:t>
      </w:r>
      <w:r>
        <w:t xml:space="preserve">paraelectricity). The Gaussian expectation of the even sextic follows from the moments</w:t>
      </w:r>
      <w:r>
        <w:t xml:space="preserve"> </w:t>
      </w:r>
      <w:r>
        <w:t xml:space="preserve">⟨Q²⟩ = Q₀² + σ², ⟨Q⁴⟩ = Q₀⁴ + 6Q₀²σ² + 3σ⁴, ⟨Q⁶⟩ = Q₀⁶ + 15Q₀⁴σ² + 45Q₀²σ⁴ + 15σ⁶. Stationarity</w:t>
      </w:r>
      <w:r>
        <w:t xml:space="preserve"> </w:t>
      </w:r>
      <w:r>
        <w:t xml:space="preserve">of 𝓕 with respect to Ω at fixed Q₀ gives the self-consistency condition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r>
                <m:rPr>
                  <m:sty m:val="p"/>
                </m:rP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″</m:t>
              </m:r>
            </m:sup>
          </m:sSup>
          <m:sSub>
            <m:e>
              <m:r>
                <m:rPr>
                  <m:sty m:val="p"/>
                </m:rPr>
                <m:t>⟩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σ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12</m:t>
          </m:r>
          <m:r>
            <m:t>b</m:t>
          </m:r>
          <m:r>
            <m:t> </m:t>
          </m:r>
          <m:r>
            <m:rPr>
              <m:sty m:val="p"/>
            </m:rPr>
            <m:t>⟨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t>30</m:t>
          </m:r>
          <m:r>
            <m:t>c</m:t>
          </m:r>
          <m:r>
            <m:t> </m:t>
          </m:r>
          <m:r>
            <m:rPr>
              <m:sty m:val="p"/>
            </m:rPr>
            <m:t>⟨</m:t>
          </m:r>
          <m:sSup>
            <m:e>
              <m:r>
                <m:t>Q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we solve by bracketed root finding on σ² (avoiding the runaway large-σ fixed point a damped</w:t>
      </w:r>
      <w:r>
        <w:t xml:space="preserve"> </w:t>
      </w:r>
      <w:r>
        <w:t xml:space="preserve">iteration can reach), and 𝓕 is then minimised over the centroid on a Q₀ grid.</w:t>
      </w:r>
    </w:p>
    <w:p>
      <w:pPr>
        <w:pStyle w:val="BodyText"/>
      </w:pPr>
      <w:r>
        <w:t xml:space="preserve">Criterion and observable. Two distinct quantities come out of 𝓕, and we keep them separate. The</w:t>
      </w:r>
      <w:r>
        <w:t xml:space="preserve"> </w:t>
      </w:r>
      <w:r>
        <w:rPr>
          <w:b/>
          <w:bCs/>
        </w:rPr>
        <w:t xml:space="preserve">stability call</w:t>
      </w:r>
      <w:r>
        <w:t xml:space="preserve"> </w:t>
      </w:r>
      <w:r>
        <w:t xml:space="preserve">is the variational one: the mode has condensed at T if the global minimum of</w:t>
      </w:r>
      <w:r>
        <w:t xml:space="preserve"> </w:t>
      </w:r>
      <w:r>
        <w:t xml:space="preserve">𝓕(Q₀; T) sits at Q₀ &gt; 0 — by the bound above, the displaced state then has the lower free energy.</w:t>
      </w:r>
      <w:r>
        <w:t xml:space="preserve"> </w:t>
      </w:r>
      <w:r>
        <w:t xml:space="preserve">The high-symmetry structure is dynamically unstable at T 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screened mode condenses, and</w:t>
      </w:r>
      <w:r>
        <w:t xml:space="preserve"> </w:t>
      </w:r>
      <w:r>
        <w:t xml:space="preserve">stable only when none does; dynamical stability is a property of the phase, not of one mode.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reported frequency</w:t>
      </w:r>
      <w:r>
        <w:t xml:space="preserve"> </w:t>
      </w:r>
      <w:r>
        <w:t xml:space="preserve">is the curvature of the free energy at the symmetric point,</w:t>
      </w:r>
      <w:r>
        <w:t xml:space="preserve"> </w:t>
      </w:r>
      <w:r>
        <w:t xml:space="preserve">ω_eff = sign(𝓕″(0)) · [|𝓕″(0)|/M]^½, the single-mode analogue of the SSCHA free-energy Hessian</w:t>
      </w:r>
      <w:r>
        <w:rPr>
          <w:vertAlign w:val="superscript"/>
        </w:rPr>
        <w:t xml:space="preserve">21</w:t>
      </w:r>
      <w:r>
        <w:t xml:space="preserve"> </w:t>
      </w:r>
      <w:r>
        <w:t xml:space="preserve">and a genuine signed observable (𝓕 is even in Q₀, so the curvature is evaluated by a symmetric</w:t>
      </w:r>
      <w:r>
        <w:t xml:space="preserve"> </w:t>
      </w:r>
      <w:r>
        <w:t xml:space="preserve">finite difference). The two can disagree, and the disagreement is physics rather than noise: for a</w:t>
      </w:r>
      <w:r>
        <w:t xml:space="preserve"> </w:t>
      </w:r>
      <w:r>
        <w:t xml:space="preserve">deep double well the variational transition is first-order-like, so 𝓕(0) remains a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minimum</w:t>
      </w:r>
      <w:r>
        <w:t xml:space="preserve"> </w:t>
      </w:r>
      <w:r>
        <w:t xml:space="preserve">(positive curvature) while a displaced minimum drops below it. A curvature criterion is blind to</w:t>
      </w:r>
      <w:r>
        <w:t xml:space="preserve"> </w:t>
      </w:r>
      <w:r>
        <w:t xml:space="preserve">that condensation by construction — the same blindness that afflicts any free-energy Hessian</w:t>
      </w:r>
      <w:r>
        <w:t xml:space="preserve"> </w:t>
      </w:r>
      <w:r>
        <w:t xml:space="preserve">evaluated at a fixed high-symmetry reference — and we record every such mode (</w:t>
      </w:r>
      <w:r>
        <w:rPr>
          <w:rStyle w:val="VerbatimChar"/>
        </w:rPr>
        <w:t xml:space="preserve">n_curv_blind</w:t>
      </w:r>
      <w:r>
        <w:t xml:space="preserve"> </w:t>
      </w:r>
      <w:r>
        <w:t xml:space="preserve">in</w:t>
      </w:r>
      <w:r>
        <w:t xml:space="preserve"> </w:t>
      </w:r>
      <w:r>
        <w:t xml:space="preserve">the ledger) rather than folding it into either number.</w:t>
      </w:r>
    </w:p>
    <w:p>
      <w:pPr>
        <w:pStyle w:val="BodyText"/>
      </w:pPr>
      <w:r>
        <w:t xml:space="preserve">Screening only a single mode — even the globally softest — conflates physically distinct</w:t>
      </w:r>
      <w:r>
        <w:t xml:space="preserve"> </w:t>
      </w:r>
      <w:r>
        <w:t xml:space="preserve">instabilities. Cubic SrTiO₃ is the decisive case: its Γ ferroelectric mode is</w:t>
      </w:r>
      <w:r>
        <w:t xml:space="preserve"> </w:t>
      </w:r>
      <w:r>
        <w:rPr>
          <w:i/>
          <w:iCs/>
        </w:rPr>
        <w:t xml:space="preserve">deeper</w:t>
      </w:r>
      <w:r>
        <w:t xml:space="preserve"> </w:t>
      </w:r>
      <w:r>
        <w:t xml:space="preserve">than the</w:t>
      </w:r>
      <w:r>
        <w:t xml:space="preserve"> </w:t>
      </w:r>
      <w:r>
        <w:t xml:space="preserve">R-point antiferrodistortive tilt, yet the Γ mode is quantum-suppressed and never condenses while</w:t>
      </w:r>
      <w:r>
        <w:t xml:space="preserve"> </w:t>
      </w:r>
      <w:r>
        <w:t xml:space="preserve">the R tilt is what drives the 105 K transition, so a softest-mode screen inspects the wrong mode</w:t>
      </w:r>
      <w:r>
        <w:t xml:space="preserve"> </w:t>
      </w:r>
      <w:r>
        <w:t xml:space="preserve">and calls the cubic phase stable. The E(Q) maps are temperature-independent and cached, so each</w:t>
      </w:r>
      <w:r>
        <w:t xml:space="preserve"> </w:t>
      </w:r>
      <w:r>
        <w:t xml:space="preserve">temperature is a sub-second CPU solve over all modes. A cap of 24 modes per unit bounds the cost;</w:t>
      </w:r>
      <w:r>
        <w:t xml:space="preserve"> </w:t>
      </w:r>
      <w:r>
        <w:t xml:space="preserve">it binds on 20 of the 400 units, every one of which is already called unstable with at least three</w:t>
      </w:r>
      <w:r>
        <w:t xml:space="preserve"> </w:t>
      </w:r>
      <w:r>
        <w:t xml:space="preserve">condensing modes, so it cannot affect any call (a cap can only ever create a false-</w:t>
      </w:r>
      <w:r>
        <w:rPr>
          <w:i/>
          <w:iCs/>
        </w:rPr>
        <w:t xml:space="preserve">stable</w:t>
      </w:r>
      <w:r>
        <w:t xml:space="preserve">, which</w:t>
      </w:r>
      <w:r>
        <w:t xml:space="preserve"> </w:t>
      </w:r>
      <w:r>
        <w:t xml:space="preserve">would require all 24 screened modes to be non-condensing). Three earlier finite-temperature routes</w:t>
      </w:r>
      <w:r>
        <w:t xml:space="preserve"> </w:t>
      </w:r>
      <w:r>
        <w:t xml:space="preserve">(hand-rolled TDEP,</w:t>
      </w:r>
      <w:r>
        <w:rPr>
          <w:vertAlign w:val="superscript"/>
        </w:rPr>
        <w:t xml:space="preserve">5</w:t>
      </w:r>
      <w:r>
        <w:t xml:space="preserve"> </w:t>
      </w:r>
      <w:r>
        <w:t xml:space="preserve">one-shot hiPhive, and rattled-MD) were implemented and discarded after they</w:t>
      </w:r>
      <w:r>
        <w:t xml:space="preserve"> </w:t>
      </w:r>
      <w:r>
        <w:t xml:space="preserve">failed the SrTiO₃ gate; see the ESI.</w:t>
      </w:r>
    </w:p>
    <w:p>
      <w:pPr>
        <w:pStyle w:val="BodyText"/>
      </w:pPr>
      <w:r>
        <w:t xml:space="preserve">Approximations, declared. Table 1 states what the screen neglects, the expected direction of the</w:t>
      </w:r>
      <w:r>
        <w:t xml:space="preserve"> </w:t>
      </w:r>
      <w:r>
        <w:t xml:space="preserve">bias, and where the consequence is visible in our own data.</w:t>
      </w:r>
    </w:p>
    <w:p>
      <w:pPr>
        <w:pStyle w:val="BodyText"/>
      </w:pPr>
      <w:r>
        <w:rPr>
          <w:b/>
          <w:bCs/>
        </w:rPr>
        <w:t xml:space="preserve">Table 1</w:t>
      </w:r>
      <w:r>
        <w:t xml:space="preserve"> </w:t>
      </w:r>
      <w:r>
        <w:t xml:space="preserve">The screen’s approximation ledger.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Approximation</w:t>
            </w:r>
          </w:p>
        </w:tc>
        <w:tc>
          <w:tcPr/>
          <w:p>
            <w:pPr>
              <w:pStyle w:val="Compact"/>
            </w:pPr>
            <w:r>
              <w:t xml:space="preserve">What it excludes</w:t>
            </w:r>
          </w:p>
        </w:tc>
        <w:tc>
          <w:tcPr/>
          <w:p>
            <w:pPr>
              <w:pStyle w:val="Compact"/>
            </w:pPr>
            <w:r>
              <w:t xml:space="preserve">Expected bias</w:t>
            </w:r>
          </w:p>
        </w:tc>
        <w:tc>
          <w:tcPr/>
          <w:p>
            <w:pPr>
              <w:pStyle w:val="Compact"/>
            </w:pPr>
            <w:r>
              <w:t xml:space="preserve">Where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One mode at a time</w:t>
            </w:r>
          </w:p>
        </w:tc>
        <w:tc>
          <w:tcPr/>
          <w:p>
            <w:pPr>
              <w:pStyle w:val="Compact"/>
            </w:pPr>
            <w:r>
              <w:t xml:space="preserve">Mode–mode coupling and cooperative condensation</w:t>
            </w:r>
          </w:p>
        </w:tc>
        <w:tc>
          <w:tcPr/>
          <w:p>
            <w:pPr>
              <w:pStyle w:val="Compact"/>
            </w:pPr>
            <w:r>
              <w:t xml:space="preserve">Either sign; absolute T* unreliable</w:t>
            </w:r>
          </w:p>
        </w:tc>
        <w:tc>
          <w:tcPr/>
          <w:p>
            <w:pPr>
              <w:pStyle w:val="Compact"/>
            </w:pPr>
            <w:r>
              <w:t xml:space="preserve">PbTiO₃ T* ordering failure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Commensurate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Instabilities at incommensurate or finer-grid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False-stable if the true soft mode is missed</w:t>
            </w:r>
          </w:p>
        </w:tc>
        <w:tc>
          <w:tcPr/>
          <w:p>
            <w:pPr>
              <w:pStyle w:val="Compact"/>
            </w:pPr>
            <w:r>
              <w:t xml:space="preserve">R point needs even cells (§3.5); bcc ω needs 6×6×6 FCs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Sextic fit on a well+barrier window</w:t>
            </w:r>
          </w:p>
        </w:tc>
        <w:tc>
          <w:tcPr/>
          <w:p>
            <w:pPr>
              <w:pStyle w:val="Compact"/>
            </w:pPr>
            <w:r>
              <w:t xml:space="preserve">Steep-wall anharmonicity beyond Q⁶</w:t>
            </w:r>
          </w:p>
        </w:tc>
        <w:tc>
          <w:tcPr/>
          <w:p>
            <w:pPr>
              <w:pStyle w:val="Compact"/>
            </w:pPr>
            <w:r>
              <w:t xml:space="preserve">Barrier-shape error at large Q</w:t>
            </w:r>
          </w:p>
        </w:tc>
        <w:tc>
          <w:tcPr/>
          <w:p>
            <w:pPr>
              <w:pStyle w:val="Compact"/>
            </w:pPr>
            <w:r>
              <w:t xml:space="preserve">Fit window sensitivity (ESI)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Gaussian (SCHA) trial state</w:t>
            </w:r>
          </w:p>
        </w:tc>
        <w:tc>
          <w:tcPr/>
          <w:p>
            <w:pPr>
              <w:pStyle w:val="Compact"/>
            </w:pPr>
            <w:r>
              <w:t xml:space="preserve">Tunnelling, non-Gaussian density; renders deep-well transitions first-order-like</w:t>
            </w:r>
          </w:p>
        </w:tc>
        <w:tc>
          <w:tcPr/>
          <w:p>
            <w:pPr>
              <w:pStyle w:val="Compact"/>
            </w:pPr>
            <w:r>
              <w:t xml:space="preserve">Curvature misses condensation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n_curv_blind</w:t>
            </w:r>
            <w:r>
              <w:t xml:space="preserve"> </w:t>
            </w:r>
            <w:r>
              <w:t xml:space="preserve">rows; §3.3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Static E(Q) in a clamped cell</w:t>
            </w:r>
          </w:p>
        </w:tc>
        <w:tc>
          <w:tcPr/>
          <w:p>
            <w:pPr>
              <w:pStyle w:val="Compact"/>
            </w:pPr>
            <w:r>
              <w:t xml:space="preserve">Thermal expansion and strain coupling</w:t>
            </w:r>
          </w:p>
        </w:tc>
        <w:tc>
          <w:tcPr/>
          <w:p>
            <w:pPr>
              <w:pStyle w:val="Compact"/>
            </w:pPr>
            <w:r>
              <w:t xml:space="preserve">Under-stabilises martensitic systems</w:t>
            </w:r>
          </w:p>
        </w:tc>
        <w:tc>
          <w:tcPr/>
          <w:p>
            <w:pPr>
              <w:pStyle w:val="Compact"/>
            </w:pPr>
            <w:r>
              <w:t xml:space="preserve">bcc labelled via SSCHA instead 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Mode cap (24)</w:t>
            </w:r>
          </w:p>
        </w:tc>
        <w:tc>
          <w:tcPr/>
          <w:p>
            <w:pPr>
              <w:pStyle w:val="Compact"/>
            </w:pPr>
            <w:r>
              <w:t xml:space="preserve">Modes beyond the 24 most imaginary</w:t>
            </w:r>
          </w:p>
        </w:tc>
        <w:tc>
          <w:tcPr/>
          <w:p>
            <w:pPr>
              <w:pStyle w:val="Compact"/>
            </w:pPr>
            <w:r>
              <w:t xml:space="preserve">Could only create false-stables</w:t>
            </w:r>
          </w:p>
        </w:tc>
        <w:tc>
          <w:tcPr/>
          <w:p>
            <w:pPr>
              <w:pStyle w:val="Compact"/>
            </w:pPr>
            <w:r>
              <w:t xml:space="preserve">Binds on 20/400 units, all already unstable (§2.4)</w:t>
            </w:r>
          </w:p>
        </w:tc>
      </w:tr>
    </w:tbl>
    <w:p>
      <w:pPr>
        <w:pStyle w:val="BodyText"/>
      </w:pPr>
      <w:r>
        <w:t xml:space="preserve">Validation gate. Cubic SrTiO₃ resolves three distinct imaginary commensurate modes, and the screen</w:t>
      </w:r>
      <w:r>
        <w:t xml:space="preserve"> </w:t>
      </w:r>
      <w:r>
        <w:t xml:space="preserve">reports which of them condenses. At 100 K the Γ ferroelectric mode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condense (Q₀ = 0),</w:t>
      </w:r>
      <w:r>
        <w:t xml:space="preserve"> </w:t>
      </w:r>
      <w:r>
        <w:t xml:space="preserve">which is the physically correct quantum-paraelectric result, while the R = (½,½,½) tilt does</w:t>
      </w:r>
      <w:r>
        <w:t xml:space="preserve"> </w:t>
      </w:r>
      <w:r>
        <w:t xml:space="preserve">(Q₀ = 0.14 Å); by 300 K neither condenses. The phase is therefore called unstable at 100 K and</w:t>
      </w:r>
      <w:r>
        <w:t xml:space="preserve"> </w:t>
      </w:r>
      <w:r>
        <w:t xml:space="preserve">stable at 300 K, bracketing the experimental transition at 105 K. The gate also exercises the</w:t>
      </w:r>
      <w:r>
        <w:t xml:space="preserve"> </w:t>
      </w:r>
      <w:r>
        <w:t xml:space="preserve">criterion/observable distinction above: at 100 K the condensing tilt still has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symmetric-point curvature (+0.92 THz, hardening to +1.43 THz at 300 K), so this is a</w:t>
      </w:r>
      <w:r>
        <w:t xml:space="preserve"> </w:t>
      </w:r>
      <w:r>
        <w:t xml:space="preserve">first-order-like condensation that the free energy’s argmin detects and its curvature does not —</w:t>
      </w:r>
      <w:r>
        <w:t xml:space="preserve"> </w:t>
      </w:r>
      <w:r>
        <w:t xml:space="preserve">the same mechanism, inside the cheap screen, that defeats the fixed-reference SSCHA Hessian in</w:t>
      </w:r>
      <w:r>
        <w:t xml:space="preserve"> </w:t>
      </w:r>
      <w:r>
        <w:t xml:space="preserve">§3.3. Three of the five models (MACE-MP-0, MatterSim, SevenNet-0) reproduce the R-tilt</w:t>
      </w:r>
      <w:r>
        <w:t xml:space="preserve"> </w:t>
      </w:r>
      <w:r>
        <w:t xml:space="preserve">condensation; CHGNet never condenses the tilt and ORB-v2 does not select the R point at all.</w:t>
      </w:r>
      <w:r>
        <w:t xml:space="preserve"> </w:t>
      </w:r>
      <w:r>
        <w:t xml:space="preserve">Because the gate identifies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instability each model captures rather than returning a single</w:t>
      </w:r>
      <w:r>
        <w:t xml:space="preserve"> </w:t>
      </w:r>
      <w:r>
        <w:t xml:space="preserve">number, it is a per-model test rather than a single-model demonstration.</w:t>
      </w:r>
    </w:p>
    <w:bookmarkEnd w:id="14"/>
    <w:bookmarkStart w:id="15" w:name="Xaf6bd9c76bb5f3008ec4deec66d4c6f9048be3b"/>
    <w:p>
      <w:pPr>
        <w:pStyle w:val="Heading3"/>
      </w:pPr>
      <w:r>
        <w:t xml:space="preserve">2.5 Multi-mode SSCHA (gold-standard cross-check)</w:t>
      </w:r>
    </w:p>
    <w:p>
      <w:pPr>
        <w:pStyle w:val="FirstParagraph"/>
      </w:pPr>
      <w:r>
        <w:t xml:space="preserve">The full stochastic SCHA (python-sscha + cellconstructor)</w:t>
      </w:r>
      <w:r>
        <w:rPr>
          <w:vertAlign w:val="superscript"/>
        </w:rPr>
        <w:t xml:space="preserve">4</w:t>
      </w:r>
      <w:r>
        <w:t xml:space="preserve"> </w:t>
      </w:r>
      <w:r>
        <w:t xml:space="preserve">uses the MLIP as force engine: an ASE</w:t>
      </w:r>
      <w:r>
        <w:t xml:space="preserve"> </w:t>
      </w:r>
      <w:r>
        <w:t xml:space="preserve">finite-displacement harmonic dynamical matrix, then</w:t>
      </w:r>
      <w:r>
        <w:t xml:space="preserve"> </w:t>
      </w:r>
      <w:r>
        <w:rPr>
          <w:rStyle w:val="VerbatimChar"/>
        </w:rPr>
        <w:t xml:space="preserve">ForcePositiveDefinite</w:t>
      </w:r>
      <w:r>
        <w:t xml:space="preserve">, then stochastic SCHA</w:t>
      </w:r>
      <w:r>
        <w:t xml:space="preserve"> </w:t>
      </w:r>
      <w:r>
        <w:t xml:space="preserve">relaxation of the auxiliary dynamical matrix at T (root2 representation, with a per-population step</w:t>
      </w:r>
      <w:r>
        <w:t xml:space="preserve"> </w:t>
      </w:r>
      <w:r>
        <w:t xml:space="preserve">cap to force ensemble regeneration on noisy large cells), then a dedicated ensemble at the</w:t>
      </w:r>
      <w:r>
        <w:t xml:space="preserve"> </w:t>
      </w:r>
      <w:r>
        <w:t xml:space="preserve">converged matrix, and finally the free-energy (physical) Hessian. The minimum Hessian frequency</w:t>
      </w:r>
      <w:r>
        <w:t xml:space="preserve"> </w:t>
      </w:r>
      <w:r>
        <w:t xml:space="preserve">excluding the three acoustic modes is the anharmonic dynamic-stability indicator. Unlike the</w:t>
      </w:r>
      <w:r>
        <w:t xml:space="preserve"> </w:t>
      </w:r>
      <w:r>
        <w:t xml:space="preserve">free-energy screen, which treats each imaginary mode independently, this captures the coupled</w:t>
      </w:r>
      <w:r>
        <w:t xml:space="preserve"> </w:t>
      </w:r>
      <w:r>
        <w:t xml:space="preserve">multi-mode phonon entropy and is reliable for</w:t>
      </w:r>
      <w:r>
        <w:t xml:space="preserve"> </w:t>
      </w:r>
      <w:r>
        <w:t xml:space="preserve">entropy-stabilised martensitic transitions.</w:t>
      </w:r>
    </w:p>
    <w:bookmarkEnd w:id="15"/>
    <w:bookmarkEnd w:id="16"/>
    <w:bookmarkStart w:id="40" w:name="results"/>
    <w:p>
      <w:pPr>
        <w:pStyle w:val="Heading2"/>
      </w:pPr>
      <w:r>
        <w:t xml:space="preserve">3. Results</w:t>
      </w:r>
    </w:p>
    <w:bookmarkStart w:id="23" w:name="harmonic-baseline-the-models-divide-h1"/>
    <w:p>
      <w:pPr>
        <w:pStyle w:val="Heading3"/>
      </w:pPr>
      <w:r>
        <w:t xml:space="preserve">3.1 Harmonic baseline: the models divide (H1)</w:t>
      </w:r>
    </w:p>
    <w:p>
      <w:pPr>
        <w:pStyle w:val="FirstParagraph"/>
      </w:pPr>
      <w:r>
        <w:t xml:space="preserve">The five models divide on the harmonic set (19 scored systems, KTaO₃ excluded):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False-stable rate</w:t>
            </w:r>
          </w:p>
        </w:tc>
        <w:tc>
          <w:tcPr/>
          <w:p>
            <w:pPr>
              <w:pStyle w:val="Compact"/>
            </w:pPr>
            <w:r>
              <w:t xml:space="preserve">False-unstable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MatterSim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SevenNet-0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MACE-MP-0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ORB-v2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CHGNet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</w:tr>
    </w:tbl>
    <w:p>
      <w:pPr>
        <w:pStyle w:val="BodyText"/>
      </w:pPr>
      <w:r>
        <w:t xml:space="preserve">MatterSim and SevenNet-0 reproduce every documented soft mode with large imaginary frequencies.</w:t>
      </w:r>
      <w:r>
        <w:t xml:space="preserve"> </w:t>
      </w:r>
      <w:r>
        <w:t xml:space="preserve">MACE-MP-0 and CHGNet each carry two false-stable calls (rate 0.154) on the bcc Zr and Hf soft</w:t>
      </w:r>
      <w:r>
        <w:t xml:space="preserve"> </w:t>
      </w:r>
      <w:r>
        <w:t xml:space="preserve">modes, softened to −0.00 THz; this is the PES-softening bias of the literature, localised to</w:t>
      </w:r>
      <w:r>
        <w:t xml:space="preserve"> </w:t>
      </w:r>
      <w:r>
        <w:t xml:space="preserve">specific instabilities. ORB-v2 carries one false-stable (rate 0.077): it correctly flags bcc-Zr</w:t>
      </w:r>
      <w:r>
        <w:t xml:space="preserve"> </w:t>
      </w:r>
      <w:r>
        <w:t xml:space="preserve">(−0.43 THz) and bcc-Hf (−0.19 THz) unstable but reads SrTiO₃ at +0.00 THz. ORB-v2 (a direct-force</w:t>
      </w:r>
      <w:r>
        <w:t xml:space="preserve"> </w:t>
      </w:r>
      <w:r>
        <w:t xml:space="preserve">model, run in its default float32 precision) softens in both directions; besides that false-stable</w:t>
      </w:r>
      <w:r>
        <w:t xml:space="preserve"> </w:t>
      </w:r>
      <w:r>
        <w:t xml:space="preserve">it falsely calls MgO unstable (−1.07 THz), its one false-unstable on the oxide side. CHGNet carries the only non-ORB false-unstables (rate 0.333), CeO₂ (−0.27 THz) and</w:t>
      </w:r>
      <w:r>
        <w:t xml:space="preserve"> </w:t>
      </w:r>
      <w:r>
        <w:t xml:space="preserve">NaCl (−0.24 THz), both genuinely stable controls tripped just past the −0.1 THz tolerance; both</w:t>
      </w:r>
      <w:r>
        <w:t xml:space="preserve"> </w:t>
      </w:r>
      <w:r>
        <w:t xml:space="preserve">flip back to stable at a tolerance of ≈0.25 THz, so they are finite-displacement noise rather than</w:t>
      </w:r>
      <w:r>
        <w:t xml:space="preserve"> </w:t>
      </w:r>
      <w:r>
        <w:t xml:space="preserve">a real instability.</w:t>
      </w:r>
    </w:p>
    <w:p>
      <w:pPr>
        <w:pStyle w:val="BodyText"/>
      </w:pPr>
      <w:r>
        <w:t xml:space="preserve">Because every binary call depends on the imaginary tolerance, we sweep it (Fig. 1). A strict</w:t>
      </w:r>
      <w:r>
        <w:t xml:space="preserve"> </w:t>
      </w:r>
      <w:r>
        <w:t xml:space="preserve">tolerance (0 THz) floods false-unstables (29 calls) as near-Γ finite-displacement noise dominates,</w:t>
      </w:r>
      <w:r>
        <w:t xml:space="preserve"> </w:t>
      </w:r>
      <w:r>
        <w:t xml:space="preserve">while a loose tolerance (0.3 THz) inflates false-stables (7 calls); the default −0.1 THz sits in</w:t>
      </w:r>
      <w:r>
        <w:t xml:space="preserve"> </w:t>
      </w:r>
      <w:r>
        <w:t xml:space="preserve">the stable basin between them (5 false-stable, 3 false-unstable), and the split holds across</w:t>
      </w:r>
      <w:r>
        <w:t xml:space="preserve"> </w:t>
      </w:r>
      <w:r>
        <w:t xml:space="preserve">0.05–0.2 THz. The useful point is that the softening toward zero is the physics: per-system minimum</w:t>
      </w:r>
      <w:r>
        <w:t xml:space="preserve"> </w:t>
      </w:r>
      <w:r>
        <w:t xml:space="preserve">frequencies, not binary rates, are the right reporting unit (Fig. 2). This reproduces the published</w:t>
      </w:r>
      <w:r>
        <w:t xml:space="preserve"> </w:t>
      </w:r>
      <w:r>
        <w:t xml:space="preserve">picture and validates the harness.</w:t>
      </w:r>
    </w:p>
    <w:p>
      <w:pPr>
        <w:pStyle w:val="CaptionedFigure"/>
      </w:pPr>
      <w:r>
        <w:drawing>
          <wp:inline>
            <wp:extent cx="4770782" cy="3853324"/>
            <wp:effectExtent b="0" l="0" r="0" t="0"/>
            <wp:docPr descr="Fig. 1 Harmonic false-stable and false-unstable call counts versus the imaginary-frequency tolerance (§3.1). The default −0.1 THz sits in the stable basin between the false-unstable flood at strict tolerance and the false-stable inflation at loose tolerance." title="" id="18" name="Picture"/>
            <a:graphic>
              <a:graphicData uri="http://schemas.openxmlformats.org/drawingml/2006/picture">
                <pic:pic>
                  <pic:nvPicPr>
                    <pic:cNvPr descr="../results/figures/fig_tolerance_swee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82" cy="385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1</w:t>
      </w:r>
      <w:r>
        <w:t xml:space="preserve"> </w:t>
      </w:r>
      <w:r>
        <w:t xml:space="preserve">Harmonic false-stable and false-unstable call counts versus the</w:t>
      </w:r>
      <w:r>
        <w:t xml:space="preserve"> </w:t>
      </w:r>
      <w:r>
        <w:t xml:space="preserve">imaginary-frequency tolerance (§3.1). The default −0.1 THz sits in the stable basin between the</w:t>
      </w:r>
      <w:r>
        <w:t xml:space="preserve"> </w:t>
      </w:r>
      <w:r>
        <w:t xml:space="preserve">false-unstable flood at strict tolerance and the false-stable inflation at loose tolerance.</w:t>
      </w:r>
    </w:p>
    <w:p>
      <w:pPr>
        <w:pStyle w:val="CaptionedFigure"/>
      </w:pPr>
      <w:r>
        <w:drawing>
          <wp:inline>
            <wp:extent cx="5334000" cy="5744307"/>
            <wp:effectExtent b="0" l="0" r="0" t="0"/>
            <wp:docPr descr="Fig. 2 Per-system minimum effective frequency across the five models (§3.1–3.2). The softening toward zero of the harmonically-unstable systems is the physics; per-system minima, not binary rates, are the right reporting unit." title="" id="21" name="Picture"/>
            <a:graphic>
              <a:graphicData uri="http://schemas.openxmlformats.org/drawingml/2006/picture">
                <pic:pic>
                  <pic:nvPicPr>
                    <pic:cNvPr descr="../results/figures/fig_softmode_hea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2</w:t>
      </w:r>
      <w:r>
        <w:t xml:space="preserve"> </w:t>
      </w:r>
      <w:r>
        <w:t xml:space="preserve">Per-system minimum effective frequency across the five models (§3.1–3.2).</w:t>
      </w:r>
      <w:r>
        <w:t xml:space="preserve"> </w:t>
      </w:r>
      <w:r>
        <w:t xml:space="preserve">The softening toward zero of the harmonically-unstable systems is the physics; per-system minima,</w:t>
      </w:r>
      <w:r>
        <w:t xml:space="preserve"> </w:t>
      </w:r>
      <w:r>
        <w:t xml:space="preserve">not binary rates, are the right reporting unit.</w:t>
      </w:r>
    </w:p>
    <w:bookmarkEnd w:id="23"/>
    <w:bookmarkStart w:id="24" w:name="finite-temperature-soft-mode-screen-h2"/>
    <w:p>
      <w:pPr>
        <w:pStyle w:val="Heading3"/>
      </w:pPr>
      <w:r>
        <w:t xml:space="preserve">3.2 Finite-temperature soft-mode screen (H2)</w:t>
      </w:r>
    </w:p>
    <w:p>
      <w:pPr>
        <w:pStyle w:val="FirstParagraph"/>
      </w:pPr>
      <w:r>
        <w:t xml:space="preserve">On the ferroelectric perovskites at T ≤ 300 K, far below every transition temperature, the cubic</w:t>
      </w:r>
      <w:r>
        <w:t xml:space="preserve"> </w:t>
      </w:r>
      <w:r>
        <w:t xml:space="preserve">phase is definitively dynamically unstable, and the multi-mode screen correctly calls it unstable in</w:t>
      </w:r>
      <w:r>
        <w:t xml:space="preserve"> </w:t>
      </w:r>
      <w:r>
        <w:t xml:space="preserve">16 of 30 model units (recall 0.53). The screen recovers displacive instability that harmonic</w:t>
      </w:r>
      <w:r>
        <w:t xml:space="preserve"> </w:t>
      </w:r>
      <w:r>
        <w:t xml:space="preserve">accuracy does not predict and that, as §3.3 shows, the gold-standard SSCHA misses more often still.</w:t>
      </w:r>
      <w:r>
        <w:t xml:space="preserve"> </w:t>
      </w:r>
      <w:r>
        <w:t xml:space="preserve">Across the other anharmonic families the screen is stronger: it reaches recall 0.92 on the halide</w:t>
      </w:r>
      <w:r>
        <w:t xml:space="preserve"> </w:t>
      </w:r>
      <w:r>
        <w:t xml:space="preserve">perovskites and 1.00 on the cubic fluorites, and on the antiferrodistortive SrTiO₃ tilt it reaches</w:t>
      </w:r>
      <w:r>
        <w:t xml:space="preserve"> </w:t>
      </w:r>
      <w:r>
        <w:t xml:space="preserve">0.60. On the six harmonically-stable controls it is correct on all 120 model units, and finds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imaginary commensurate modes in every case, so it never manufactures an instability.</w:t>
      </w:r>
    </w:p>
    <w:p>
      <w:pPr>
        <w:pStyle w:val="BodyText"/>
      </w:pPr>
      <w:r>
        <w:t xml:space="preserve">Multi-anchor comparison against experiment. Beyond the SrTiO₃ gate (§2.4) we compare the screen’s</w:t>
      </w:r>
      <w:r>
        <w:t xml:space="preserve"> </w:t>
      </w:r>
      <w:r>
        <w:t xml:space="preserve">predicted stabilisation temperature T* (the lowest ladder T at which the cubic phase is called</w:t>
      </w:r>
      <w:r>
        <w:t xml:space="preserve"> </w:t>
      </w:r>
      <w:r>
        <w:t xml:space="preserve">stable) with the experimental transition temperatures. The comparison is only partly successful and</w:t>
      </w:r>
      <w:r>
        <w:t xml:space="preserve"> </w:t>
      </w:r>
      <w:r>
        <w:t xml:space="preserve">we report it as such. SrTiO₃ (T_c ≈ 105 K) stabilises earliest, at T* = 100–300 K, and BaTiO₃</w:t>
      </w:r>
      <w:r>
        <w:t xml:space="preserve"> </w:t>
      </w:r>
      <w:r>
        <w:t xml:space="preserve">(393 K) and KNbO₃ (708 K) follow at T* = 300 K for four of five models (ORB-v2 at 600 K), so the</w:t>
      </w:r>
      <w:r>
        <w:t xml:space="preserve"> </w:t>
      </w:r>
      <w:r>
        <w:t xml:space="preserve">SrTiO₃-below-ferroelectric ordering holds. PbTiO₃ (763 K), which has the highest transition</w:t>
      </w:r>
      <w:r>
        <w:t xml:space="preserve"> </w:t>
      </w:r>
      <w:r>
        <w:t xml:space="preserve">temperature of the four,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follow: T* is 100 K for MACE-MP-0, MatterSim and ORB-v2,</w:t>
      </w:r>
      <w:r>
        <w:t xml:space="preserve"> </w:t>
      </w:r>
      <w:r>
        <w:t xml:space="preserve">600 K for SevenNet-0 and 900 K for CHGNet. A single-mode treatment is not expected to reproduce an</w:t>
      </w:r>
      <w:r>
        <w:t xml:space="preserve"> </w:t>
      </w:r>
      <w:r>
        <w:t xml:space="preserve">absolute T_c, but the PbTiO₃ failure is a genuine ordering failure rather than a scale error, and it</w:t>
      </w:r>
      <w:r>
        <w:t xml:space="preserve"> </w:t>
      </w:r>
      <w:r>
        <w:t xml:space="preserve">is the clearest limitation of the screen in this work. T* is therefore reported as a diagnostic</w:t>
      </w:r>
      <w:r>
        <w:t xml:space="preserve"> </w:t>
      </w:r>
      <w:r>
        <w:t xml:space="preserve">(full table S3), and the SrTiO₃ gate together with the control performance — not the T* ordering —</w:t>
      </w:r>
      <w:r>
        <w:t xml:space="preserve"> </w:t>
      </w:r>
      <w:r>
        <w:t xml:space="preserve">is what licenses the screen as the reference in §3.3.</w:t>
      </w:r>
    </w:p>
    <w:p>
      <w:pPr>
        <w:pStyle w:val="BodyText"/>
      </w:pPr>
      <w:r>
        <w:t xml:space="preserve">Per-model false-stable rates on the displacive/anharmonic set (non-bcc, non-borderline, T ≤ 300 K;</w:t>
      </w:r>
      <w:r>
        <w:t xml:space="preserve"> </w:t>
      </w:r>
      <w:r>
        <w:t xml:space="preserve">bcc excluded because its thermodynamic-T_c label is the wrong reference for dynamic stability,</w:t>
      </w:r>
      <w:r>
        <w:t xml:space="preserve"> </w:t>
      </w:r>
      <w:r>
        <w:t xml:space="preserve">§3.3):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Finite-T false-stable rate</w:t>
            </w:r>
          </w:p>
        </w:tc>
        <w:tc>
          <w:tcPr/>
          <w:p>
            <w:pPr>
              <w:pStyle w:val="Compact"/>
            </w:pPr>
            <w:r>
              <w:t xml:space="preserve">Finite-T accuracy</w:t>
            </w:r>
          </w:p>
        </w:tc>
        <w:tc>
          <w:tcPr/>
          <w:p>
            <w:pPr>
              <w:pStyle w:val="Compact"/>
            </w:pPr>
            <w:r>
              <w:t xml:space="preserve">(Harmonic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SevenNet-0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CHGNet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MatterSim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MACE-MP-0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ORB-v2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</w:tbl>
    <w:p>
      <w:pPr>
        <w:pStyle w:val="BodyText"/>
      </w:pPr>
      <w:r>
        <w:t xml:space="preserve">Read against the harmonic ranking (final column), the ordering is not preserved but neither is it</w:t>
      </w:r>
      <w:r>
        <w:t xml:space="preserve"> </w:t>
      </w:r>
      <w:r>
        <w:t xml:space="preserve">inverted, and we are explicit about this because a naive comparison invites a cleaner story than the</w:t>
      </w:r>
      <w:r>
        <w:t xml:space="preserve"> </w:t>
      </w:r>
      <w:r>
        <w:t xml:space="preserve">data support. The matched non-bcc, non-borderline comparison (n = 75 system×model pairs) is</w:t>
      </w:r>
      <w:r>
        <w:t xml:space="preserve"> </w:t>
      </w:r>
      <w:r>
        <w:t xml:space="preserve">temperature-dependent. At T = 100 K the two are weakly and non-significantly concordant: φ = 0.149</w:t>
      </w:r>
      <w:r>
        <w:t xml:space="preserve"> </w:t>
      </w:r>
      <w:r>
        <w:t xml:space="preserve">with McNemar exact p = 0.73, and a matched per-model accuracy rank correlation of ρ = +0.65. At</w:t>
      </w:r>
      <w:r>
        <w:t xml:space="preserve"> </w:t>
      </w:r>
      <w:r>
        <w:t xml:space="preserve">T = 300 K the relationship reverses and becomes significant: φ = −0.129 with McNemar exact</w:t>
      </w:r>
      <w:r>
        <w:t xml:space="preserve"> </w:t>
      </w:r>
      <w:r>
        <w:t xml:space="preserve">p = 0.007, driven by 17 harmonically-correct units that are mis-called at finite temperature against</w:t>
      </w:r>
      <w:r>
        <w:t xml:space="preserve"> </w:t>
      </w:r>
      <w:r>
        <w:t xml:space="preserve">only 4 the other way. Harmonic correctness therefore does not transfer, and at the higher</w:t>
      </w:r>
      <w:r>
        <w:t xml:space="preserve"> </w:t>
      </w:r>
      <w:r>
        <w:t xml:space="preserve">temperature it is significantly</w:t>
      </w:r>
      <w:r>
        <w:t xml:space="preserve"> </w:t>
      </w:r>
      <w:r>
        <w:rPr>
          <w:i/>
          <w:iCs/>
        </w:rPr>
        <w:t xml:space="preserve">anti</w:t>
      </w:r>
      <w:r>
        <w:t xml:space="preserve">-associated with finite-temperature correctness on this set.</w:t>
      </w:r>
    </w:p>
    <w:p>
      <w:pPr>
        <w:pStyle w:val="BodyText"/>
      </w:pPr>
      <w:r>
        <w:t xml:space="preserve">The defensible H2 statement is that harmonic accuracy does not predict finite-temperature accuracy,</w:t>
      </w:r>
      <w:r>
        <w:t xml:space="preserve"> </w:t>
      </w:r>
      <w:r>
        <w:t xml:space="preserve">in either direction. The clearest single demonstration is CHGNet: it is the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model</w:t>
      </w:r>
      <w:r>
        <w:t xml:space="preserve"> </w:t>
      </w:r>
      <w:r>
        <w:t xml:space="preserve">harmonically (0.789) yet the second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t xml:space="preserve">at finite temperature (0.867), while MatterSim is</w:t>
      </w:r>
      <w:r>
        <w:t xml:space="preserve"> </w:t>
      </w:r>
      <w:r>
        <w:t xml:space="preserve">harmonically perfect (1.000) and only mid-table at finite temperature (0.833). A top harmonic score</w:t>
      </w:r>
      <w:r>
        <w:t xml:space="preserve"> </w:t>
      </w:r>
      <w:r>
        <w:t xml:space="preserve">on the npj/PhononBench benchmarks therefore does not identify the best finite-temperature screener,</w:t>
      </w:r>
      <w:r>
        <w:t xml:space="preserve"> </w:t>
      </w:r>
      <w:r>
        <w:t xml:space="preserve">and a poor one does not disqualify a model. We note explicitly that SevenNet-0 leads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layers,</w:t>
      </w:r>
      <w:r>
        <w:t xml:space="preserve"> </w:t>
      </w:r>
      <w:r>
        <w:t xml:space="preserve">so the relationship is not a simple inversion and we do not claim one; an earlier version of this</w:t>
      </w:r>
      <w:r>
        <w:t xml:space="preserve"> </w:t>
      </w:r>
      <w:r>
        <w:t xml:space="preserve">analysis, computed before the mode-selection correction described in §2.4, reported that the</w:t>
      </w:r>
      <w:r>
        <w:t xml:space="preserve"> </w:t>
      </w:r>
      <w:r>
        <w:t xml:space="preserve">harmonic leaders sat behind MACE-MP-0 and CHGNet, and that specific ordering does not survive the</w:t>
      </w:r>
      <w:r>
        <w:t xml:space="preserve"> </w:t>
      </w:r>
      <w:r>
        <w:t xml:space="preserve">correction. ORB-v2 remains the weakest finite-temperature screener (0.800) and the only model that</w:t>
      </w:r>
      <w:r>
        <w:t xml:space="preserve"> </w:t>
      </w:r>
      <w:r>
        <w:t xml:space="preserve">fails to select the correct instability in SrTiO₃ (§2.4), consistent with its float32 direct</w:t>
      </w:r>
      <w:r>
        <w:t xml:space="preserve"> </w:t>
      </w:r>
      <w:r>
        <w:t xml:space="preserve">architecture over-softening the PES, though our design cannot separate the architecture from the</w:t>
      </w:r>
      <w:r>
        <w:t xml:space="preserve"> </w:t>
      </w:r>
      <w:r>
        <w:t xml:space="preserve">precision. The strongest evidence that finite temperature is a distinct, harder regime comes not</w:t>
      </w:r>
      <w:r>
        <w:t xml:space="preserve"> </w:t>
      </w:r>
      <w:r>
        <w:t xml:space="preserve">from this ranking comparison but from the per-family recall above and the SSCHA failure in §3.3.</w:t>
      </w:r>
    </w:p>
    <w:bookmarkEnd w:id="24"/>
    <w:bookmarkStart w:id="31" w:name="X8ab2dfef3885ae7762bb8e2347fe92a6e97ed26"/>
    <w:p>
      <w:pPr>
        <w:pStyle w:val="Heading3"/>
      </w:pPr>
      <w:r>
        <w:t xml:space="preserve">3.3 SSCHA: clean for bcc, false-stable for perovskites at the default truncation (the cautionary result)</w:t>
      </w:r>
    </w:p>
    <w:p>
      <w:pPr>
        <w:pStyle w:val="FirstParagraph"/>
      </w:pPr>
      <w:r>
        <w:t xml:space="preserve">We ran multi-mode SSCHA across both families to cross-validate the screen. The result is asymmetric</w:t>
      </w:r>
      <w:r>
        <w:t xml:space="preserve"> </w:t>
      </w:r>
      <w:r>
        <w:t xml:space="preserve">and is itself a central finding. We state at the outset that this concerns SSCHA as it is</w:t>
      </w:r>
      <w:r>
        <w:t xml:space="preserve"> </w:t>
      </w:r>
      <w:r>
        <w:t xml:space="preserve">realistically deployed with an MLIP force engine for a fixed high-symmetry reference, namely</w:t>
      </w:r>
      <w:r>
        <w:t xml:space="preserve"> </w:t>
      </w:r>
      <w:r>
        <w:rPr>
          <w:rStyle w:val="VerbatimChar"/>
        </w:rPr>
        <w:t xml:space="preserve">ForcePositiveDefinite</w:t>
      </w:r>
      <w:r>
        <w:t xml:space="preserve"> </w:t>
      </w:r>
      <w:r>
        <w:t xml:space="preserve">initialisation, a 2×2×2 cell, the v4=False free-energy Hessian, and</w:t>
      </w:r>
      <w:r>
        <w:t xml:space="preserve"> </w:t>
      </w:r>
      <w:r>
        <w:t xml:space="preserve">automatic stochastic relaxation, which is the recipe a practitioner escalating from a cheap screen</w:t>
      </w:r>
      <w:r>
        <w:t xml:space="preserve"> </w:t>
      </w:r>
      <w:r>
        <w:t xml:space="preserve">would actually run. It is not a claim that the SSCHA formalism is wrong; the formalism anticipates</w:t>
      </w:r>
      <w:r>
        <w:t xml:space="preserve"> </w:t>
      </w:r>
      <w:r>
        <w:t xml:space="preserve">this failure, and the expensive v4 Hessian is its own prescribed remedy, but that remedy is</w:t>
      </w:r>
      <w:r>
        <w:t xml:space="preserve"> </w:t>
      </w:r>
      <w:r>
        <w:t xml:space="preserve">impractical at screening scale (see the root cause below). The finding is that the default</w:t>
      </w:r>
      <w:r>
        <w:t xml:space="preserve"> </w:t>
      </w:r>
      <w:r>
        <w:t xml:space="preserve">escalation path, at the truncation its implementation ships with, is unsafe in this regime.</w:t>
      </w:r>
    </w:p>
    <w:p>
      <w:pPr>
        <w:pStyle w:val="BodyText"/>
      </w:pPr>
      <w:r>
        <w:t xml:space="preserve">bcc metals: SSCHA is a clean gold standard, and the screen agrees with it where it counts. Across</w:t>
      </w:r>
      <w:r>
        <w:t xml:space="preserve"> </w:t>
      </w:r>
      <w:r>
        <w:t xml:space="preserve">Ti/Zr/Hf × 5 models × 5 temperatures (75 runs) SSCHA produced zero numerical failures, with minimum</w:t>
      </w:r>
      <w:r>
        <w:t xml:space="preserve"> </w:t>
      </w:r>
      <w:r>
        <w:t xml:space="preserve">free-energy-Hessian frequencies in a physical [0.06, 2.1] THz range. All five models anharmonically</w:t>
      </w:r>
      <w:r>
        <w:t xml:space="preserve"> </w:t>
      </w:r>
      <w:r>
        <w:t xml:space="preserve">stabilise the bcc phase by ≤50 K (the dynamic-stabilisation temperature, which is far below the</w:t>
      </w:r>
      <w:r>
        <w:t xml:space="preserve"> </w:t>
      </w:r>
      <w:r>
        <w:t xml:space="preserve">thermodynamic transition because bcc-to-hcp/ω is a martensitic, strain-coupled first-order</w:t>
      </w:r>
      <w:r>
        <w:t xml:space="preserve"> </w:t>
      </w:r>
      <w:r>
        <w:t xml:space="preserve">transition; using the thermodynamic T_c to label dynamic stability is the wrong comparison and is</w:t>
      </w:r>
      <w:r>
        <w:t xml:space="preserve"> </w:t>
      </w:r>
      <w:r>
        <w:t xml:space="preserve">what makes the models look false-stable on bcc). The margin to the stability boundary discriminates</w:t>
      </w:r>
      <w:r>
        <w:t xml:space="preserve"> </w:t>
      </w:r>
      <w:r>
        <w:t xml:space="preserve">the models: ORB-v2 hugs it (0.06–0.28 THz on Ti/Hf), SevenNet-0’s Hf sits at ~0.3 THz, while</w:t>
      </w:r>
      <w:r>
        <w:t xml:space="preserve"> </w:t>
      </w:r>
      <w:r>
        <w:t xml:space="preserve">MatterSim and MACE-MP-0 are firmly stable (1.2–2.1 THz) (Fig. 3). Against the screen, the two</w:t>
      </w:r>
      <w:r>
        <w:t xml:space="preserve"> </w:t>
      </w:r>
      <w:r>
        <w:t xml:space="preserve">methods agree on the stability call in 35 of 45 paired bcc units (sign agreement 0.78; 30 of 36,</w:t>
      </w:r>
      <w:r>
        <w:t xml:space="preserve"> </w:t>
      </w:r>
      <w:r>
        <w:t xml:space="preserve">0.83, excluding ORB-v2), while the magnitudes are not rank-correlated (Spearman ρ = 0.11): a</w:t>
      </w:r>
      <w:r>
        <w:t xml:space="preserve"> </w:t>
      </w:r>
      <w:r>
        <w:t xml:space="preserve">single-mode symmetric-point curvature and a multi-mode free-energy Hessian are different</w:t>
      </w:r>
      <w:r>
        <w:t xml:space="preserve"> </w:t>
      </w:r>
      <w:r>
        <w:t xml:space="preserve">observables away from the sign change, so the cross-validation statistic we report is the call</w:t>
      </w:r>
      <w:r>
        <w:t xml:space="preserve"> </w:t>
      </w:r>
      <w:r>
        <w:t xml:space="preserve">agreement, not a magnitude correlation (Fig. 4).</w:t>
      </w:r>
    </w:p>
    <w:p>
      <w:pPr>
        <w:pStyle w:val="BodyText"/>
      </w:pPr>
      <w:r>
        <w:t xml:space="preserve">Ferroelectric perovskites: SSCHA systematically false-stabilises, and its deepest wells do not run</w:t>
      </w:r>
      <w:r>
        <w:t xml:space="preserve"> </w:t>
      </w:r>
      <w:r>
        <w:t xml:space="preserve">at all. On the same FE perovskites at T ≤ 300 K where the screen reaches 0.53 recall, SSCHA</w:t>
      </w:r>
      <w:r>
        <w:t xml:space="preserve"> </w:t>
      </w:r>
      <w:r>
        <w:t xml:space="preserve">correctly identifies the instability in only 5 of the 27 units that return a physical number</w:t>
      </w:r>
      <w:r>
        <w:t xml:space="preserve"> </w:t>
      </w:r>
      <w:r>
        <w:t xml:space="preserve">(recall 0.19). Of the 30 attempted units, one blows up numerically and two fail outright; across</w:t>
      </w:r>
      <w:r>
        <w:t xml:space="preserve"> </w:t>
      </w:r>
      <w:r>
        <w:t xml:space="preserve">the full FE grid seven units die at cellconstructor symmetry or ensemble assertions, six of them</w:t>
      </w:r>
      <w:r>
        <w:t xml:space="preserve"> </w:t>
      </w:r>
      <w:r>
        <w:t xml:space="preserve">on PbTiO₃ — the deepest wells in the set (ORB-v2 at every temperature, MatterSim at 600 and</w:t>
      </w:r>
      <w:r>
        <w:t xml:space="preserve"> </w:t>
      </w:r>
      <w:r>
        <w:t xml:space="preserve">900 K). In the earlier, unpinned measurement these same units produced silent numerical blow-ups</w:t>
      </w:r>
      <w:r>
        <w:t xml:space="preserve"> </w:t>
      </w:r>
      <w:r>
        <w:t xml:space="preserve">to −2×10⁶ THz; in the pinned re-measurement they fail loudly instead, which is the better</w:t>
      </w:r>
      <w:r>
        <w:t xml:space="preserve"> </w:t>
      </w:r>
      <w:r>
        <w:t xml:space="preserve">behaviour but the same verdict: the method does not return usable answers where the instability is</w:t>
      </w:r>
      <w:r>
        <w:t xml:space="preserve"> </w:t>
      </w:r>
      <w:r>
        <w:t xml:space="preserve">deepest, and precision alone does not account for it (the failures span float32 and float64</w:t>
      </w:r>
      <w:r>
        <w:t xml:space="preserve"> </w:t>
      </w:r>
      <w:r>
        <w:t xml:space="preserve">models). This is the cautionary result: the expensive gold standard is less reliable than the</w:t>
      </w:r>
      <w:r>
        <w:t xml:space="preserve"> </w:t>
      </w:r>
      <w:r>
        <w:t xml:space="preserve">cheap screen in the displacive regime that dominates generative-CSP outputs — recall 0.19 against</w:t>
      </w:r>
      <w:r>
        <w:t xml:space="preserve"> </w:t>
      </w:r>
      <w:r>
        <w:t xml:space="preserve">0.53, with the deepest-well units unable to complete (Fig. 5).</w:t>
      </w:r>
    </w:p>
    <w:p>
      <w:pPr>
        <w:pStyle w:val="CaptionedFigure"/>
      </w:pPr>
      <w:r>
        <w:drawing>
          <wp:inline>
            <wp:extent cx="5334000" cy="1866900"/>
            <wp:effectExtent b="0" l="0" r="0" t="0"/>
            <wp:docPr descr="Fig. 3 Multi-mode SSCHA dynamic-stabilisation curves for bcc Ti/Zr/Hf, five models, versus temperature (§3.3). All models stabilise the bcc phase by ≤50 K; the margin to the stability boundary (MatterSim/ORB-v2 hugging ~0.4 THz, MACE-MP-0 firmly stable ~1.8 THz) discriminates the models." title="" id="26" name="Picture"/>
            <a:graphic>
              <a:graphicData uri="http://schemas.openxmlformats.org/drawingml/2006/picture">
                <pic:pic>
                  <pic:nvPicPr>
                    <pic:cNvPr descr="../results/figures/fig_sscha_bc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3</w:t>
      </w:r>
      <w:r>
        <w:t xml:space="preserve"> </w:t>
      </w:r>
      <w:r>
        <w:t xml:space="preserve">Multi-mode SSCHA dynamic-stabilisation curves for bcc Ti/Zr/Hf, five models,</w:t>
      </w:r>
      <w:r>
        <w:t xml:space="preserve"> </w:t>
      </w:r>
      <w:r>
        <w:t xml:space="preserve">versus temperature (§3.3). All models stabilise the bcc phase by ≤50 K; the margin to the stability</w:t>
      </w:r>
      <w:r>
        <w:t xml:space="preserve"> </w:t>
      </w:r>
      <w:r>
        <w:t xml:space="preserve">boundary (MatterSim/ORB-v2 hugging ~0.4 THz, MACE-MP-0 firmly stable ~1.8 THz) discriminates the</w:t>
      </w:r>
      <w:r>
        <w:t xml:space="preserve"> </w:t>
      </w:r>
      <w:r>
        <w:t xml:space="preserve">models.</w:t>
      </w:r>
    </w:p>
    <w:p>
      <w:pPr>
        <w:pStyle w:val="CaptionedFigure"/>
      </w:pPr>
      <w:r>
        <w:drawing>
          <wp:inline>
            <wp:extent cx="5334000" cy="5156200"/>
            <wp:effectExtent b="0" l="0" r="0" t="0"/>
            <wp:docPr descr="Fig. 4 Soft-mode screen vs gold-standard SSCHA minimum frequency on bcc (§3.3): the cheap screen tracks SSCHA on the family where the gold standard is trustworthy." title="" id="29" name="Picture"/>
            <a:graphic>
              <a:graphicData uri="http://schemas.openxmlformats.org/drawingml/2006/picture">
                <pic:pic>
                  <pic:nvPicPr>
                    <pic:cNvPr descr="../results/figures/fig_method_agreem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4</w:t>
      </w:r>
      <w:r>
        <w:t xml:space="preserve"> </w:t>
      </w:r>
      <w:r>
        <w:t xml:space="preserve">Soft-mode screen vs gold-standard SSCHA minimum frequency on bcc</w:t>
      </w:r>
      <w:r>
        <w:t xml:space="preserve"> </w:t>
      </w:r>
      <w:r>
        <w:t xml:space="preserve">(§3.3): the cheap screen tracks SSCHA on the family where the gold standard is</w:t>
      </w:r>
      <w:r>
        <w:t xml:space="preserve"> </w:t>
      </w:r>
      <w:r>
        <w:t xml:space="preserve">trustworthy.</w:t>
      </w:r>
    </w:p>
    <w:p>
      <w:pPr>
        <w:pStyle w:val="BodyText"/>
      </w:pPr>
      <w:r>
        <w:t xml:space="preserve">Root cause: the fourth-order truncation, not the reference structure. A controlled diagnostic on</w:t>
      </w:r>
      <w:r>
        <w:t xml:space="preserve"> </w:t>
      </w:r>
      <w:r>
        <w:t xml:space="preserve">cubic BaTiO₃ (MACE-MP-0, 100 K) isolates the mechanism, and the SCHA literature identifies it</w:t>
      </w:r>
      <w:r>
        <w:t xml:space="preserve"> </w:t>
      </w:r>
      <w:r>
        <w:t xml:space="preserve">precisely. The auxiliary SCHA matrix</w:t>
      </w:r>
      <w:r>
        <w:t xml:space="preserve"> </w:t>
      </w:r>
      <w:r>
        <w:rPr>
          <w:b/>
          <w:bCs/>
        </w:rPr>
        <w:t xml:space="preserve">Φ</w:t>
      </w:r>
      <w:r>
        <w:t xml:space="preserve"> </w:t>
      </w:r>
      <w:r>
        <w:t xml:space="preserve">is positive-definite by construction, since a</w:t>
      </w:r>
      <w:r>
        <w:t xml:space="preserve"> </w:t>
      </w:r>
      <w:r>
        <w:t xml:space="preserve">normalisable Gaussian trial state requires it, so it can never soften and searching its eigenvalues</w:t>
      </w:r>
      <w:r>
        <w:t xml:space="preserve"> </w:t>
      </w:r>
      <w:r>
        <w:t xml:space="preserve">for an instability is meaningless.</w:t>
      </w:r>
      <w:r>
        <w:rPr>
          <w:vertAlign w:val="superscript"/>
        </w:rPr>
        <w:t xml:space="preserve">21,22</w:t>
      </w:r>
      <w:r>
        <w:t xml:space="preserve"> </w:t>
      </w:r>
      <w:r>
        <w:t xml:space="preserve">The object that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detect a displacive transition from</w:t>
      </w:r>
      <w:r>
        <w:t xml:space="preserve"> </w:t>
      </w:r>
      <w:r>
        <w:t xml:space="preserve">a fixed high-symmetry reference is the free-energy Hessian,</w:t>
      </w:r>
      <w:r>
        <w:t xml:space="preserve"> </w:t>
      </w:r>
      <w:r>
        <w:t xml:space="preserve">∂²F/∂</w:t>
      </w:r>
      <w:r>
        <w:rPr>
          <w:b/>
          <w:bCs/>
        </w:rPr>
        <w:t xml:space="preserve">R</w:t>
      </w:r>
      <w:r>
        <w:t xml:space="preserve">∂</w:t>
      </w:r>
      <w:r>
        <w:rPr>
          <w:b/>
          <w:bCs/>
        </w:rPr>
        <w:t xml:space="preserve">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Φ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Φ</w:t>
      </w:r>
      <w:r>
        <w:t xml:space="preserve">⁽³⁾</w:t>
      </w:r>
      <w:r>
        <w:rPr>
          <w:b/>
          <w:bCs/>
        </w:rPr>
        <w:t xml:space="preserve">Λ</w:t>
      </w:r>
      <w:r>
        <w:t xml:space="preserve">[</w:t>
      </w:r>
      <w:r>
        <w:rPr>
          <w:b/>
          <w:bCs/>
        </w:rPr>
        <w:t xml:space="preserve">1</w:t>
      </w:r>
      <w:r>
        <w:t xml:space="preserve"> </w:t>
      </w:r>
      <w:r>
        <w:t xml:space="preserve">−</w:t>
      </w:r>
      <w:r>
        <w:t xml:space="preserve"> </w:t>
      </w:r>
      <w:r>
        <w:rPr>
          <w:b/>
          <w:bCs/>
        </w:rPr>
        <w:t xml:space="preserve">Φ</w:t>
      </w:r>
      <w:r>
        <w:t xml:space="preserve">⁽⁴⁾</w:t>
      </w:r>
      <w:r>
        <w:rPr>
          <w:b/>
          <w:bCs/>
        </w:rPr>
        <w:t xml:space="preserve">Λ</w:t>
      </w:r>
      <w:r>
        <w:t xml:space="preserve">]⁻¹</w:t>
      </w:r>
      <w:r>
        <w:rPr>
          <w:b/>
          <w:bCs/>
        </w:rPr>
        <w:t xml:space="preserve">Φ</w:t>
      </w:r>
      <w:r>
        <w:t xml:space="preserve">⁽³⁾, which was derived for</w:t>
      </w:r>
      <w:r>
        <w:t xml:space="preserve"> </w:t>
      </w:r>
      <w:r>
        <w:t xml:space="preserve">exactly that purpose and demonstrated on the ferroelectric transitions of SnTe and GeTe.</w:t>
      </w:r>
      <w:r>
        <w:rPr>
          <w:vertAlign w:val="superscript"/>
        </w:rPr>
        <w:t xml:space="preserve">21</w:t>
      </w:r>
      <w:r>
        <w:t xml:space="preserve"> </w:t>
      </w:r>
      <w:r>
        <w:t xml:space="preserve">Our</w:t>
      </w:r>
      <w:r>
        <w:t xml:space="preserve"> </w:t>
      </w:r>
      <w:r>
        <w:t xml:space="preserve">diagnostic shows the failure enters at the truncation: the harmonic soft mode is −5.6 THz</w:t>
      </w:r>
      <w:r>
        <w:t xml:space="preserve"> </w:t>
      </w:r>
      <w:r>
        <w:t xml:space="preserve">(correctly unstable), yet with the fourth-order term dropped, which is the bubble approximation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python-sscha</w:t>
      </w:r>
      <w:r>
        <w:t xml:space="preserve"> </w:t>
      </w:r>
      <w:r>
        <w:t xml:space="preserve">default, the Hessian returns +2.87 THz and the call is false-stable. That is the</w:t>
      </w:r>
      <w:r>
        <w:t xml:space="preserve"> </w:t>
      </w:r>
      <w:r>
        <w:t xml:space="preserve">regime in which the bubble is known to fail, since it breaks down for the cubic phase of metal</w:t>
      </w:r>
      <w:r>
        <w:t xml:space="preserve"> </w:t>
      </w:r>
      <w:r>
        <w:t xml:space="preserve">halide perovskites and produces qualitatively incorrect results there, and</w:t>
      </w:r>
      <w:r>
        <w:t xml:space="preserve"> </w:t>
      </w:r>
      <w:r>
        <w:rPr>
          <w:b/>
          <w:bCs/>
        </w:rPr>
        <w:t xml:space="preserve">Φ</w:t>
      </w:r>
      <w:r>
        <w:t xml:space="preserve">⁽⁴⁾ plays a</w:t>
      </w:r>
      <w:r>
        <w:t xml:space="preserve"> </w:t>
      </w:r>
      <w:r>
        <w:t xml:space="preserve">significant role around the transition so that the complete RPA-like resummation is needed to</w:t>
      </w:r>
      <w:r>
        <w:t xml:space="preserve"> </w:t>
      </w:r>
      <w:r>
        <w:t xml:space="preserve">determine phase stability.</w:t>
      </w:r>
      <w:r>
        <w:rPr>
          <w:vertAlign w:val="superscript"/>
        </w:rPr>
        <w:t xml:space="preserve">22</w:t>
      </w:r>
      <w:r>
        <w:t xml:space="preserve"> </w:t>
      </w:r>
      <w:r>
        <w:t xml:space="preserve">Our contribution is to measure that breakdown at benchmark scale and</w:t>
      </w:r>
      <w:r>
        <w:t xml:space="preserve"> </w:t>
      </w:r>
      <w:r>
        <w:t xml:space="preserve">to show it is not confined to halides: it holds for oxide perovskites, and for cubic fluorites it</w:t>
      </w:r>
      <w:r>
        <w:t xml:space="preserve"> </w:t>
      </w:r>
      <w:r>
        <w:t xml:space="preserve">holds in a numerically clean form with zero stochastic blow-ups (above), which separates a</w:t>
      </w:r>
      <w:r>
        <w:t xml:space="preserve"> </w:t>
      </w:r>
      <w:r>
        <w:t xml:space="preserve">methodological limit from a numerical one. Enabling the fourth-order term (</w:t>
      </w:r>
      <w:r>
        <w:rPr>
          <w:rStyle w:val="VerbatimChar"/>
        </w:rPr>
        <w:t xml:space="preserve">include_v4=True</w:t>
      </w:r>
      <w:r>
        <w:t xml:space="preserve">) is</w:t>
      </w:r>
      <w:r>
        <w:t xml:space="preserve"> </w:t>
      </w:r>
      <w:r>
        <w:t xml:space="preserve">therefore the physically correct escalation, consistent with that RPA requirement, but it ran for</w:t>
      </w:r>
      <w:r>
        <w:t xml:space="preserve"> </w:t>
      </w:r>
      <w:r>
        <w:t xml:space="preserve">more than 18 min on a single unit without finishing (tens of hours per unit at grid scale) and is</w:t>
      </w:r>
      <w:r>
        <w:t xml:space="preserve"> </w:t>
      </w:r>
      <w:r>
        <w:t xml:space="preserve">numerically viable only in float64, which is the practical barrier at screening scale. We therefore</w:t>
      </w:r>
      <w:r>
        <w:t xml:space="preserve"> </w:t>
      </w:r>
      <w:r>
        <w:t xml:space="preserve">use SSCHA as the bcc gold standard and the experimental transition temperature (the SrTiO₃ gate,</w:t>
      </w:r>
      <w:r>
        <w:t xml:space="preserve"> </w:t>
      </w:r>
      <w:r>
        <w:t xml:space="preserve">§2.4) as the validation for the perovskite screen. We add one structural observation from our own</w:t>
      </w:r>
      <w:r>
        <w:t xml:space="preserve"> </w:t>
      </w:r>
      <w:r>
        <w:t xml:space="preserve">data: even within the single-mode screen, deep wells condense first-order-like — the free energy</w:t>
      </w:r>
      <w:r>
        <w:t xml:space="preserve"> </w:t>
      </w:r>
      <w:r>
        <w:t xml:space="preserve">develops a lower displaced minimum while its curvature at the symmetric point stays positive</w:t>
      </w:r>
      <w:r>
        <w:t xml:space="preserve"> </w:t>
      </w:r>
      <w:r>
        <w:t xml:space="preserve">(§2.4,</w:t>
      </w:r>
      <w:r>
        <w:t xml:space="preserve"> </w:t>
      </w:r>
      <w:r>
        <w:rPr>
          <w:rStyle w:val="VerbatimChar"/>
        </w:rPr>
        <w:t xml:space="preserve">n_curv_blind</w:t>
      </w:r>
      <w:r>
        <w:t xml:space="preserve">) — and a fixed-reference Hessian criterion of any order is blind to a</w:t>
      </w:r>
      <w:r>
        <w:t xml:space="preserve"> </w:t>
      </w:r>
      <w:r>
        <w:t xml:space="preserve">condensation of that character. The screen survives it because it minimises over the centroid</w:t>
      </w:r>
      <w:r>
        <w:t xml:space="preserve"> </w:t>
      </w:r>
      <w:r>
        <w:t xml:space="preserve">rather than reading a curvature; a fixed-reference SSCHA deployment has no analogous escape short</w:t>
      </w:r>
      <w:r>
        <w:t xml:space="preserve"> </w:t>
      </w:r>
      <w:r>
        <w:t xml:space="preserve">of relaxing the centroids, which changes the question being asked.</w:t>
      </w:r>
    </w:p>
    <w:p>
      <w:pPr>
        <w:pStyle w:val="BodyText"/>
      </w:pPr>
      <w:r>
        <w:t xml:space="preserve">Cubic fluorites confirm the failure is systematic, not numerical. Cubic ZrO₂ (the &gt;2600 K phase,</w:t>
      </w:r>
      <w:r>
        <w:t xml:space="preserve"> </w:t>
      </w:r>
      <w:r>
        <w:t xml:space="preserve">harmonically unstable via the X-point oxygen mode at all temperatures studied) is a cleaner test</w:t>
      </w:r>
      <w:r>
        <w:t xml:space="preserve"> </w:t>
      </w:r>
      <w:r>
        <w:t xml:space="preserve">because its instability is shallower than the FE perovskites and does not trigger the float32</w:t>
      </w:r>
      <w:r>
        <w:t xml:space="preserve"> </w:t>
      </w:r>
      <w:r>
        <w:t xml:space="preserve">blow-ups. The soft-mode screen calls both fluorites unstable at every temperature and for every model</w:t>
      </w:r>
      <w:r>
        <w:t xml:space="preserve"> </w:t>
      </w:r>
      <w:r>
        <w:t xml:space="preserve">(recall 1.00), correctly and consistently. SSCHA instead returns +2.0 to +3.3 THz at 100 K for all</w:t>
      </w:r>
      <w:r>
        <w:t xml:space="preserve"> </w:t>
      </w:r>
      <w:r>
        <w:t xml:space="preserve">five models on ZrO₂ (false-stable) and then destabilises with temperature for three of them</w:t>
      </w:r>
      <w:r>
        <w:t xml:space="preserve"> </w:t>
      </w:r>
      <w:r>
        <w:t xml:space="preserve">(MACE-MP-0 −2.7 THz, SevenNet-0 −1.3 THz and ORB-v2 −24.8 THz at 900 K), which is both the wrong</w:t>
      </w:r>
      <w:r>
        <w:t xml:space="preserve"> </w:t>
      </w:r>
      <w:r>
        <w:t xml:space="preserve">sign at low T and the wrong temperature trend; CHGNet and MatterSim instead remain positive at</w:t>
      </w:r>
      <w:r>
        <w:t xml:space="preserve"> </w:t>
      </w:r>
      <w:r>
        <w:t xml:space="preserve">900 K (+1.2 and +2.3 THz), so they are false-stable across the whole ladder. Because SSCHA fails</w:t>
      </w:r>
      <w:r>
        <w:t xml:space="preserve"> </w:t>
      </w:r>
      <w:r>
        <w:t xml:space="preserve">the same way on a numerically well-behaved, shallower instability, the false-stable behaviour is</w:t>
      </w:r>
      <w:r>
        <w:t xml:space="preserve"> </w:t>
      </w:r>
      <w:r>
        <w:t xml:space="preserve">intrinsic to the truncated fixed-reference deployment (see the root cause above) rather than an</w:t>
      </w:r>
      <w:r>
        <w:t xml:space="preserve"> </w:t>
      </w:r>
      <w:r>
        <w:t xml:space="preserve">artifact of the deepest perovskite wells. HfO₂ shows the same pattern (all models +1.9 to +2.6 THz</w:t>
      </w:r>
      <w:r>
        <w:t xml:space="preserve"> </w:t>
      </w:r>
      <w:r>
        <w:t xml:space="preserve">at 100 K, then destabilising to −4.6/−10.0 THz for MACE-MP-0/ORB-v2 by 900 K). Across both</w:t>
      </w:r>
      <w:r>
        <w:t xml:space="preserve"> </w:t>
      </w:r>
      <w:r>
        <w:t xml:space="preserve">fluorites SSCHA produced zero numerical blow-ups and zero failed units, yet the same systematic</w:t>
      </w:r>
      <w:r>
        <w:t xml:space="preserve"> </w:t>
      </w:r>
      <w:r>
        <w:t xml:space="preserve">false-stable, which confirms that the failure is methodological, not numerical.</w:t>
      </w:r>
    </w:p>
    <w:bookmarkEnd w:id="31"/>
    <w:bookmarkStart w:id="38" w:name="ensemble-disagreement-as-a-guardrail-h3"/>
    <w:p>
      <w:pPr>
        <w:pStyle w:val="Heading3"/>
      </w:pPr>
      <w:r>
        <w:t xml:space="preserve">3.4 Ensemble disagreement as a guardrail (H3)</w:t>
      </w:r>
    </w:p>
    <w:p>
      <w:pPr>
        <w:pStyle w:val="FirstParagraph"/>
      </w:pPr>
      <w:r>
        <w:t xml:space="preserve">Because no single model is reliable across the set, we test whether cross-model disagreement flags</w:t>
      </w:r>
      <w:r>
        <w:t xml:space="preserve"> </w:t>
      </w:r>
      <w:r>
        <w:t xml:space="preserve">the units where the majority-vote consensus finite-temperature call is wrong. On the non-bcc,</w:t>
      </w:r>
      <w:r>
        <w:t xml:space="preserve"> </w:t>
      </w:r>
      <w:r>
        <w:t xml:space="preserve">non-borderline soft-mode units (n = 60; bcc excluded because its thermodynamic-T_c label is the</w:t>
      </w:r>
      <w:r>
        <w:t xml:space="preserve"> </w:t>
      </w:r>
      <w:r>
        <w:t xml:space="preserve">wrong reference for dynamic stability, §3.3), the majority-vote consensus is wrong on 20.0% of</w:t>
      </w:r>
      <w:r>
        <w:t xml:space="preserve"> </w:t>
      </w:r>
      <w:r>
        <w:t xml:space="preserve">units. The disagreement signal separates these: on the 14 units where the five models split on the</w:t>
      </w:r>
      <w:r>
        <w:t xml:space="preserve"> </w:t>
      </w:r>
      <w:r>
        <w:t xml:space="preserve">stable/unstable call, the consensus error rate is 0.57, against 0.09 on the 46 unanimous units, a</w:t>
      </w:r>
      <w:r>
        <w:t xml:space="preserve"> </w:t>
      </w:r>
      <w:r>
        <w:t xml:space="preserve">6.6× enrichment. As a ranked predictor of consensus error, the binary stable/unstable vote split</w:t>
      </w:r>
      <w:r>
        <w:t xml:space="preserve"> </w:t>
      </w:r>
      <w:r>
        <w:t xml:space="preserve">reaches AUC 0.76, whereas the continuous cross-model frequency standard deviation carries no</w:t>
      </w:r>
      <w:r>
        <w:t xml:space="preserve"> </w:t>
      </w:r>
      <w:r>
        <w:t xml:space="preserve">usable signal (AUC 0.36, below chance on this set; Fig. 6).</w:t>
      </w:r>
    </w:p>
    <w:p>
      <w:pPr>
        <w:pStyle w:val="CaptionedFigure"/>
      </w:pPr>
      <w:r>
        <w:drawing>
          <wp:inline>
            <wp:extent cx="4220307" cy="4220307"/>
            <wp:effectExtent b="0" l="0" r="0" t="0"/>
            <wp:docPr descr="Fig. 6 Ensemble-disagreement guardrail (§3.4): the discrete inter-model vote split predicts consensus error (AUC 0.76) while the continuous cross-model frequency spread does not (AUC 0.36, below chance)." title="" id="33" name="Picture"/>
            <a:graphic>
              <a:graphicData uri="http://schemas.openxmlformats.org/drawingml/2006/picture">
                <pic:pic>
                  <pic:nvPicPr>
                    <pic:cNvPr descr="../results/figures/fig_ensemble_guardrai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07" cy="422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6</w:t>
      </w:r>
      <w:r>
        <w:t xml:space="preserve"> </w:t>
      </w:r>
      <w:r>
        <w:t xml:space="preserve">Ensemble-disagreement guardrail (§3.4): the discrete inter-model</w:t>
      </w:r>
      <w:r>
        <w:t xml:space="preserve"> </w:t>
      </w:r>
      <w:r>
        <w:t xml:space="preserve">vote split predicts consensus error (AUC 0.76) while the continuous cross-model frequency spread</w:t>
      </w:r>
      <w:r>
        <w:t xml:space="preserve"> </w:t>
      </w:r>
      <w:r>
        <w:t xml:space="preserve">does not (AUC 0.36, below chance).</w:t>
      </w:r>
    </w:p>
    <w:p>
      <w:pPr>
        <w:pStyle w:val="BodyText"/>
      </w:pPr>
      <w:r>
        <w:t xml:space="preserve">This refines H3 into a rule with a caveat: the discrete inter-model vote split is a useful, cheap</w:t>
      </w:r>
      <w:r>
        <w:t xml:space="preserve"> </w:t>
      </w:r>
      <w:r>
        <w:t xml:space="preserve">guardrail (flag any candidate on which the foundation-MLIP ensemble disagrees), but the continuous</w:t>
      </w:r>
      <w:r>
        <w:t xml:space="preserve"> </w:t>
      </w:r>
      <w:r>
        <w:t xml:space="preserve">frequency spread that one might naively threshold is not. The physical reading is that disagreement</w:t>
      </w:r>
      <w:r>
        <w:t xml:space="preserve"> </w:t>
      </w:r>
      <w:r>
        <w:t xml:space="preserve">concentrates near the stability boundary, where split votes coincide with frequencies straddling</w:t>
      </w:r>
      <w:r>
        <w:t xml:space="preserve"> </w:t>
      </w:r>
      <w:r>
        <w:t xml:space="preserve">zero and the call is both most uncertain and most error-prone.</w:t>
      </w:r>
    </w:p>
    <w:p>
      <w:pPr>
        <w:pStyle w:val="CaptionedFigure"/>
      </w:pPr>
      <w:r>
        <w:drawing>
          <wp:inline>
            <wp:extent cx="4220307" cy="4220307"/>
            <wp:effectExtent b="0" l="0" r="0" t="0"/>
            <wp:docPr descr="Fig. 5 Recall of the displacive (ferroelectric-perovskite) instability at T ≤ 300 K: the cheap multi-mode soft-mode screen (0.53) versus the expensive SSCHA (0.19) (§3.3). The cautionary result is that the gold standard is less reliable than the screen in the regime that matters most." title="" id="36" name="Picture"/>
            <a:graphic>
              <a:graphicData uri="http://schemas.openxmlformats.org/drawingml/2006/picture">
                <pic:pic>
                  <pic:nvPicPr>
                    <pic:cNvPr descr="../results/figures/fig_displacive_recal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07" cy="422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5</w:t>
      </w:r>
      <w:r>
        <w:t xml:space="preserve"> </w:t>
      </w:r>
      <w:r>
        <w:t xml:space="preserve">Recall of the displacive (ferroelectric-perovskite) instability at</w:t>
      </w:r>
      <w:r>
        <w:t xml:space="preserve"> </w:t>
      </w:r>
      <w:r>
        <w:t xml:space="preserve">T ≤ 300 K: the cheap multi-mode soft-mode screen (0.53) versus the expensive SSCHA (0.19) (§3.3). The</w:t>
      </w:r>
      <w:r>
        <w:t xml:space="preserve"> </w:t>
      </w:r>
      <w:r>
        <w:t xml:space="preserve">cautionary result is that the gold standard is less reliable than the screen in the regime that</w:t>
      </w:r>
      <w:r>
        <w:t xml:space="preserve"> </w:t>
      </w:r>
      <w:r>
        <w:t xml:space="preserve">matters most.</w:t>
      </w:r>
    </w:p>
    <w:bookmarkEnd w:id="38"/>
    <w:bookmarkStart w:id="39" w:name="X054d2a2ddcea26a90d40f6d7c1de66d35e8d344"/>
    <w:p>
      <w:pPr>
        <w:pStyle w:val="Heading3"/>
      </w:pPr>
      <w:r>
        <w:t xml:space="preserve">3.5 Robustness: stochastic noise and finite size</w:t>
      </w:r>
    </w:p>
    <w:p>
      <w:pPr>
        <w:pStyle w:val="FirstParagraph"/>
      </w:pPr>
      <w:r>
        <w:t xml:space="preserve">Stochastic reproducibility. Repeating the bcc-Zr / MACE-MP-0 / 100 K SSCHA with four independent</w:t>
      </w:r>
      <w:r>
        <w:t xml:space="preserve"> </w:t>
      </w:r>
      <w:r>
        <w:t xml:space="preserve">random seeds gives a minimum free-energy-Hessian frequency of +1.798 ± 0.001 THz (range [+1.797,</w:t>
      </w:r>
      <w:r>
        <w:t xml:space="preserve"> </w:t>
      </w:r>
      <w:r>
        <w:t xml:space="preserve">+1.800]). The stochastic noise (≈0.001 THz) is two-to-three orders of magnitude smaller than the</w:t>
      </w:r>
      <w:r>
        <w:t xml:space="preserve"> </w:t>
      </w:r>
      <w:r>
        <w:t xml:space="preserve">cross-model bcc margins (§3.3), so those margins are real signal rather than sampling noise. The</w:t>
      </w:r>
      <w:r>
        <w:t xml:space="preserve"> </w:t>
      </w:r>
      <w:r>
        <w:t xml:space="preserve">same unit re-measured in the pinned environment, with the SSCHA initialiser rebuilt from phonopy</w:t>
      </w:r>
      <w:r>
        <w:t xml:space="preserve"> </w:t>
      </w:r>
      <w:r>
        <w:t xml:space="preserve">force constants, returns +1.80 THz at every temperature on the ladder, so the number also survives</w:t>
      </w:r>
      <w:r>
        <w:t xml:space="preserve"> </w:t>
      </w:r>
      <w:r>
        <w:t xml:space="preserve">an independent environment and initialiser.</w:t>
      </w:r>
    </w:p>
    <w:p>
      <w:pPr>
        <w:pStyle w:val="BodyText"/>
      </w:pPr>
      <w:r>
        <w:t xml:space="preserve">Finite size. The SSCHA stability call is insensitive to supercell size on the cases where the test</w:t>
      </w:r>
      <w:r>
        <w:t xml:space="preserve"> </w:t>
      </w:r>
      <w:r>
        <w:t xml:space="preserve">is well-posed (</w:t>
      </w:r>
      <w:r>
        <w:rPr>
          <w:rStyle w:val="VerbatimChar"/>
        </w:rPr>
        <w:t xml:space="preserve">results/convergence_study.parquet</w:t>
      </w:r>
      <w:r>
        <w:t xml:space="preserve">): for bcc-Zr the dynamic-stabilisation verdict</w:t>
      </w:r>
      <w:r>
        <w:t xml:space="preserve"> </w:t>
      </w:r>
      <w:r>
        <w:t xml:space="preserve">holds from 2×2×2 to 3×3×3 (+1.80 to +1.56 THz at 100 K, +1.80 to +1.55 at 300 K). We report the</w:t>
      </w:r>
      <w:r>
        <w:t xml:space="preserve"> </w:t>
      </w:r>
      <w:r>
        <w:t xml:space="preserve">soft-mode side of that study as superseded rather than as evidence: those runs were produced by the</w:t>
      </w:r>
      <w:r>
        <w:t xml:space="preserve"> </w:t>
      </w:r>
      <w:r>
        <w:t xml:space="preserve">earlier single-mode selection, before the correction described in §2.4, and have not been repeated</w:t>
      </w:r>
      <w:r>
        <w:t xml:space="preserve"> </w:t>
      </w:r>
      <w:r>
        <w:t xml:space="preserve">at 3×3×3. One caveat is intrinsic to the physics rather than the method, and it is now the central</w:t>
      </w:r>
      <w:r>
        <w:t xml:space="preserve"> </w:t>
      </w:r>
      <w:r>
        <w:t xml:space="preserve">reason the multi-mode criterion is necessary: the SrTiO₃ antiferrodistortive instability lives at</w:t>
      </w:r>
      <w:r>
        <w:t xml:space="preserve"> </w:t>
      </w:r>
      <w:r>
        <w:t xml:space="preserve">the zone-boundary R point = (½,½,½), which is commensurate only with even supercells, so a 3×3×3</w:t>
      </w:r>
      <w:r>
        <w:t xml:space="preserve"> </w:t>
      </w:r>
      <w:r>
        <w:t xml:space="preserve">cell is blind to it by construction. A 2×2×2-versus-3×3×3 comparison is therefore not a valid</w:t>
      </w:r>
      <w:r>
        <w:t xml:space="preserve"> </w:t>
      </w:r>
      <w:r>
        <w:t xml:space="preserve">convergence test for R-point systems, and the definitive even-cell test (4×4×4, a ~320-atom SSCHA)</w:t>
      </w:r>
      <w:r>
        <w:t xml:space="preserve"> </w:t>
      </w:r>
      <w:r>
        <w:t xml:space="preserve">is left to future work. The §3.3 SSCHA false-stable is not a missing-q artifact: it occurs for the</w:t>
      </w:r>
      <w:r>
        <w:t xml:space="preserve"> </w:t>
      </w:r>
      <w:r>
        <w:t xml:space="preserve">Γ ferroelectric mode of BaTiO₃, which is present in every cell including the 2×2×2 used, so the</w:t>
      </w:r>
      <w:r>
        <w:t xml:space="preserve"> </w:t>
      </w:r>
      <w:r>
        <w:t xml:space="preserve">failure is the fourth-order truncation identified in the root-cause diagnostic, not finite size.</w:t>
      </w:r>
    </w:p>
    <w:bookmarkEnd w:id="39"/>
    <w:bookmarkEnd w:id="40"/>
    <w:bookmarkStart w:id="4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harmonic layer (§3.1) reproduces the literature and confirms H1: PES softening produces a real</w:t>
      </w:r>
      <w:r>
        <w:t xml:space="preserve"> </w:t>
      </w:r>
      <w:r>
        <w:t xml:space="preserve">false-stable rate, localised to specific instabilities (bcc Zr/Hf) rather than uniform. The</w:t>
      </w:r>
      <w:r>
        <w:t xml:space="preserve"> </w:t>
      </w:r>
      <w:r>
        <w:t xml:space="preserve">finite-temperature results support H2, though with a temperature-dependent statistic rather than a</w:t>
      </w:r>
      <w:r>
        <w:t xml:space="preserve"> </w:t>
      </w:r>
      <w:r>
        <w:t xml:space="preserve">single clean effect. Harmonic accuracy is non-predictive of</w:t>
      </w:r>
      <w:r>
        <w:t xml:space="preserve"> </w:t>
      </w:r>
      <w:r>
        <w:t xml:space="preserve">finite-temperature accuracy, and the standard escalation (</w:t>
      </w:r>
      <w:r>
        <w:t xml:space="preserve">“if in doubt, run SSCHA”</w:t>
      </w:r>
      <w:r>
        <w:t xml:space="preserve">) fails on the</w:t>
      </w:r>
      <w:r>
        <w:t xml:space="preserve"> </w:t>
      </w:r>
      <w:r>
        <w:t xml:space="preserve">displacive regime, because MLIP-driven SSCHA at its default bubble truncation false-stabilises deep</w:t>
      </w:r>
      <w:r>
        <w:t xml:space="preserve"> </w:t>
      </w:r>
      <w:r>
        <w:t xml:space="preserve">double wells. The practical recommendation inverts the usual cost/accuracy intuition: for screening</w:t>
      </w:r>
      <w:r>
        <w:t xml:space="preserve"> </w:t>
      </w:r>
      <w:r>
        <w:t xml:space="preserve">harmonically-unstable displacive candidates, the cheap all-imaginary-mode free-energy screen is the</w:t>
      </w:r>
      <w:r>
        <w:t xml:space="preserve"> </w:t>
      </w:r>
      <w:r>
        <w:t xml:space="preserve">more reliable indicator, and a default-truncation SSCHA escalation should be reserved for</w:t>
      </w:r>
      <w:r>
        <w:t xml:space="preserve"> </w:t>
      </w:r>
      <w:r>
        <w:t xml:space="preserve">martensitic and entropy-stabilised cases, or else run with the fourth-order resummation its own</w:t>
      </w:r>
      <w:r>
        <w:t xml:space="preserve"> </w:t>
      </w:r>
      <w:r>
        <w:t xml:space="preserve">theory prescribes.</w:t>
      </w:r>
    </w:p>
    <w:p>
      <w:pPr>
        <w:pStyle w:val="BodyText"/>
      </w:pPr>
      <w:r>
        <w:t xml:space="preserve">Limitations. Ground-truth transition temperatures are approximate and scoring is qualitative. SSCHA</w:t>
      </w:r>
      <w:r>
        <w:t xml:space="preserve"> </w:t>
      </w:r>
      <w:r>
        <w:t xml:space="preserve">cells are 2×2×2 (finite size), so dynamic-stabilisation temperatures are approximate, though the</w:t>
      </w:r>
      <w:r>
        <w:t xml:space="preserve"> </w:t>
      </w:r>
      <w:r>
        <w:t xml:space="preserve">cross-model comparison at fixed cell is valid. ORB-v2’s float32-only direct architecture is an</w:t>
      </w:r>
      <w:r>
        <w:t xml:space="preserve"> </w:t>
      </w:r>
      <w:r>
        <w:t xml:space="preserve">outlier in both layers and is flagged throughout rather than excluded. The screen is a</w:t>
      </w:r>
      <w:r>
        <w:t xml:space="preserve"> </w:t>
      </w:r>
      <w:r>
        <w:t xml:space="preserve">single-mode treatment applied mode-by-mode: it captures each instability independently but not</w:t>
      </w:r>
      <w:r>
        <w:t xml:space="preserve"> </w:t>
      </w:r>
      <w:r>
        <w:t xml:space="preserve">their coupling, which is the most likely reason the predicted stabilisation temperature fails to</w:t>
      </w:r>
      <w:r>
        <w:t xml:space="preserve"> </w:t>
      </w:r>
      <w:r>
        <w:t xml:space="preserve">order PbTiO₃ correctly (§3.2). Both the screen (0.53) and SSCHA (0.19) miss a substantial fraction</w:t>
      </w:r>
      <w:r>
        <w:t xml:space="preserve"> </w:t>
      </w:r>
      <w:r>
        <w:t xml:space="preserve">of the ferroelectric-oxide instabilities, so the comparison identifies the better of two imperfect</w:t>
      </w:r>
      <w:r>
        <w:t xml:space="preserve"> </w:t>
      </w:r>
      <w:r>
        <w:t xml:space="preserve">methods rather than a solved problem. Finally, α-AgI is modelled as an ordered CsCl-type</w:t>
      </w:r>
      <w:r>
        <w:t xml:space="preserve"> </w:t>
      </w:r>
      <w:r>
        <w:t xml:space="preserve">approximant of the bcc iodine sublattice; that is not the disordered superionic α phase, and its</w:t>
      </w:r>
      <w:r>
        <w:t xml:space="preserve"> </w:t>
      </w:r>
      <w:r>
        <w:t xml:space="preserve">screen call should be read as a placeholder.</w:t>
      </w:r>
    </w:p>
    <w:bookmarkEnd w:id="41"/>
    <w:bookmarkStart w:id="42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Finite-temperature dynamic stability separates foundation MLIPs that the harmonic benchmarks used</w:t>
      </w:r>
      <w:r>
        <w:t xml:space="preserve"> </w:t>
      </w:r>
      <w:r>
        <w:t xml:space="preserve">to certify them rank equally. A cheap quantum free-energy screen, applied to every imaginary</w:t>
      </w:r>
      <w:r>
        <w:t xml:space="preserve"> </w:t>
      </w:r>
      <w:r>
        <w:t xml:space="preserve">commensurate mode rather than to the softest one, recovers finite-temperature behaviour that</w:t>
      </w:r>
      <w:r>
        <w:t xml:space="preserve"> </w:t>
      </w:r>
      <w:r>
        <w:t xml:space="preserve">harmonic accuracy does not predict, and it outperforms MLIP-driven SSCHA at its default bubble</w:t>
      </w:r>
      <w:r>
        <w:t xml:space="preserve"> </w:t>
      </w:r>
      <w:r>
        <w:t xml:space="preserve">truncation on the deep displacive instabilities that dominate generative-CSP screening. Which mode</w:t>
      </w:r>
      <w:r>
        <w:t xml:space="preserve"> </w:t>
      </w:r>
      <w:r>
        <w:t xml:space="preserve">is examined matters as much as which method is used: the deepest instability need not be the one</w:t>
      </w:r>
      <w:r>
        <w:t xml:space="preserve"> </w:t>
      </w:r>
      <w:r>
        <w:t xml:space="preserve">that condenses, and in SrTiO₃ it is not. Harmonic accuracy does not certify a model for</w:t>
      </w:r>
      <w:r>
        <w:t xml:space="preserve"> </w:t>
      </w:r>
      <w:r>
        <w:t xml:space="preserve">finite-temperature use, and neither does an unexamined SSCHA cross-check.</w:t>
      </w:r>
    </w:p>
    <w:bookmarkEnd w:id="42"/>
    <w:bookmarkStart w:id="4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code supporting this article, together with the per-unit results ledger, is openly available</w:t>
      </w:r>
      <w:r>
        <w:t xml:space="preserve"> </w:t>
      </w:r>
      <w:r>
        <w:t xml:space="preserve">in the repository at https://github.com/fronkt/mlip-dynamic-stability and archived at Zenodo at</w:t>
      </w:r>
      <w:r>
        <w:t xml:space="preserve"> </w:t>
      </w:r>
      <w:r>
        <w:t xml:space="preserve">https://doi.org/10.5281/zenodo.20805799 (concept DOI, resolving to the latest version). The production results regenerate from</w:t>
      </w:r>
      <w:r>
        <w:t xml:space="preserve"> </w:t>
      </w:r>
      <w:r>
        <w:rPr>
          <w:rStyle w:val="VerbatimChar"/>
        </w:rPr>
        <w:t xml:space="preserve">results/ledger.parquet</w:t>
      </w:r>
      <w:r>
        <w:t xml:space="preserve"> </w:t>
      </w:r>
      <w:r>
        <w:t xml:space="preserve">(per-unit hashed, resumable) and the finite-size runs from</w:t>
      </w:r>
      <w:r>
        <w:t xml:space="preserve"> </w:t>
      </w:r>
      <w:r>
        <w:rPr>
          <w:rStyle w:val="VerbatimChar"/>
        </w:rPr>
        <w:t xml:space="preserve">results/convergence_study.parquet</w:t>
      </w:r>
      <w:r>
        <w:t xml:space="preserve">; figures via</w:t>
      </w:r>
      <w:r>
        <w:t xml:space="preserve"> </w:t>
      </w:r>
      <w:r>
        <w:rPr>
          <w:rStyle w:val="VerbatimChar"/>
        </w:rPr>
        <w:t xml:space="preserve">scripts/make_figures.py</w:t>
      </w:r>
      <w:r>
        <w:t xml:space="preserve">, analysis in</w:t>
      </w:r>
      <w:r>
        <w:t xml:space="preserve"> </w:t>
      </w:r>
      <w:r>
        <w:rPr>
          <w:rStyle w:val="VerbatimChar"/>
        </w:rPr>
        <w:t xml:space="preserve">mlip_dynstab/analysis.py</w:t>
      </w:r>
      <w:r>
        <w:t xml:space="preserve">, the SSCHA root-cause diagnostic in</w:t>
      </w:r>
      <w:r>
        <w:t xml:space="preserve"> </w:t>
      </w:r>
      <w:r>
        <w:rPr>
          <w:rStyle w:val="VerbatimChar"/>
        </w:rPr>
        <w:t xml:space="preserve">scripts/sscha_v4_diag.py</w:t>
      </w:r>
      <w:r>
        <w:t xml:space="preserve">, and the</w:t>
      </w:r>
      <w:r>
        <w:t xml:space="preserve"> </w:t>
      </w:r>
      <w:r>
        <w:t xml:space="preserve">stochastic-reproducibility study (§3.5) via</w:t>
      </w:r>
      <w:r>
        <w:t xml:space="preserve"> </w:t>
      </w:r>
      <w:r>
        <w:rPr>
          <w:rStyle w:val="VerbatimChar"/>
        </w:rPr>
        <w:t xml:space="preserve">scripts/sscha_repro.py</w:t>
      </w:r>
      <w:r>
        <w:t xml:space="preserve"> </w:t>
      </w:r>
      <w:r>
        <w:t xml:space="preserve">(its per-seed frequencies</w:t>
      </w:r>
      <w:r>
        <w:t xml:space="preserve"> </w:t>
      </w:r>
      <w:r>
        <w:t xml:space="preserve">print to the run log rather than to the ledger). The SSCHA results reported here are a full</w:t>
      </w:r>
      <w:r>
        <w:t xml:space="preserve"> </w:t>
      </w:r>
      <w:r>
        <w:t xml:space="preserve">re-measurement (</w:t>
      </w:r>
      <w:r>
        <w:rPr>
          <w:rStyle w:val="VerbatimChar"/>
        </w:rPr>
        <w:t xml:space="preserve">scripts/run_sscha_v2.py</w:t>
      </w:r>
      <w:r>
        <w:t xml:space="preserve">, method version 3) of the original 208-unit grid in the</w:t>
      </w:r>
      <w:r>
        <w:t xml:space="preserve"> </w:t>
      </w:r>
      <w:r>
        <w:t xml:space="preserve">pinned environments, after two defects were found in the original analysis path: an acoustic-mode</w:t>
      </w:r>
      <w:r>
        <w:t xml:space="preserve"> </w:t>
      </w:r>
      <w:r>
        <w:t xml:space="preserve">identification inversion (the three translational modes were selected by lowest frequency rather</w:t>
      </w:r>
      <w:r>
        <w:t xml:space="preserve"> </w:t>
      </w:r>
      <w:r>
        <w:t xml:space="preserve">than smallest magnitude, which for an unstable phase discards the soft mode itself), and an</w:t>
      </w:r>
      <w:r>
        <w:t xml:space="preserve"> </w:t>
      </w:r>
      <w:r>
        <w:t xml:space="preserve">unrecorded software environment. The superseded generations are retained in the append-only ledger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mlip_dynstab.analysis.canonical</w:t>
      </w:r>
      <w:r>
        <w:t xml:space="preserve"> </w:t>
      </w:r>
      <w:r>
        <w:t xml:space="preserve">selects the current one — together with the in-place derived</w:t>
      </w:r>
      <w:r>
        <w:t xml:space="preserve"> </w:t>
      </w:r>
      <w:r>
        <w:t xml:space="preserve">correction (</w:t>
      </w:r>
      <w:r>
        <w:rPr>
          <w:rStyle w:val="VerbatimChar"/>
        </w:rPr>
        <w:t xml:space="preserve">scripts/fix_sscha_acoustic.py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*_v1</w:t>
      </w:r>
      <w:r>
        <w:t xml:space="preserve"> </w:t>
      </w:r>
      <w:r>
        <w:t xml:space="preserve">columns) and the uncorrected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results/ledger.parquet.pre-d1-fix</w:t>
      </w:r>
      <w:r>
        <w:t xml:space="preserve">), so every stage of the correction is auditable.</w:t>
      </w:r>
    </w:p>
    <w:p>
      <w:pPr>
        <w:pStyle w:val="BodyText"/>
      </w:pPr>
      <w:r>
        <w:t xml:space="preserve">The finite-temperature screen results reported here are the multi-mode grid described in §2.4</w:t>
      </w:r>
      <w:r>
        <w:t xml:space="preserve"> </w:t>
      </w:r>
      <w:r>
        <w:t xml:space="preserve">(5 models × 20 systems × 4 temperatures = 400 units). The ledger is append-only and also retains</w:t>
      </w:r>
      <w:r>
        <w:t xml:space="preserve"> </w:t>
      </w:r>
      <w:r>
        <w:t xml:space="preserve">the superseded single-mode rows;</w:t>
      </w:r>
      <w:r>
        <w:t xml:space="preserve"> </w:t>
      </w:r>
      <w:r>
        <w:rPr>
          <w:rStyle w:val="VerbatimChar"/>
        </w:rPr>
        <w:t xml:space="preserve">mlip_dynstab.analysis.canonical</w:t>
      </w:r>
      <w:r>
        <w:t xml:space="preserve"> </w:t>
      </w:r>
      <w:r>
        <w:t xml:space="preserve">selects the current generation,</w:t>
      </w:r>
      <w:r>
        <w:t xml:space="preserve"> </w:t>
      </w:r>
      <w:r>
        <w:t xml:space="preserve">and every figure and statistic in this article is computed through it. The unit hash includes the</w:t>
      </w:r>
      <w:r>
        <w:t xml:space="preserve"> </w:t>
      </w:r>
      <w:r>
        <w:t xml:space="preserve">method version and the mode cap, so a re-run under a changed algorithm records new rows rather than</w:t>
      </w:r>
      <w:r>
        <w:t xml:space="preserve"> </w:t>
      </w:r>
      <w:r>
        <w:t xml:space="preserve">silently reusing old ones. Each model was run in its own pinned environment, with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manifests deposited as</w:t>
      </w:r>
      <w:r>
        <w:t xml:space="preserve"> </w:t>
      </w:r>
      <w:r>
        <w:rPr>
          <w:rStyle w:val="VerbatimChar"/>
        </w:rPr>
        <w:t xml:space="preserve">envs/lock-&lt;model&gt;-2026-08-16.txt</w:t>
      </w:r>
      <w:r>
        <w:t xml:space="preserve">; the 220 cached E(Q) maps are included so</w:t>
      </w:r>
      <w:r>
        <w:t xml:space="preserve"> </w:t>
      </w:r>
      <w:r>
        <w:t xml:space="preserve">the temperature solves regenerate without a GPU.</w:t>
      </w:r>
    </w:p>
    <w:bookmarkEnd w:id="43"/>
    <w:bookmarkStart w:id="4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F.C. conceived the study, implemented the benchmark harness and analysis, performed all</w:t>
      </w:r>
      <w:r>
        <w:t xml:space="preserve"> </w:t>
      </w:r>
      <w:r>
        <w:t xml:space="preserve">computations, and wrote the manuscript.</w:t>
      </w:r>
    </w:p>
    <w:bookmarkEnd w:id="44"/>
    <w:bookmarkStart w:id="45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There are no conflicts of interest to declare.</w:t>
      </w:r>
    </w:p>
    <w:bookmarkEnd w:id="45"/>
    <w:bookmarkStart w:id="46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developers of the foundation interatomic-potential packages benchmarked</w:t>
      </w:r>
      <w:r>
        <w:t xml:space="preserve"> </w:t>
      </w:r>
      <w:r>
        <w:t xml:space="preserve">here, MACE-MP-0, CHGNet, ORB, SevenNet and MatterSim, and of phonopy, python-sscha /</w:t>
      </w:r>
      <w:r>
        <w:t xml:space="preserve"> </w:t>
      </w:r>
      <w:r>
        <w:t xml:space="preserve">cellconstructor, ASE and pymatgen, for making their codes and pre-trained models openly available;</w:t>
      </w:r>
      <w:r>
        <w:t xml:space="preserve"> </w:t>
      </w:r>
      <w:r>
        <w:t xml:space="preserve">this benchmark would not have been possible otherwise. Reference structures were obtained from the</w:t>
      </w:r>
      <w:r>
        <w:t xml:space="preserve"> </w:t>
      </w:r>
      <w:r>
        <w:t xml:space="preserve">Materials Project. Computational resources were provided by commercial cloud GPU providers. This</w:t>
      </w:r>
      <w:r>
        <w:t xml:space="preserve"> </w:t>
      </w:r>
      <w:r>
        <w:t xml:space="preserve">research received no specific grant from any funding agency in the public, commercial, or</w:t>
      </w:r>
      <w:r>
        <w:t xml:space="preserve"> </w:t>
      </w:r>
      <w:r>
        <w:t xml:space="preserve">not-for-profit sectors.</w: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A. Loew, D. Sun, H.-C. Wang, S. Botti and M. A. L. Marques,</w:t>
      </w:r>
      <w:r>
        <w:t xml:space="preserve"> </w:t>
      </w:r>
      <w:r>
        <w:rPr>
          <w:i/>
          <w:iCs/>
        </w:rPr>
        <w:t xml:space="preserve">npj Comput. Mater.</w:t>
      </w:r>
      <w:r>
        <w:t xml:space="preserve">, 2025,</w:t>
      </w:r>
      <w:r>
        <w:t xml:space="preserve"> </w:t>
      </w:r>
      <w:r>
        <w:rPr>
          <w:b/>
          <w:bCs/>
        </w:rPr>
        <w:t xml:space="preserve">11</w:t>
      </w:r>
      <w:r>
        <w:t xml:space="preserve">, 178.</w:t>
      </w:r>
    </w:p>
    <w:p>
      <w:pPr>
        <w:pStyle w:val="Compact"/>
        <w:numPr>
          <w:ilvl w:val="0"/>
          <w:numId w:val="1003"/>
        </w:numPr>
      </w:pPr>
      <w:r>
        <w:t xml:space="preserve">X.-Q. Han, P.-J. Guo, Z.-F. Gao, W.-K. Li and Z.-Y. Lu,</w:t>
      </w:r>
      <w:r>
        <w:t xml:space="preserve"> </w:t>
      </w:r>
      <w:r>
        <w:rPr>
          <w:i/>
          <w:iCs/>
        </w:rPr>
        <w:t xml:space="preserve">arXiv</w:t>
      </w:r>
      <w:r>
        <w:t xml:space="preserve">, 2025, arXiv:2512.21227.</w:t>
      </w:r>
    </w:p>
    <w:p>
      <w:pPr>
        <w:pStyle w:val="Compact"/>
        <w:numPr>
          <w:ilvl w:val="0"/>
          <w:numId w:val="1003"/>
        </w:numPr>
      </w:pPr>
      <w:r>
        <w:t xml:space="preserve">G. Petretto, S. Dwaraknath, H. P. C. Miranda, D. Winston, M. Giantomassi, M. J. van Setten, X. Gonze, K. A. Persson, G. Hautier and G.-M. Rignanese,</w:t>
      </w:r>
      <w:r>
        <w:t xml:space="preserve"> </w:t>
      </w:r>
      <w:r>
        <w:rPr>
          <w:i/>
          <w:iCs/>
        </w:rPr>
        <w:t xml:space="preserve">Sci. Data</w:t>
      </w:r>
      <w:r>
        <w:t xml:space="preserve">, 2018,</w:t>
      </w:r>
      <w:r>
        <w:t xml:space="preserve"> </w:t>
      </w:r>
      <w:r>
        <w:rPr>
          <w:b/>
          <w:bCs/>
        </w:rPr>
        <w:t xml:space="preserve">5</w:t>
      </w:r>
      <w:r>
        <w:t xml:space="preserve">, 180065.</w:t>
      </w:r>
    </w:p>
    <w:p>
      <w:pPr>
        <w:pStyle w:val="Compact"/>
        <w:numPr>
          <w:ilvl w:val="0"/>
          <w:numId w:val="1003"/>
        </w:numPr>
      </w:pPr>
      <w:r>
        <w:t xml:space="preserve">L. Monacelli, R. Bianco, M. Cherubini, M. Calandra, I. Errea and F. Mauri,</w:t>
      </w:r>
      <w:r>
        <w:t xml:space="preserve"> </w:t>
      </w:r>
      <w:r>
        <w:rPr>
          <w:i/>
          <w:iCs/>
        </w:rPr>
        <w:t xml:space="preserve">J. Phys.: Condens. Matter</w:t>
      </w:r>
      <w:r>
        <w:t xml:space="preserve">, 2021,</w:t>
      </w:r>
      <w:r>
        <w:t xml:space="preserve"> </w:t>
      </w:r>
      <w:r>
        <w:rPr>
          <w:b/>
          <w:bCs/>
        </w:rPr>
        <w:t xml:space="preserve">33</w:t>
      </w:r>
      <w:r>
        <w:t xml:space="preserve">, 363001.</w:t>
      </w:r>
    </w:p>
    <w:p>
      <w:pPr>
        <w:pStyle w:val="Compact"/>
        <w:numPr>
          <w:ilvl w:val="0"/>
          <w:numId w:val="1003"/>
        </w:numPr>
      </w:pPr>
      <w:r>
        <w:t xml:space="preserve">O. Hellman, I. A. Abrikosov and S. I. Simak,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2011,</w:t>
      </w:r>
      <w:r>
        <w:t xml:space="preserve"> </w:t>
      </w:r>
      <w:r>
        <w:rPr>
          <w:b/>
          <w:bCs/>
        </w:rPr>
        <w:t xml:space="preserve">84</w:t>
      </w:r>
      <w:r>
        <w:t xml:space="preserve">, 180301(R); O. Hellman, P. Steneteg, I. A. Abrikosov and S. I. Simak,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2013,</w:t>
      </w:r>
      <w:r>
        <w:t xml:space="preserve"> </w:t>
      </w:r>
      <w:r>
        <w:rPr>
          <w:b/>
          <w:bCs/>
        </w:rPr>
        <w:t xml:space="preserve">87</w:t>
      </w:r>
      <w:r>
        <w:t xml:space="preserve">, 104111.</w:t>
      </w:r>
    </w:p>
    <w:p>
      <w:pPr>
        <w:pStyle w:val="Compact"/>
        <w:numPr>
          <w:ilvl w:val="0"/>
          <w:numId w:val="1003"/>
        </w:numPr>
      </w:pPr>
      <w:r>
        <w:t xml:space="preserve">I. Batatia, P. Benner, Y. Chiang, A. M. Elena, D. P. Kovács, J. Riebesell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arXiv</w:t>
      </w:r>
      <w:r>
        <w:t xml:space="preserve">, 2023, arXiv:2401.00096.</w:t>
      </w:r>
    </w:p>
    <w:p>
      <w:pPr>
        <w:pStyle w:val="Compact"/>
        <w:numPr>
          <w:ilvl w:val="0"/>
          <w:numId w:val="1003"/>
        </w:numPr>
      </w:pPr>
      <w:r>
        <w:t xml:space="preserve">B. Deng, P. Zhong, K. Jun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Nat. Mach. Intell.</w:t>
      </w:r>
      <w:r>
        <w:t xml:space="preserve">, 2023,</w:t>
      </w:r>
      <w:r>
        <w:t xml:space="preserve"> </w:t>
      </w:r>
      <w:r>
        <w:rPr>
          <w:b/>
          <w:bCs/>
        </w:rPr>
        <w:t xml:space="preserve">5</w:t>
      </w:r>
      <w:r>
        <w:t xml:space="preserve">, 1031.</w:t>
      </w:r>
    </w:p>
    <w:p>
      <w:pPr>
        <w:pStyle w:val="Compact"/>
        <w:numPr>
          <w:ilvl w:val="0"/>
          <w:numId w:val="1003"/>
        </w:numPr>
      </w:pPr>
      <w:r>
        <w:t xml:space="preserve">M. Neumann, J. Gin, B. Rhodes, S. Bennett, Z. Li, H. Choubisa, A. Hussey and J. Godwin,</w:t>
      </w:r>
      <w:r>
        <w:t xml:space="preserve"> </w:t>
      </w:r>
      <w:r>
        <w:rPr>
          <w:i/>
          <w:iCs/>
        </w:rPr>
        <w:t xml:space="preserve">arXiv</w:t>
      </w:r>
      <w:r>
        <w:t xml:space="preserve">, 2024, arXiv:2410.22570.</w:t>
      </w:r>
    </w:p>
    <w:p>
      <w:pPr>
        <w:pStyle w:val="Compact"/>
        <w:numPr>
          <w:ilvl w:val="0"/>
          <w:numId w:val="1003"/>
        </w:numPr>
      </w:pPr>
      <w:r>
        <w:t xml:space="preserve">Y. Park, J. Kim, S. Hwang and S. Han,</w:t>
      </w:r>
      <w:r>
        <w:t xml:space="preserve"> </w:t>
      </w:r>
      <w:r>
        <w:rPr>
          <w:i/>
          <w:iCs/>
        </w:rPr>
        <w:t xml:space="preserve">J. Chem. Theory Comput.</w:t>
      </w:r>
      <w:r>
        <w:t xml:space="preserve">, 2024,</w:t>
      </w:r>
      <w:r>
        <w:t xml:space="preserve"> </w:t>
      </w:r>
      <w:r>
        <w:rPr>
          <w:b/>
          <w:bCs/>
        </w:rPr>
        <w:t xml:space="preserve">20</w:t>
      </w:r>
      <w:r>
        <w:t xml:space="preserve">, 4857.</w:t>
      </w:r>
    </w:p>
    <w:p>
      <w:pPr>
        <w:pStyle w:val="Compact"/>
        <w:numPr>
          <w:ilvl w:val="0"/>
          <w:numId w:val="1003"/>
        </w:numPr>
      </w:pPr>
      <w:r>
        <w:t xml:space="preserve">H. Yang, C. Hu, Y. Zhou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arXiv</w:t>
      </w:r>
      <w:r>
        <w:t xml:space="preserve">, 2024, arXiv:2405.04967.</w:t>
      </w:r>
    </w:p>
    <w:p>
      <w:pPr>
        <w:pStyle w:val="Compact"/>
        <w:numPr>
          <w:ilvl w:val="0"/>
          <w:numId w:val="1003"/>
        </w:numPr>
      </w:pPr>
      <w:r>
        <w:t xml:space="preserve">T. Tadano and S. Tsuneyuki,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2015,</w:t>
      </w:r>
      <w:r>
        <w:t xml:space="preserve"> </w:t>
      </w:r>
      <w:r>
        <w:rPr>
          <w:b/>
          <w:bCs/>
        </w:rPr>
        <w:t xml:space="preserve">92</w:t>
      </w:r>
      <w:r>
        <w:t xml:space="preserve">, 054301.</w:t>
      </w:r>
    </w:p>
    <w:p>
      <w:pPr>
        <w:pStyle w:val="Compact"/>
        <w:numPr>
          <w:ilvl w:val="0"/>
          <w:numId w:val="1003"/>
        </w:numPr>
      </w:pPr>
      <w:r>
        <w:t xml:space="preserve">W. Zhong, D. Vanderbilt and K. M. Rabe,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, 1994,</w:t>
      </w:r>
      <w:r>
        <w:t xml:space="preserve"> </w:t>
      </w:r>
      <w:r>
        <w:rPr>
          <w:b/>
          <w:bCs/>
        </w:rPr>
        <w:t xml:space="preserve">73</w:t>
      </w:r>
      <w:r>
        <w:t xml:space="preserve">, 1861.</w:t>
      </w:r>
    </w:p>
    <w:p>
      <w:pPr>
        <w:pStyle w:val="Compact"/>
        <w:numPr>
          <w:ilvl w:val="0"/>
          <w:numId w:val="1003"/>
        </w:numPr>
      </w:pPr>
      <w:r>
        <w:t xml:space="preserve">A. Marronnier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ACS Nano</w:t>
      </w:r>
      <w:r>
        <w:t xml:space="preserve">, 2018,</w:t>
      </w:r>
      <w:r>
        <w:t xml:space="preserve"> </w:t>
      </w:r>
      <w:r>
        <w:rPr>
          <w:b/>
          <w:bCs/>
        </w:rPr>
        <w:t xml:space="preserve">12</w:t>
      </w:r>
      <w:r>
        <w:t xml:space="preserve">, 3477.</w:t>
      </w:r>
    </w:p>
    <w:p>
      <w:pPr>
        <w:pStyle w:val="Compact"/>
        <w:numPr>
          <w:ilvl w:val="0"/>
          <w:numId w:val="1003"/>
        </w:numPr>
      </w:pPr>
      <w:r>
        <w:t xml:space="preserve">L. Monacelli and N. Marzari,</w:t>
      </w:r>
      <w:r>
        <w:t xml:space="preserve"> </w:t>
      </w:r>
      <w:r>
        <w:rPr>
          <w:i/>
          <w:iCs/>
        </w:rPr>
        <w:t xml:space="preserve">Chem. Mater.</w:t>
      </w:r>
      <w:r>
        <w:t xml:space="preserve">, 2023, DOI: 10.1021/acs.chemmater.2c03475.</w:t>
      </w:r>
    </w:p>
    <w:p>
      <w:pPr>
        <w:pStyle w:val="Compact"/>
        <w:numPr>
          <w:ilvl w:val="0"/>
          <w:numId w:val="1003"/>
        </w:numPr>
      </w:pPr>
      <w:r>
        <w:t xml:space="preserve">W. Petry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1991,</w:t>
      </w:r>
      <w:r>
        <w:t xml:space="preserve"> </w:t>
      </w:r>
      <w:r>
        <w:rPr>
          <w:b/>
          <w:bCs/>
        </w:rPr>
        <w:t xml:space="preserve">43</w:t>
      </w:r>
      <w:r>
        <w:t xml:space="preserve">, 10933; A. Heiming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1991,</w:t>
      </w:r>
      <w:r>
        <w:t xml:space="preserve"> </w:t>
      </w:r>
      <w:r>
        <w:rPr>
          <w:b/>
          <w:bCs/>
        </w:rPr>
        <w:t xml:space="preserve">43</w:t>
      </w:r>
      <w:r>
        <w:t xml:space="preserve">, 10948.</w:t>
      </w:r>
    </w:p>
    <w:p>
      <w:pPr>
        <w:pStyle w:val="Compact"/>
        <w:numPr>
          <w:ilvl w:val="0"/>
          <w:numId w:val="1003"/>
        </w:numPr>
      </w:pPr>
      <w:r>
        <w:t xml:space="preserve">K. Parlinski, Z. Q. Li and Y. Kawazoe,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, 1997,</w:t>
      </w:r>
      <w:r>
        <w:t xml:space="preserve"> </w:t>
      </w:r>
      <w:r>
        <w:rPr>
          <w:b/>
          <w:bCs/>
        </w:rPr>
        <w:t xml:space="preserve">78</w:t>
      </w:r>
      <w:r>
        <w:t xml:space="preserve">, 4063.</w:t>
      </w:r>
    </w:p>
    <w:p>
      <w:pPr>
        <w:pStyle w:val="Compact"/>
        <w:numPr>
          <w:ilvl w:val="0"/>
          <w:numId w:val="1003"/>
        </w:numPr>
      </w:pPr>
      <w:r>
        <w:t xml:space="preserve">D. A. Wood and N. Marzari,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2007,</w:t>
      </w:r>
      <w:r>
        <w:t xml:space="preserve"> </w:t>
      </w:r>
      <w:r>
        <w:rPr>
          <w:b/>
          <w:bCs/>
        </w:rPr>
        <w:t xml:space="preserve">76</w:t>
      </w:r>
      <w:r>
        <w:t xml:space="preserve">, 134301.</w:t>
      </w:r>
    </w:p>
    <w:p>
      <w:pPr>
        <w:pStyle w:val="Compact"/>
        <w:numPr>
          <w:ilvl w:val="0"/>
          <w:numId w:val="1003"/>
        </w:numPr>
      </w:pPr>
      <w:r>
        <w:t xml:space="preserve">A. Ranalli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Adv. Quantum Technol.</w:t>
      </w:r>
      <w:r>
        <w:t xml:space="preserve">, 2023,</w:t>
      </w:r>
      <w:r>
        <w:t xml:space="preserve"> </w:t>
      </w:r>
      <w:r>
        <w:rPr>
          <w:b/>
          <w:bCs/>
        </w:rPr>
        <w:t xml:space="preserve">6</w:t>
      </w:r>
      <w:r>
        <w:t xml:space="preserve">, 2200131.</w:t>
      </w:r>
    </w:p>
    <w:p>
      <w:pPr>
        <w:pStyle w:val="Compact"/>
        <w:numPr>
          <w:ilvl w:val="0"/>
          <w:numId w:val="1003"/>
        </w:numPr>
      </w:pPr>
      <w:r>
        <w:t xml:space="preserve">J. Yang, Z. Yin, L. Ao and S. Li,</w:t>
      </w:r>
      <w:r>
        <w:t xml:space="preserve"> </w:t>
      </w:r>
      <w:r>
        <w:rPr>
          <w:i/>
          <w:iCs/>
        </w:rPr>
        <w:t xml:space="preserve">Phys. Chem. Chem. Phys.</w:t>
      </w:r>
      <w:r>
        <w:t xml:space="preserve">, 2026,</w:t>
      </w:r>
      <w:r>
        <w:t xml:space="preserve"> </w:t>
      </w:r>
      <w:r>
        <w:rPr>
          <w:b/>
          <w:bCs/>
        </w:rPr>
        <w:t xml:space="preserve">28</w:t>
      </w:r>
      <w:r>
        <w:t xml:space="preserve">, 4459–4469.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Are Foundational Atomistic Models Reliable for Finite-Temperature Molecular Dynamics?</w:t>
      </w:r>
      <w:r>
        <w:t xml:space="preserve">,</w:t>
      </w:r>
      <w:r>
        <w:t xml:space="preserve"> </w:t>
      </w:r>
      <w:r>
        <w:rPr>
          <w:i/>
          <w:iCs/>
        </w:rPr>
        <w:t xml:space="preserve">J. Phys. Chem. C</w:t>
      </w:r>
      <w:r>
        <w:t xml:space="preserve">, 2025, DOI: 10.1021/acs.jpcc.5c07541.</w:t>
      </w:r>
    </w:p>
    <w:p>
      <w:pPr>
        <w:pStyle w:val="Compact"/>
        <w:numPr>
          <w:ilvl w:val="0"/>
          <w:numId w:val="1003"/>
        </w:numPr>
      </w:pPr>
      <w:r>
        <w:t xml:space="preserve">R. Bianco, I. Errea, L. Paulatto, M. Calandra and F. Mauri,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2017,</w:t>
      </w:r>
      <w:r>
        <w:t xml:space="preserve"> </w:t>
      </w:r>
      <w:r>
        <w:rPr>
          <w:b/>
          <w:bCs/>
        </w:rPr>
        <w:t xml:space="preserve">96</w:t>
      </w:r>
      <w:r>
        <w:t xml:space="preserve">, 014111.</w:t>
      </w:r>
    </w:p>
    <w:p>
      <w:pPr>
        <w:pStyle w:val="Compact"/>
        <w:numPr>
          <w:ilvl w:val="0"/>
          <w:numId w:val="1003"/>
        </w:numPr>
      </w:pPr>
      <w:r>
        <w:t xml:space="preserve">L. Monacelli,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2025,</w:t>
      </w:r>
      <w:r>
        <w:t xml:space="preserve"> </w:t>
      </w:r>
      <w:r>
        <w:rPr>
          <w:b/>
          <w:bCs/>
        </w:rPr>
        <w:t xml:space="preserve">112</w:t>
      </w:r>
      <w:r>
        <w:t xml:space="preserve">, 014109.</w:t>
      </w:r>
    </w:p>
    <w:p>
      <w:pPr>
        <w:pStyle w:val="Compact"/>
        <w:numPr>
          <w:ilvl w:val="0"/>
          <w:numId w:val="1003"/>
        </w:numPr>
      </w:pPr>
      <w:r>
        <w:t xml:space="preserve">D. J. Hooton,</w:t>
      </w:r>
      <w:r>
        <w:t xml:space="preserve"> </w:t>
      </w:r>
      <w:r>
        <w:rPr>
          <w:i/>
          <w:iCs/>
        </w:rPr>
        <w:t xml:space="preserve">Philos. Mag.</w:t>
      </w:r>
      <w:r>
        <w:t xml:space="preserve">, 1955,</w:t>
      </w:r>
      <w:r>
        <w:t xml:space="preserve"> </w:t>
      </w:r>
      <w:r>
        <w:rPr>
          <w:b/>
          <w:bCs/>
        </w:rPr>
        <w:t xml:space="preserve">46</w:t>
      </w:r>
      <w:r>
        <w:t xml:space="preserve">, 422.</w:t>
      </w:r>
    </w:p>
    <w:p>
      <w:pPr>
        <w:pStyle w:val="Compact"/>
        <w:numPr>
          <w:ilvl w:val="0"/>
          <w:numId w:val="1003"/>
        </w:numPr>
      </w:pPr>
      <w:r>
        <w:t xml:space="preserve">N. R. Werthamer,</w:t>
      </w:r>
      <w:r>
        <w:t xml:space="preserve"> </w:t>
      </w:r>
      <w:r>
        <w:rPr>
          <w:i/>
          <w:iCs/>
        </w:rPr>
        <w:t xml:space="preserve">Phys. Rev. B</w:t>
      </w:r>
      <w:r>
        <w:t xml:space="preserve">, 1970,</w:t>
      </w:r>
      <w:r>
        <w:t xml:space="preserve"> </w:t>
      </w:r>
      <w:r>
        <w:rPr>
          <w:b/>
          <w:bCs/>
        </w:rPr>
        <w:t xml:space="preserve">1</w:t>
      </w:r>
      <w:r>
        <w:t xml:space="preserve">, 572.</w:t>
      </w:r>
    </w:p>
    <w:p>
      <w:pPr>
        <w:pStyle w:val="Compact"/>
        <w:numPr>
          <w:ilvl w:val="0"/>
          <w:numId w:val="1003"/>
        </w:numPr>
      </w:pPr>
      <w:r>
        <w:t xml:space="preserve">R. Peierls,</w:t>
      </w:r>
      <w:r>
        <w:t xml:space="preserve"> </w:t>
      </w:r>
      <w:r>
        <w:rPr>
          <w:i/>
          <w:iCs/>
        </w:rPr>
        <w:t xml:space="preserve">Phys. Rev.</w:t>
      </w:r>
      <w:r>
        <w:t xml:space="preserve">, 1938,</w:t>
      </w:r>
      <w:r>
        <w:t xml:space="preserve"> </w:t>
      </w:r>
      <w:r>
        <w:rPr>
          <w:b/>
          <w:bCs/>
        </w:rPr>
        <w:t xml:space="preserve">54</w:t>
      </w:r>
      <w:r>
        <w:t xml:space="preserve">, 918.</w:t>
      </w:r>
    </w:p>
    <w:p>
      <w:pPr>
        <w:pStyle w:val="Compact"/>
        <w:numPr>
          <w:ilvl w:val="0"/>
          <w:numId w:val="1003"/>
        </w:numPr>
      </w:pPr>
      <w:r>
        <w:t xml:space="preserve">R. P. Feynman,</w:t>
      </w:r>
      <w:r>
        <w:t xml:space="preserve"> </w:t>
      </w:r>
      <w:r>
        <w:rPr>
          <w:i/>
          <w:iCs/>
        </w:rPr>
        <w:t xml:space="preserve">Statistical Mechanics: A Set of Lectures</w:t>
      </w:r>
      <w:r>
        <w:t xml:space="preserve">, W. A. Benjamin, Reading, MA, 1972.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2026-08-17T11:02:53Z</dcterms:created>
  <dcterms:modified xsi:type="dcterms:W3CDTF">2026-08-17T11:02:53Z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