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rPr>
          <w:rFonts w:ascii="Times New Roman" w:eastAsia="SimSun" w:hAnsi="Times New Roman" w:cs="Times New Roman"/>
        </w:rPr>
        <w:t xml:space="preserve">Finite-temperature dynamic stability separates foundation machine-learning interatomic potentials that harmonic benchmarks rank equally</w:t>
      </w:r>
    </w:p>
    <w:p>
      <w:pPr>
        <w:widowControl w:val="0"/>
        <w:spacing w:beforeLines="50" w:before="120" w:after="0" w:line="300" w:lineRule="auto"/>
        <w:ind w:right="-357"/>
        <w:jc w:val="center"/>
        <w:rPr>
          <w:rFonts w:ascii="Times New Roman" w:eastAsia="SimSun" w:hAnsi="Times New Roman" w:cs="Times New Roman"/>
          <w:b/>
          <w:bCs/>
          <w:sz w:val="21"/>
          <w:szCs w:val="21"/>
          <w:lang w:val="en-US"/>
          <w14:ligatures w14:val="none"/>
        </w:rPr>
      </w:pPr>
      <w:r>
        <w:rPr>
          <w:rFonts w:ascii="Times New Roman" w:eastAsia="SimSun" w:hAnsi="Times New Roman" w:cs="Times New Roman"/>
          <w:b/>
          <w:bCs/>
          <w:sz w:val="21"/>
          <w:szCs w:val="21"/>
          <w:u w:val="single"/>
          <w:lang w:val="en-GB"/>
        </w:rPr>
        <w:t xml:space="preserve">Frank Cai</w:t>
      </w:r>
      <w:r>
        <w:rPr>
          <w:rFonts w:ascii="Times New Roman" w:eastAsia="SimSun" w:hAnsi="Times New Roman" w:cs="Times New Roman"/>
          <w:b/>
          <w:bCs/>
          <w:sz w:val="21"/>
          <w:szCs w:val="21"/>
          <w:vertAlign w:val="superscript"/>
          <w:lang w:val="en-GB"/>
        </w:rPr>
        <w:t xml:space="preserve">1,*</w:t>
      </w:r>
    </w:p>
    <w:p>
      <w:pPr>
        <w:spacing w:after="0" w:line="300" w:lineRule="auto"/>
        <w:jc w:val="center"/>
        <w:rPr>
          <w:rFonts w:ascii="Times New Roman" w:eastAsia="SimSun" w:hAnsi="Times New Roman" w:cs="Times New Roman" w:hint="eastAsia"/>
          <w:bCs/>
          <w:kern w:val="0"/>
          <w:sz w:val="21"/>
          <w:szCs w:val="21"/>
          <w:lang w:val="en-GB"/>
          <w14:ligatures w14:val="none"/>
        </w:rPr>
      </w:pPr>
      <w:r>
        <w:rPr>
          <w:rFonts w:ascii="Times New Roman" w:eastAsia="SimSun" w:hAnsi="Times New Roman" w:cs="Times New Roman"/>
          <w:sz w:val="21"/>
          <w:szCs w:val="21"/>
          <w:vertAlign w:val="superscript"/>
          <w:lang w:val="en-GB"/>
        </w:rPr>
        <w:t xml:space="preserve">1</w:t>
      </w:r>
      <w:r>
        <w:rPr>
          <w:rFonts w:ascii="Times New Roman" w:eastAsia="SimSun" w:hAnsi="Times New Roman" w:cs="Times New Roman"/>
          <w:sz w:val="21"/>
          <w:szCs w:val="21"/>
          <w:lang w:val="en-GB"/>
        </w:rPr>
        <w:t xml:space="preserve"> Purdue University, West Lafayette, Indiana 47907, USA</w:t>
      </w:r>
    </w:p>
    <w:p>
      <w:pPr>
        <w:spacing w:after="240" w:line="300" w:lineRule="auto"/>
        <w:jc w:val="center"/>
        <w:rPr>
          <w:rFonts w:ascii="Times New Roman" w:eastAsia="SimSun" w:hAnsi="Times New Roman" w:cs="Times New Roman"/>
          <w:bCs/>
          <w:kern w:val="0"/>
          <w:sz w:val="21"/>
          <w:szCs w:val="21"/>
          <w:lang w:val="en-GB" w:eastAsia="en-US"/>
          <w14:ligatures w14:val="none"/>
        </w:rPr>
      </w:pPr>
      <w:r>
        <w:rPr>
          <w:rFonts w:ascii="Times New Roman" w:eastAsia="SimSun" w:hAnsi="Times New Roman" w:cs="Times New Roman"/>
          <w:sz w:val="21"/>
          <w:szCs w:val="21"/>
          <w:lang w:val="en-GB"/>
        </w:rPr>
        <w:t xml:space="preserve">* Email: frankyc11223@gmail.com</w:t>
      </w:r>
    </w:p>
    <w:p w14:paraId="203529C7" w14:textId="48CB5F1C" w:rsidR="00C8241D" w:rsidRPr="00C8241D" w:rsidRDefault="00C8241D" w:rsidP="00C8241D">
      <w:pPr>
        <w:widowControl w:val="0"/>
        <w:autoSpaceDE w:val="0"/>
        <w:autoSpaceDN w:val="0"/>
        <w:spacing w:beforeLines="100" w:before="240" w:afterLines="50" w:after="120" w:line="300" w:lineRule="auto"/>
        <w:jc w:val="both"/>
        <w:rPr>
          <w:rFonts w:ascii="Times New Roman" w:eastAsia="SimSun" w:hAnsi="Times New Roman" w:cs="Times New Roman"/>
          <w:b/>
          <w:bCs/>
          <w:sz w:val="22"/>
          <w:szCs w:val="22"/>
          <w:lang w:val="en-US"/>
          <w14:ligatures w14:val="none"/>
        </w:rPr>
      </w:pPr>
      <w:r w:rsidRPr="00C8241D">
        <w:rPr>
          <w:rFonts w:ascii="Times New Roman" w:eastAsia="SimSun" w:hAnsi="Times New Roman" w:cs="Times New Roman"/>
          <w:b/>
          <w:bCs/>
          <w:sz w:val="22"/>
          <w:szCs w:val="22"/>
          <w:lang w:val="en-US"/>
          <w14:ligatures w14:val="none"/>
        </w:rPr>
        <w:t>Abstract:</w:t>
      </w:r>
    </w:p>
    <w:p>
      <w:pPr>
        <w:widowControl w:val="0"/>
        <w:autoSpaceDE w:val="0"/>
        <w:autoSpaceDN w:val="0"/>
        <w:spacing w:afterLines="50" w:after="120" w:line="300" w:lineRule="auto"/>
        <w:jc w:val="both"/>
        <w:rPr>
          <w:rFonts w:ascii="Times New Roman" w:eastAsia="SimSun" w:hAnsi="Times New Roman" w:cs="Times New Roman"/>
          <w:sz w:val="21"/>
          <w:szCs w:val="21"/>
          <w:lang w:val="en-US"/>
          <w14:ligatures w14:val="none"/>
        </w:rPr>
      </w:pPr>
      <w:r>
        <w:rPr>
          <w:rFonts w:ascii="Times New Roman" w:eastAsia="SimSun" w:hAnsi="Times New Roman" w:cs="Times New Roman"/>
          <w:sz w:val="21"/>
          <w:szCs w:val="21"/>
          <w:lang w:val="en-GB"/>
        </w:rPr>
        <w:t xml:space="preserve">Foundation machine-learning interatomic potentials (MLIPs) are now routine, cheap stand-ins for DFT in high-throughput materials screening, yet they are benchmarked almost exclusively against harmonic phonons at 0 K. Dynamic stability is physically a finite-temperature property, and a technologically central class of materials — cubic perovskites, bcc refractory metals and cubic fluorites — is harmonically unstable but thermally stabilised by anharmonicity. Ranking models on 0 K phonons therefore risks ranking them on the wrong quantity.</w:t>
      </w:r>
    </w:p>
    <w:p>
      <w:pPr>
        <w:widowControl w:val="0"/>
        <w:autoSpaceDE w:val="0"/>
        <w:autoSpaceDN w:val="0"/>
        <w:spacing w:afterLines="50" w:after="120" w:line="300" w:lineRule="auto"/>
        <w:jc w:val="both"/>
        <w:rPr>
          <w:rFonts w:ascii="Times New Roman" w:eastAsia="SimSun" w:hAnsi="Times New Roman" w:cs="Times New Roman"/>
          <w:sz w:val="21"/>
          <w:szCs w:val="21"/>
          <w:lang w:val="en-US"/>
          <w14:ligatures w14:val="none"/>
        </w:rPr>
      </w:pPr>
      <w:r>
        <w:rPr>
          <w:rFonts w:ascii="Times New Roman" w:eastAsia="SimSun" w:hAnsi="Times New Roman" w:cs="Times New Roman"/>
          <w:sz w:val="21"/>
          <w:szCs w:val="21"/>
          <w:lang w:val="en-GB"/>
        </w:rPr>
        <w:t xml:space="preserve">We test five foundation MLIPs (MACE-MP-0, CHGNet, ORB-v2, SevenNet-0, MatterSim) in exactly this regime, using a curated set of systems whose finite-temperature behaviour is documented in the experimental and DFT literature, so that no new DFT ground truth is required. We introduce a cheap quantum self-consistent-harmonic "soft-mode free-energy" screen that evaluates </w:t>
      </w:r>
      <w:r>
        <w:rPr>
          <w:rFonts w:ascii="Times New Roman" w:eastAsia="SimSun" w:hAnsi="Times New Roman" w:cs="Times New Roman"/>
          <w:i/>
          <w:iCs/>
          <w:sz w:val="21"/>
          <w:szCs w:val="21"/>
          <w:lang w:val="en-GB"/>
        </w:rPr>
        <w:t xml:space="preserve">every</w:t>
      </w:r>
      <w:r>
        <w:rPr>
          <w:rFonts w:ascii="Times New Roman" w:eastAsia="SimSun" w:hAnsi="Times New Roman" w:cs="Times New Roman"/>
          <w:sz w:val="21"/>
          <w:szCs w:val="21"/>
          <w:lang w:val="en-GB"/>
        </w:rPr>
        <w:t xml:space="preserve"> imaginary commensurate mode and calls the high-symmetry phase unstable if any of them condenses, and we cross-validate it against gold-standard multi-mode stochastic SCHA (SSCHA).</w:t>
      </w:r>
    </w:p>
    <w:p>
      <w:pPr>
        <w:widowControl w:val="0"/>
        <w:autoSpaceDE w:val="0"/>
        <w:autoSpaceDN w:val="0"/>
        <w:spacing w:afterLines="50" w:after="120" w:line="300" w:lineRule="auto"/>
        <w:jc w:val="both"/>
        <w:rPr>
          <w:rFonts w:ascii="Times New Roman" w:eastAsia="SimSun" w:hAnsi="Times New Roman" w:cs="Times New Roman"/>
          <w:sz w:val="21"/>
          <w:szCs w:val="21"/>
          <w:lang w:val="en-US"/>
          <w14:ligatures w14:val="none"/>
        </w:rPr>
      </w:pPr>
      <w:r>
        <w:rPr>
          <w:rFonts w:ascii="Times New Roman" w:eastAsia="SimSun" w:hAnsi="Times New Roman" w:cs="Times New Roman"/>
          <w:sz w:val="21"/>
          <w:szCs w:val="21"/>
          <w:lang w:val="en-GB"/>
        </w:rPr>
        <w:t xml:space="preserve">Three results follow. First, harmonic accuracy does not predict finite-temperature accuracy in either direction: the worst model harmonically is the second best at finite temperature, and a harmonically perfect model is only mid-table. Second, screening every imaginary mode rather than the softest one is essential, because the deepest mode need not be the one that condenses — in SrTiO₃ the Γ ferroelectric mode is deeper than the R-point tilt yet is quantum-suppressed, and only the tilt drives the 105 K transition. Third, MLIP-driven SSCHA at its default bubble truncation systematically false-stabilises deep displacive instabilities and can diverge numerically; we measure this predicted failure at benchmark scale. Cross-model disagreement supplies a cheap, practical guardrail for flagging the resulting unreliable calls.</w:t>
      </w:r>
    </w:p>
    <w:p>
      <w:pPr>
        <w:widowControl w:val="0"/>
        <w:autoSpaceDE w:val="0"/>
        <w:autoSpaceDN w:val="0"/>
        <w:spacing w:beforeLines="100" w:before="240" w:afterLines="50" w:after="120" w:line="300" w:lineRule="auto"/>
        <w:jc w:val="both"/>
        <w:rPr>
          <w:rFonts w:ascii="Times New Roman" w:eastAsia="SimSun" w:hAnsi="Times New Roman" w:cs="Times New Roman"/>
          <w:sz w:val="22"/>
          <w:szCs w:val="22"/>
          <w:lang w:val="en-US"/>
          <w14:ligatures w14:val="none"/>
        </w:rPr>
      </w:pPr>
      <w:r>
        <w:rPr>
          <w:rFonts w:ascii="Times New Roman" w:eastAsia="SimSun" w:hAnsi="Times New Roman" w:cs="Times New Roman"/>
          <w:b/>
          <w:bCs/>
          <w:sz w:val="22"/>
          <w:szCs w:val="22"/>
          <w:lang w:val="en-GB"/>
        </w:rPr>
        <w:t xml:space="preserve">Keywords: </w:t>
      </w:r>
      <w:r>
        <w:rPr>
          <w:rFonts w:ascii="Times New Roman" w:eastAsia="SimSun" w:hAnsi="Times New Roman" w:cs="Times New Roman"/>
          <w:sz w:val="21"/>
          <w:szCs w:val="21"/>
          <w:lang w:val="en-GB"/>
        </w:rPr>
        <w:t xml:space="preserve">machine-learning interatomic potentials; dynamic stability; anharmonicity; stochastic self-consistent harmonic approximation; high-throughput screening</w:t>
      </w:r>
    </w:p>
    <w:p w14:paraId="10EAC08E" w14:textId="442EEFCF" w:rsidR="00D66785" w:rsidRPr="00C8241D" w:rsidRDefault="00D66785" w:rsidP="00D66785">
      <w:pPr>
        <w:widowControl w:val="0"/>
        <w:autoSpaceDE w:val="0"/>
        <w:autoSpaceDN w:val="0"/>
        <w:spacing w:beforeLines="100" w:before="240" w:afterLines="50" w:after="120" w:line="300" w:lineRule="auto"/>
        <w:jc w:val="both"/>
        <w:rPr>
          <w:rFonts w:ascii="Times New Roman" w:eastAsia="SimSun" w:hAnsi="Times New Roman" w:cs="Times New Roman"/>
          <w:b/>
          <w:bCs/>
          <w:sz w:val="22"/>
          <w:szCs w:val="22"/>
          <w:lang w:val="en-US"/>
          <w14:ligatures w14:val="none"/>
        </w:rPr>
      </w:pPr>
      <w:r>
        <w:rPr>
          <w:rFonts w:ascii="Times New Roman" w:eastAsia="SimSun" w:hAnsi="Times New Roman" w:cs="Times New Roman"/>
          <w:b/>
          <w:bCs/>
          <w:sz w:val="22"/>
          <w:szCs w:val="22"/>
          <w:lang w:val="en-US"/>
          <w14:ligatures w14:val="none"/>
        </w:rPr>
        <w:t>References</w:t>
      </w:r>
      <w:r w:rsidRPr="00C8241D">
        <w:rPr>
          <w:rFonts w:ascii="Times New Roman" w:eastAsia="SimSun" w:hAnsi="Times New Roman" w:cs="Times New Roman"/>
          <w:b/>
          <w:bCs/>
          <w:sz w:val="22"/>
          <w:szCs w:val="22"/>
          <w:lang w:val="en-US"/>
          <w14:ligatures w14:val="none"/>
        </w:rPr>
        <w:t>:</w:t>
      </w:r>
    </w:p>
    <w:p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Lines="50" w:after="120" w:line="300" w:lineRule="auto"/>
        <w:jc w:val="both"/>
        <w:rPr>
          <w:rFonts w:ascii="Times New Roman" w:eastAsia="SimSun" w:hAnsi="Times New Roman" w:cs="Times New Roman"/>
          <w:sz w:val="21"/>
          <w:szCs w:val="21"/>
          <w:lang w:val="en-US"/>
          <w14:ligatures w14:val="none"/>
        </w:rPr>
      </w:pPr>
      <w:r>
        <w:rPr>
          <w:rFonts w:ascii="Times New Roman" w:eastAsia="SimSun" w:hAnsi="Times New Roman" w:cs="Times New Roman"/>
          <w:sz w:val="21"/>
          <w:szCs w:val="21"/>
          <w:lang w:val="en-GB"/>
        </w:rPr>
        <w:t xml:space="preserve">A. Loew, D. Sun, H.-C. Wang, S. Botti and M. A. L. Marques, </w:t>
      </w:r>
      <w:r>
        <w:rPr>
          <w:rFonts w:ascii="Times New Roman" w:eastAsia="SimSun" w:hAnsi="Times New Roman" w:cs="Times New Roman"/>
          <w:i/>
          <w:iCs/>
          <w:sz w:val="21"/>
          <w:szCs w:val="21"/>
          <w:lang w:val="en-GB"/>
        </w:rPr>
        <w:t xml:space="preserve">npj Comput. Mater.</w:t>
      </w:r>
      <w:r>
        <w:rPr>
          <w:rFonts w:ascii="Times New Roman" w:eastAsia="SimSun" w:hAnsi="Times New Roman" w:cs="Times New Roman"/>
          <w:sz w:val="21"/>
          <w:szCs w:val="21"/>
          <w:lang w:val="en-GB"/>
        </w:rPr>
        <w:t xml:space="preserve">, 2025, </w:t>
      </w:r>
      <w:r>
        <w:rPr>
          <w:rFonts w:ascii="Times New Roman" w:eastAsia="SimSun" w:hAnsi="Times New Roman" w:cs="Times New Roman"/>
          <w:b/>
          <w:bCs/>
          <w:sz w:val="21"/>
          <w:szCs w:val="21"/>
          <w:lang w:val="en-GB"/>
        </w:rPr>
        <w:t xml:space="preserve">11</w:t>
      </w:r>
      <w:r>
        <w:rPr>
          <w:rFonts w:ascii="Times New Roman" w:eastAsia="SimSun" w:hAnsi="Times New Roman" w:cs="Times New Roman"/>
          <w:sz w:val="21"/>
          <w:szCs w:val="21"/>
          <w:lang w:val="en-GB"/>
        </w:rPr>
        <w:t xml:space="preserve">, 178.</w:t>
      </w:r>
    </w:p>
    <w:p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Lines="50" w:after="120" w:line="300" w:lineRule="auto"/>
        <w:jc w:val="both"/>
        <w:rPr>
          <w:rFonts w:ascii="Times New Roman" w:eastAsia="SimSun" w:hAnsi="Times New Roman" w:cs="Times New Roman"/>
          <w:sz w:val="21"/>
          <w:szCs w:val="21"/>
          <w:lang w:val="en-US"/>
          <w14:ligatures w14:val="none"/>
        </w:rPr>
      </w:pPr>
      <w:r>
        <w:rPr>
          <w:rFonts w:ascii="Times New Roman" w:eastAsia="SimSun" w:hAnsi="Times New Roman" w:cs="Times New Roman"/>
          <w:sz w:val="21"/>
          <w:szCs w:val="21"/>
          <w:lang w:val="en-GB"/>
        </w:rPr>
        <w:t xml:space="preserve">L. Monacelli, R. Bianco, M. Cherubini, M. Calandra, I. Errea and F. Mauri, </w:t>
      </w:r>
      <w:r>
        <w:rPr>
          <w:rFonts w:ascii="Times New Roman" w:eastAsia="SimSun" w:hAnsi="Times New Roman" w:cs="Times New Roman"/>
          <w:i/>
          <w:iCs/>
          <w:sz w:val="21"/>
          <w:szCs w:val="21"/>
          <w:lang w:val="en-GB"/>
        </w:rPr>
        <w:t xml:space="preserve">J. Phys.: Condens. Matter</w:t>
      </w:r>
      <w:r>
        <w:rPr>
          <w:rFonts w:ascii="Times New Roman" w:eastAsia="SimSun" w:hAnsi="Times New Roman" w:cs="Times New Roman"/>
          <w:sz w:val="21"/>
          <w:szCs w:val="21"/>
          <w:lang w:val="en-GB"/>
        </w:rPr>
        <w:t xml:space="preserve">, 2021, </w:t>
      </w:r>
      <w:r>
        <w:rPr>
          <w:rFonts w:ascii="Times New Roman" w:eastAsia="SimSun" w:hAnsi="Times New Roman" w:cs="Times New Roman"/>
          <w:b/>
          <w:bCs/>
          <w:sz w:val="21"/>
          <w:szCs w:val="21"/>
          <w:lang w:val="en-GB"/>
        </w:rPr>
        <w:t xml:space="preserve">33</w:t>
      </w:r>
      <w:r>
        <w:rPr>
          <w:rFonts w:ascii="Times New Roman" w:eastAsia="SimSun" w:hAnsi="Times New Roman" w:cs="Times New Roman"/>
          <w:sz w:val="21"/>
          <w:szCs w:val="21"/>
          <w:lang w:val="en-GB"/>
        </w:rPr>
        <w:t xml:space="preserve">, 363001.</w:t>
      </w:r>
    </w:p>
    <w:p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Lines="50" w:after="120" w:line="300" w:lineRule="auto"/>
        <w:jc w:val="both"/>
        <w:rPr>
          <w:rFonts w:ascii="Times New Roman" w:eastAsia="SimSun" w:hAnsi="Times New Roman" w:cs="Times New Roman"/>
          <w:sz w:val="21"/>
          <w:szCs w:val="21"/>
          <w:lang w:val="en-US"/>
          <w14:ligatures w14:val="none"/>
        </w:rPr>
      </w:pPr>
      <w:r>
        <w:rPr>
          <w:rFonts w:ascii="Times New Roman" w:eastAsia="SimSun" w:hAnsi="Times New Roman" w:cs="Times New Roman"/>
          <w:sz w:val="21"/>
          <w:szCs w:val="21"/>
          <w:lang w:val="en-GB"/>
        </w:rPr>
        <w:t xml:space="preserve">T. Tadano and S. Tsuneyuki, </w:t>
      </w:r>
      <w:r>
        <w:rPr>
          <w:rFonts w:ascii="Times New Roman" w:eastAsia="SimSun" w:hAnsi="Times New Roman" w:cs="Times New Roman"/>
          <w:i/>
          <w:iCs/>
          <w:sz w:val="21"/>
          <w:szCs w:val="21"/>
          <w:lang w:val="en-GB"/>
        </w:rPr>
        <w:t xml:space="preserve">Phys. Rev. B</w:t>
      </w:r>
      <w:r>
        <w:rPr>
          <w:rFonts w:ascii="Times New Roman" w:eastAsia="SimSun" w:hAnsi="Times New Roman" w:cs="Times New Roman"/>
          <w:sz w:val="21"/>
          <w:szCs w:val="21"/>
          <w:lang w:val="en-GB"/>
        </w:rPr>
        <w:t xml:space="preserve">, 2015, </w:t>
      </w:r>
      <w:r>
        <w:rPr>
          <w:rFonts w:ascii="Times New Roman" w:eastAsia="SimSun" w:hAnsi="Times New Roman" w:cs="Times New Roman"/>
          <w:b/>
          <w:bCs/>
          <w:sz w:val="21"/>
          <w:szCs w:val="21"/>
          <w:lang w:val="en-GB"/>
        </w:rPr>
        <w:t xml:space="preserve">92</w:t>
      </w:r>
      <w:r>
        <w:rPr>
          <w:rFonts w:ascii="Times New Roman" w:eastAsia="SimSun" w:hAnsi="Times New Roman" w:cs="Times New Roman"/>
          <w:sz w:val="21"/>
          <w:szCs w:val="21"/>
          <w:lang w:val="en-GB"/>
        </w:rPr>
        <w:t xml:space="preserve">, 054301.</w:t>
      </w:r>
    </w:p>
    <w:p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Lines="50" w:after="120" w:line="300" w:lineRule="auto"/>
        <w:jc w:val="both"/>
        <w:rPr>
          <w:rFonts w:ascii="Times New Roman" w:eastAsia="SimSun" w:hAnsi="Times New Roman" w:cs="Times New Roman"/>
          <w:sz w:val="21"/>
          <w:szCs w:val="21"/>
          <w:lang w:val="en-US"/>
          <w14:ligatures w14:val="none"/>
        </w:rPr>
      </w:pPr>
      <w:r>
        <w:rPr>
          <w:rFonts w:ascii="Times New Roman" w:eastAsia="SimSun" w:hAnsi="Times New Roman" w:cs="Times New Roman"/>
          <w:sz w:val="21"/>
          <w:szCs w:val="21"/>
          <w:lang w:val="en-GB"/>
        </w:rPr>
        <w:t xml:space="preserve">L. Monacelli, </w:t>
      </w:r>
      <w:r>
        <w:rPr>
          <w:rFonts w:ascii="Times New Roman" w:eastAsia="SimSun" w:hAnsi="Times New Roman" w:cs="Times New Roman"/>
          <w:i/>
          <w:iCs/>
          <w:sz w:val="21"/>
          <w:szCs w:val="21"/>
          <w:lang w:val="en-GB"/>
        </w:rPr>
        <w:t xml:space="preserve">Phys. Rev. B</w:t>
      </w:r>
      <w:r>
        <w:rPr>
          <w:rFonts w:ascii="Times New Roman" w:eastAsia="SimSun" w:hAnsi="Times New Roman" w:cs="Times New Roman"/>
          <w:sz w:val="21"/>
          <w:szCs w:val="21"/>
          <w:lang w:val="en-GB"/>
        </w:rPr>
        <w:t xml:space="preserve">, 2025, </w:t>
      </w:r>
      <w:r>
        <w:rPr>
          <w:rFonts w:ascii="Times New Roman" w:eastAsia="SimSun" w:hAnsi="Times New Roman" w:cs="Times New Roman"/>
          <w:b/>
          <w:bCs/>
          <w:sz w:val="21"/>
          <w:szCs w:val="21"/>
          <w:lang w:val="en-GB"/>
        </w:rPr>
        <w:t xml:space="preserve">112</w:t>
      </w:r>
      <w:r>
        <w:rPr>
          <w:rFonts w:ascii="Times New Roman" w:eastAsia="SimSun" w:hAnsi="Times New Roman" w:cs="Times New Roman"/>
          <w:sz w:val="21"/>
          <w:szCs w:val="21"/>
          <w:lang w:val="en-GB"/>
        </w:rPr>
        <w:t xml:space="preserve">, 014109.</w:t>
      </w:r>
    </w:p>
    <w:sectPr w:rsidR="00C8241D" w:rsidRPr="00D66785" w:rsidSect="00C824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BA5DF" w14:textId="77777777" w:rsidR="0048776E" w:rsidRDefault="0048776E" w:rsidP="00C8241D">
      <w:pPr>
        <w:spacing w:after="0" w:line="240" w:lineRule="auto"/>
      </w:pPr>
      <w:r>
        <w:separator/>
      </w:r>
    </w:p>
  </w:endnote>
  <w:endnote w:type="continuationSeparator" w:id="0">
    <w:p w14:paraId="65505FA9" w14:textId="77777777" w:rsidR="0048776E" w:rsidRDefault="0048776E" w:rsidP="00C82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2869" w14:textId="77777777" w:rsidR="00A62C73" w:rsidRDefault="00A62C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5776B" w14:textId="77777777" w:rsidR="00A62C73" w:rsidRDefault="00A62C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D9920" w14:textId="77777777" w:rsidR="00A62C73" w:rsidRDefault="00A62C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7FB19" w14:textId="77777777" w:rsidR="0048776E" w:rsidRDefault="0048776E" w:rsidP="00C8241D">
      <w:pPr>
        <w:spacing w:after="0" w:line="240" w:lineRule="auto"/>
      </w:pPr>
      <w:r>
        <w:separator/>
      </w:r>
    </w:p>
  </w:footnote>
  <w:footnote w:type="continuationSeparator" w:id="0">
    <w:p w14:paraId="1D2F5646" w14:textId="77777777" w:rsidR="0048776E" w:rsidRDefault="0048776E" w:rsidP="00C824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2AF70" w14:textId="77777777" w:rsidR="00A62C73" w:rsidRDefault="00A62C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94"/>
      <w:gridCol w:w="2902"/>
      <w:gridCol w:w="3650"/>
    </w:tblGrid>
    <w:tr w:rsidR="00D66785" w14:paraId="3A1D8E71" w14:textId="77777777" w:rsidTr="00D66785">
      <w:trPr>
        <w:jc w:val="center"/>
      </w:trPr>
      <w:tc>
        <w:tcPr>
          <w:tcW w:w="3194" w:type="dxa"/>
          <w:vAlign w:val="center"/>
        </w:tcPr>
        <w:p w14:paraId="09EEAD84" w14:textId="12E336AF" w:rsidR="00D66785" w:rsidRDefault="00D66785" w:rsidP="00D66785">
          <w:pPr>
            <w:pStyle w:val="Header"/>
            <w:tabs>
              <w:tab w:val="clear" w:pos="9360"/>
              <w:tab w:val="left" w:pos="7449"/>
            </w:tabs>
          </w:pPr>
          <w:r w:rsidRPr="006B639B">
            <w:rPr>
              <w:rFonts w:cs="Arial"/>
              <w:noProof/>
              <w:lang w:val="en-US"/>
            </w:rPr>
            <w:drawing>
              <wp:inline distT="0" distB="0" distL="0" distR="0" wp14:anchorId="31B5A640" wp14:editId="20B7B474">
                <wp:extent cx="1499296" cy="432000"/>
                <wp:effectExtent l="0" t="0" r="0" b="0"/>
                <wp:docPr id="596019628" name="Graphic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6019628" name="Graphic 59601962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9296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02" w:type="dxa"/>
          <w:vAlign w:val="center"/>
        </w:tcPr>
        <w:p w14:paraId="24834A04" w14:textId="5220DD50" w:rsidR="00D66785" w:rsidRDefault="00D66785" w:rsidP="00D66785">
          <w:pPr>
            <w:pStyle w:val="Header"/>
            <w:tabs>
              <w:tab w:val="clear" w:pos="9360"/>
              <w:tab w:val="left" w:pos="7449"/>
            </w:tabs>
            <w:jc w:val="right"/>
          </w:pPr>
        </w:p>
      </w:tc>
      <w:tc>
        <w:tcPr>
          <w:tcW w:w="3650" w:type="dxa"/>
          <w:vAlign w:val="center"/>
        </w:tcPr>
        <w:p w14:paraId="5BBB439C" w14:textId="4A6A2876" w:rsidR="00D66785" w:rsidRDefault="00D66785" w:rsidP="00D66785">
          <w:pPr>
            <w:pStyle w:val="Header"/>
            <w:tabs>
              <w:tab w:val="clear" w:pos="9360"/>
              <w:tab w:val="left" w:pos="7449"/>
            </w:tabs>
            <w:jc w:val="right"/>
          </w:pPr>
          <w:r>
            <w:rPr>
              <w:rFonts w:cs="Arial"/>
              <w:b/>
              <w:bCs/>
              <w:noProof/>
              <w:lang w:val="en-US"/>
            </w:rPr>
            <w:drawing>
              <wp:inline distT="0" distB="0" distL="0" distR="0" wp14:anchorId="659F12A7" wp14:editId="4E61B9E0">
                <wp:extent cx="1270098" cy="354000"/>
                <wp:effectExtent l="0" t="0" r="0" b="1905"/>
                <wp:docPr id="102888955" name="Graphic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888955" name="Graphic 8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98" cy="35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D66785" w14:paraId="22215185" w14:textId="77777777" w:rsidTr="00D66785">
      <w:trPr>
        <w:jc w:val="center"/>
      </w:trPr>
      <w:tc>
        <w:tcPr>
          <w:tcW w:w="9746" w:type="dxa"/>
          <w:gridSpan w:val="3"/>
        </w:tcPr>
        <w:p w14:paraId="1E2F92D9" w14:textId="2137220C" w:rsidR="00D66785" w:rsidRPr="006E0614" w:rsidRDefault="006E0614" w:rsidP="00A62C73">
          <w:pPr>
            <w:pStyle w:val="Header"/>
            <w:tabs>
              <w:tab w:val="clear" w:pos="9360"/>
              <w:tab w:val="left" w:pos="7449"/>
            </w:tabs>
            <w:spacing w:before="240" w:after="120"/>
            <w:jc w:val="center"/>
            <w:rPr>
              <w:lang w:val="en-US"/>
            </w:rPr>
          </w:pPr>
          <w:r>
            <w:rPr>
              <w:noProof/>
              <w:lang w:val="en-US"/>
            </w:rPr>
            <w:drawing>
              <wp:inline distT="0" distB="0" distL="0" distR="0" wp14:anchorId="5B21EB97" wp14:editId="7AB2F1F5">
                <wp:extent cx="3848001" cy="216000"/>
                <wp:effectExtent l="0" t="0" r="635" b="0"/>
                <wp:docPr id="588300749" name="Graphic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8300749" name="Graphic 588300749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8001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01048BF" w14:textId="4D8DDE08" w:rsidR="00C8241D" w:rsidRDefault="00C8241D" w:rsidP="00D66785">
    <w:pPr>
      <w:pStyle w:val="Header"/>
      <w:tabs>
        <w:tab w:val="clear" w:pos="9360"/>
        <w:tab w:val="left" w:pos="7449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8AE6C" w14:textId="77777777" w:rsidR="00A62C73" w:rsidRDefault="00A62C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0FF1"/>
    <w:multiLevelType w:val="hybridMultilevel"/>
    <w:tmpl w:val="782CA6CA"/>
    <w:lvl w:ilvl="0" w:tplc="DAC67A2C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AD0CB6"/>
    <w:multiLevelType w:val="hybridMultilevel"/>
    <w:tmpl w:val="2110C9D6"/>
    <w:lvl w:ilvl="0" w:tplc="D7DA74A2">
      <w:start w:val="1"/>
      <w:numFmt w:val="decimal"/>
      <w:lvlText w:val="[%1]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7693525">
    <w:abstractNumId w:val="0"/>
  </w:num>
  <w:num w:numId="2" w16cid:durableId="1608348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41D"/>
    <w:rsid w:val="00114D29"/>
    <w:rsid w:val="0048776E"/>
    <w:rsid w:val="006E0614"/>
    <w:rsid w:val="007969C8"/>
    <w:rsid w:val="007C39D5"/>
    <w:rsid w:val="00A62C73"/>
    <w:rsid w:val="00B32F95"/>
    <w:rsid w:val="00C8241D"/>
    <w:rsid w:val="00D6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F8B2CB"/>
  <w15:chartTrackingRefBased/>
  <w15:docId w15:val="{4BF8FB87-1668-3F45-AC2F-F6723793E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785"/>
  </w:style>
  <w:style w:type="paragraph" w:styleId="Heading1">
    <w:name w:val="heading 1"/>
    <w:basedOn w:val="Normal"/>
    <w:next w:val="Normal"/>
    <w:link w:val="Heading1Char"/>
    <w:uiPriority w:val="9"/>
    <w:qFormat/>
    <w:rsid w:val="00C82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41D"/>
    <w:pPr>
      <w:widowControl w:val="0"/>
      <w:autoSpaceDE w:val="0"/>
      <w:autoSpaceDN w:val="0"/>
      <w:spacing w:before="120" w:after="120" w:line="300" w:lineRule="auto"/>
      <w:jc w:val="center"/>
    </w:pPr>
    <w:rPr>
      <w:rFonts w:ascii="Arial" w:eastAsia="SimSun" w:hAnsi="Arial" w:cs="Arial"/>
      <w:b/>
      <w:sz w:val="28"/>
      <w:szCs w:val="28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C8241D"/>
    <w:rPr>
      <w:rFonts w:ascii="Arial" w:eastAsia="SimSun" w:hAnsi="Arial" w:cs="Arial"/>
      <w:b/>
      <w:sz w:val="28"/>
      <w:szCs w:val="28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4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2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41D"/>
  </w:style>
  <w:style w:type="paragraph" w:styleId="Footer">
    <w:name w:val="footer"/>
    <w:basedOn w:val="Normal"/>
    <w:link w:val="FooterChar"/>
    <w:uiPriority w:val="99"/>
    <w:unhideWhenUsed/>
    <w:rsid w:val="00C82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41D"/>
  </w:style>
  <w:style w:type="table" w:styleId="TableGrid">
    <w:name w:val="Table Grid"/>
    <w:basedOn w:val="TableNormal"/>
    <w:uiPriority w:val="39"/>
    <w:rsid w:val="00D667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6" Type="http://schemas.openxmlformats.org/officeDocument/2006/relationships/image" Target="media/image6.svg"/><Relationship Id="rId5" Type="http://schemas.openxmlformats.org/officeDocument/2006/relationships/image" Target="media/image5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Xu</dc:creator>
  <cp:keywords/>
  <dc:description/>
  <cp:lastModifiedBy>Justin Xu</cp:lastModifiedBy>
  <cp:revision>5</cp:revision>
  <cp:lastPrinted>2026-04-21T13:56:00Z</cp:lastPrinted>
  <dcterms:created xsi:type="dcterms:W3CDTF">2025-07-01T09:46:00Z</dcterms:created>
  <dcterms:modified xsi:type="dcterms:W3CDTF">2026-04-21T13:56:00Z</dcterms:modified>
</cp:coreProperties>
</file>