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diagnosing the encoder bottleneck in diffusion-based powder-diffraction structure inversion</w:t>
      </w:r>
    </w:p>
    <w:p>
      <w:pPr>
        <w:pStyle w:val="FirstParagraph"/>
      </w:pPr>
      <w:r>
        <w:rPr>
          <w:b/>
          <w:bCs/>
        </w:rPr>
        <w:t xml:space="preserve">Frank Cai</w:t>
      </w:r>
    </w:p>
    <w:p>
      <w:pPr>
        <w:pStyle w:val="BodyText"/>
      </w:pPr>
      <w:r>
        <w:t xml:space="preserve">Purdue University, West Lafayette, IN, USA</w:t>
      </w:r>
    </w:p>
    <w:p>
      <w:pPr>
        <w:pStyle w:val="BodyText"/>
      </w:pPr>
      <w:r>
        <w:t xml:space="preserve">frankyc11223@gmail.com</w:t>
      </w:r>
    </w:p>
    <w:p>
      <w:pPr>
        <w:pStyle w:val="BodyText"/>
      </w:pPr>
      <w:r>
        <w:rPr>
          <w:i/>
          <w:iCs/>
        </w:rPr>
        <w:t xml:space="preserve">Manuscript type: Research Paper (Journal of Applied Crystallography).</w:t>
      </w:r>
    </w:p>
    <w:p>
      <w:pPr>
        <w:pStyle w:val="BodyText"/>
      </w:pPr>
      <w:r>
        <w:rPr>
          <w:b/>
          <w:bCs/>
        </w:rPr>
        <w:t xml:space="preserve">Synopsis:</w:t>
      </w:r>
      <w:r>
        <w:t xml:space="preserve"> </w:t>
      </w:r>
      <w:r>
        <w:t xml:space="preserve">A deliberately small conditional diffusion model for powder-diffraction structure inversion is used as a diagnostic instrument. The evidence points to global pooling in the pattern encoder as the stage that discards the absolute d-spacing information lattice recovery needs. A classical autoindexer, supplied with the true crystal system, serves as a control; three external generative models are re-scored on one shared evaluation harness; and a code audit prompted by review corrects three implementation errors.</w:t>
      </w:r>
    </w:p>
    <w:p>
      <w:r>
        <w:pict>
          <v:rect style="width:0;height:1.5pt" o:hralign="center" o:hrstd="t" o:hr="t"/>
        </w:pict>
      </w:r>
    </w:p>
    <w:bookmarkStart w:id="9" w:name="abstract"/>
    <w:p>
      <w:pPr>
        <w:pStyle w:val="Heading1"/>
      </w:pPr>
      <w:r>
        <w:t xml:space="preserve">Abstract</w:t>
      </w:r>
    </w:p>
    <w:p>
      <w:pPr>
        <w:pStyle w:val="FirstParagraph"/>
      </w:pPr>
      <w:r>
        <w:t xml:space="preserve">Inverting a one-dimensional powder X-ray diffraction (PXRD) pattern to a three-dimensional crystal structure remains an open problem. Recent generative approaches report results under mutually incompatible protocols, and their failure modes are seldom catalogued. This paper is a diagnostic study. PXRD-Diff, a 3.7 M-parameter conditional diffusion model trained on the CDVAE MP-20 split, is kept deliberately small so that its failure modes are visible; it is not proposed as a competitive inversion tool. DiffractGPT, PXRDnet and deCIFer are re-scored through the same pymatgen StructureMatcher harness and reach 18.9 %, 30.0 % and 73.8 % match respectively; PXRD-Diff reaches 1.6 %. The central finding is mechanistic. The learned PXRD encoder reaches a 0.007 normalised auxiliary lattice-regression loss in isolation, yet substituting that head’s own lattice into the sampler recovers only 1.2 % of structures, because its ~1.1 Å length error shifts every Bragg peak by ~15 %. Stronger, constrained supervision of the head does not reduce that error. The evidence therefore points to the global pooling that discards absolute peak positions, rather than to the denoiser alone [PENDING C2: one sentence with the controlled pooling-ablation outcome]. A perturbation study locates a sharp sensitivity knee at ~0.5 Å cell error. A true-lattice oracle lifts match to 4.5 % at n = 1000 (three seeds; 95 % Wilson confidence interval [3.8, 5.3]). As a classical control, a Q-space autoindexer that is supplied with the true crystal system replaces the learned lattice head and reaches 1.6 % [1.2, 2.1]. A three-seed paired McNemar test shows the gain over the learned head is significant (p &lt; 10⁻⁴; 27 fixed, none broken) and confined to the high-symmetry systems below the knee. A code audit prompted by review found and corrected three implementation errors, including an atomic form factor evaluated in the wrong convention. The corrected simulator agrees with pymatgen at a median Pearson correlation of 0.999 over 1000 structures, and the affected runs were repeated [PENDING C1: one clause stating whether the retrained headline numbers changed]. The contributions are the encoder-bottleneck diagnosis, a four-item failure catalogue, the shared evaluation harness and the audited, released code.</w:t>
      </w:r>
    </w:p>
    <w:p>
      <w:pPr>
        <w:pStyle w:val="BodyText"/>
      </w:pPr>
      <w:r>
        <w:rPr>
          <w:b/>
          <w:bCs/>
        </w:rPr>
        <w:t xml:space="preserve">Keywords:</w:t>
      </w:r>
      <w:r>
        <w:t xml:space="preserve"> </w:t>
      </w:r>
      <w:r>
        <w:t xml:space="preserve">powder diffraction; autoindexing; crystal structure determination; conditional diffusion models; machine learning; differentiable simulation; reproducibility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Choudhary, 2025; Crystalyze: Riesel</w:t>
      </w:r>
      <w:r>
        <w:t xml:space="preserve"> </w:t>
      </w:r>
      <w:r>
        <w:rPr>
          <w:i/>
          <w:iCs/>
        </w:rPr>
        <w:t xml:space="preserve">et al.</w:t>
      </w:r>
      <w:r>
        <w:t xml:space="preserve">, 2024; PXRDnet: Guo</w:t>
      </w:r>
      <w:r>
        <w:t xml:space="preserve"> </w:t>
      </w:r>
      <w:r>
        <w:rPr>
          <w:i/>
          <w:iCs/>
        </w:rPr>
        <w:t xml:space="preserve">et al.</w:t>
      </w:r>
      <w:r>
        <w:t xml:space="preserve">, 2025)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use it as a diagnostic instrument. Its size is a design choice: a 3.7 M-parameter model exposes an encoder bottleneck that capacity would hide. It is not proposed as an alternative to the larger systems it is compared with. Contributions:</w:t>
      </w:r>
    </w:p>
    <w:p>
      <w:pPr>
        <w:pStyle w:val="Compact"/>
        <w:numPr>
          <w:ilvl w:val="0"/>
          <w:numId w:val="1001"/>
        </w:numPr>
      </w:pPr>
      <w:r>
        <w:rPr>
          <w:b/>
          <w:bCs/>
        </w:rPr>
        <w:t xml:space="preserve">A small, fully released baseline.</w:t>
      </w:r>
      <w:r>
        <w:t xml:space="preserve"> </w:t>
      </w:r>
      <w:r>
        <w:t xml:space="preserve">3.7 M parameters, trains on a single RTX 5090 in ~1.5 h on CDVAE MP-20. A PyTorch port of the</w:t>
      </w:r>
      <w:r>
        <w:t xml:space="preserve"> </w:t>
      </w:r>
      <w:r>
        <w:rPr>
          <w:rStyle w:val="VerbatimChar"/>
        </w:rPr>
        <w:t xml:space="preserve">pymatgen</w:t>
      </w:r>
      <w:r>
        <w:t xml:space="preserve"> </w:t>
      </w:r>
      <w:r>
        <w:t xml:space="preserve">structure-factor calculation, differentiable with respect to coordinates and lattice, supplies an auxiliary pattern-matching loss. The port introduces no new physics (§3.3).</w:t>
      </w:r>
    </w:p>
    <w:p>
      <w:pPr>
        <w:pStyle w:val="Compact"/>
        <w:numPr>
          <w:ilvl w:val="0"/>
          <w:numId w:val="1001"/>
        </w:numPr>
      </w:pPr>
      <w:r>
        <w:rPr>
          <w:b/>
          <w:bCs/>
        </w:rPr>
        <w:t xml:space="preserve">Encoder-bottleneck diagnosis (the primary contribution).</w:t>
      </w:r>
      <w:r>
        <w:t xml:space="preserve"> </w:t>
      </w:r>
      <w:r>
        <w:t xml:space="preserve">A perturbation study (§5.5) locates a sharp ~0.5 Å sensitivity knee. A true-lattice oracle lifts match to</w:t>
      </w:r>
      <w:r>
        <w:t xml:space="preserve"> </w:t>
      </w:r>
      <w:r>
        <w:rPr>
          <w:b/>
          <w:bCs/>
        </w:rPr>
        <w:t xml:space="preserve">4.5 %</w:t>
      </w:r>
      <w:r>
        <w:t xml:space="preserve"> </w:t>
      </w:r>
      <w:r>
        <w:t xml:space="preserve">at n = 1000 (three seeds; Wilson 95 % CI [3.8, 5.3]). The encoder reaches a 0.007</w:t>
      </w:r>
      <w:r>
        <w:t xml:space="preserve"> </w:t>
      </w:r>
      <w:r>
        <w:rPr>
          <w:i/>
          <w:iCs/>
        </w:rPr>
        <w:t xml:space="preserve">normalised</w:t>
      </w:r>
      <w:r>
        <w:t xml:space="preserve"> </w:t>
      </w:r>
      <w:r>
        <w:t xml:space="preserve">aux lattice loss in isolation, but substituting that head’s lattice into the sampler recovers only 1.2 % (§5.6). Its ~1.1 Å error sits well above the knee. The evidence points to the pooled encoding, not merely the denoiser, as the stage that fails to deliver absolute d-spacings; a controlled pooling ablation tests this directly (§5.6) [PENDING C2: one-line outcome of the pooling ablation]. The 4.5 % oracle ceiling shows coordinates remain a co-bottleneck.</w:t>
      </w:r>
    </w:p>
    <w:p>
      <w:pPr>
        <w:pStyle w:val="Compact"/>
        <w:numPr>
          <w:ilvl w:val="0"/>
          <w:numId w:val="1001"/>
        </w:numPr>
      </w:pPr>
      <w:r>
        <w:rPr>
          <w:b/>
          <w:bCs/>
        </w:rPr>
        <w:t xml:space="preserve">A classical control.</w:t>
      </w:r>
      <w:r>
        <w:t xml:space="preserve"> </w:t>
      </w:r>
      <w:r>
        <w:t xml:space="preserve">A Q-space autoindexer, supplied with the true crystal system, replaces the learned lattice head at sampling time and reaches 1.6 % [1.2, 2.1] where the learned head recovers nothing. A three-seed paired McNemar test confirms the difference (p &lt; 10⁻⁴; 27 fixed, 0 broken). The gain appears only where the indexer’s cell error falls below the 0.5 Å knee, i.e. in the high-symmetry systems (§5.2, §5.5). We treat this as a sanity check on the diagnosis, not as a method: a fifty-year-old algorithm given extra prior information is expected to beat the learned head. An indexer run without the crystal system is reported alongside (§3.5) [PENDING C3: one-line outcome of the unknown-system run].</w:t>
      </w:r>
    </w:p>
    <w:p>
      <w:pPr>
        <w:pStyle w:val="Compact"/>
        <w:numPr>
          <w:ilvl w:val="0"/>
          <w:numId w:val="1001"/>
        </w:numPr>
      </w:pPr>
      <w:r>
        <w:rPr>
          <w:b/>
          <w:bCs/>
        </w:rPr>
        <w:t xml:space="preserve">Four-item failure catalogue.</w:t>
      </w:r>
      <w:r>
        <w:t xml:space="preserve"> </w:t>
      </w:r>
      <w:r>
        <w:t xml:space="preserve">Top-K Debye rerank, Debye-gradient DDIM guidance, Wyckoff-letter embeddings and a distance-matrix aux loss all fail at n ≥ 200; the latter two combined (v14) underperform the bare ε baseline. The gradient-guidance failure agrees with independent work showing the PXRD loss landscape is too rough for gradient descent (Segal</w:t>
      </w:r>
      <w:r>
        <w:t xml:space="preserve"> </w:t>
      </w:r>
      <w:r>
        <w:rPr>
          <w:i/>
          <w:iCs/>
        </w:rPr>
        <w:t xml:space="preserve">et al.</w:t>
      </w:r>
      <w:r>
        <w:t xml:space="preserve">, 2025). The Wyckoff result is read narrowly: the embedding carried a label, not a constraint (§5.4).</w:t>
      </w:r>
    </w:p>
    <w:p>
      <w:pPr>
        <w:pStyle w:val="Compact"/>
        <w:numPr>
          <w:ilvl w:val="0"/>
          <w:numId w:val="1001"/>
        </w:numPr>
      </w:pPr>
      <w:r>
        <w:rPr>
          <w:b/>
          <w:bCs/>
        </w:rPr>
        <w:t xml:space="preserve">Reproduced baselines and a shared harness.</w:t>
      </w:r>
      <w:r>
        <w:t xml:space="preserve"> </w:t>
      </w:r>
      <w:r>
        <w:t xml:space="preserve">DiffractGPT (Mistral-7B + LoRA), PXRDnet (CDVAE + XRD encoder) and deCIFer are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(PXRDnet, n = 20) and</w:t>
      </w:r>
      <w:r>
        <w:t xml:space="preserve"> </w:t>
      </w:r>
      <w:r>
        <w:rPr>
          <w:b/>
          <w:bCs/>
        </w:rPr>
        <w:t xml:space="preserve">73.8 %</w:t>
      </w:r>
      <w:r>
        <w:t xml:space="preserve"> </w:t>
      </w:r>
      <w:r>
        <w:t xml:space="preserve">(deCIFer, n = 298). These numbers set the scale of the diagnostic model; they are not a claim of competitiveness. A candidate divergence between match rate and space-group recovery across two baselines is raised in §5.3 and §6 as a hypothesis that the n = 20 PXRDnet sample cannot establish. Crystalyze’s checkpoint download link is inactive; we cite but cannot reproduce.</w:t>
      </w:r>
    </w:p>
    <w:p>
      <w:pPr>
        <w:pStyle w:val="Compact"/>
        <w:numPr>
          <w:ilvl w:val="0"/>
          <w:numId w:val="1001"/>
        </w:numPr>
      </w:pPr>
      <w:r>
        <w:rPr>
          <w:b/>
          <w:bCs/>
        </w:rPr>
        <w:t xml:space="preserve">A code audit.</w:t>
      </w:r>
      <w:r>
        <w:t xml:space="preserve"> </w:t>
      </w:r>
      <w:r>
        <w:t xml:space="preserve">Review of the released code identified three implementation errors: the atomic form factor was evaluated in the wrong convention, the Debye loss in x₀-residual mode was evaluated on the wrong tensor, and patterns the indexer could not index were silently given the true lattice. §5.7 reports each error, its effect on every published number, and what was re-run.</w:t>
      </w:r>
    </w:p>
    <w:p>
      <w:r>
        <w:pict>
          <v:rect style="width:0;height:1.5pt" o:hralign="center" o:hrstd="t" o:hr="t"/>
        </w:pict>
      </w:r>
    </w:p>
    <w:bookmarkEnd w:id="10"/>
    <w:bookmarkStart w:id="11" w:name="related-work"/>
    <w:p>
      <w:pPr>
        <w:pStyle w:val="Heading1"/>
      </w:pPr>
      <w:r>
        <w:t xml:space="preserve">2. Related work</w:t>
      </w:r>
    </w:p>
    <w:p>
      <w:pPr>
        <w:pStyle w:val="FirstParagraph"/>
      </w:pPr>
      <w:r>
        <w:rPr>
          <w:b/>
          <w:bCs/>
        </w:rPr>
        <w:t xml:space="preserve">Diffusion for crystals.</w:t>
      </w:r>
      <w:r>
        <w:t xml:space="preserve"> </w:t>
      </w:r>
      <w:r>
        <w:t xml:space="preserve">CDVAE (Xie</w:t>
      </w:r>
      <w:r>
        <w:t xml:space="preserve"> </w:t>
      </w:r>
      <w:r>
        <w:rPr>
          <w:i/>
          <w:iCs/>
        </w:rPr>
        <w:t xml:space="preserve">et al.</w:t>
      </w:r>
      <w:r>
        <w:t xml:space="preserve">, 2022) introduced the MP-20 protocol; DiffCSP (Jiao</w:t>
      </w:r>
      <w:r>
        <w:t xml:space="preserve"> </w:t>
      </w:r>
      <w:r>
        <w:rPr>
          <w:i/>
          <w:iCs/>
        </w:rPr>
        <w:t xml:space="preserve">et al.</w:t>
      </w:r>
      <w:r>
        <w:t xml:space="preserve">, 2023) used joint coord+lattice diffusion; MatterGen (Zeni</w:t>
      </w:r>
      <w:r>
        <w:t xml:space="preserve"> </w:t>
      </w:r>
      <w:r>
        <w:rPr>
          <w:i/>
          <w:iCs/>
        </w:rPr>
        <w:t xml:space="preserve">et al.</w:t>
      </w:r>
      <w:r>
        <w:t xml:space="preserve">, 2025)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(Choudhary, 2025) is a fine-tuned Mistral-7B that decodes peak list + formula → CIF tokens. Crystalyze (Riesel</w:t>
      </w:r>
      <w:r>
        <w:t xml:space="preserve"> </w:t>
      </w:r>
      <w:r>
        <w:rPr>
          <w:i/>
          <w:iCs/>
        </w:rPr>
        <w:t xml:space="preserve">et al.</w:t>
      </w:r>
      <w:r>
        <w:t xml:space="preserve">, 2024) uses CDVAE conditioned on an XRD transformer encoder with post-hoc symmetry filtering. PXRDnet (Guo</w:t>
      </w:r>
      <w:r>
        <w:t xml:space="preserve"> </w:t>
      </w:r>
      <w:r>
        <w:rPr>
          <w:i/>
          <w:iCs/>
        </w:rPr>
        <w:t xml:space="preserve">et al.</w:t>
      </w:r>
      <w:r>
        <w:t xml:space="preserve">, 2025) 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 (Johansen</w:t>
      </w:r>
      <w:r>
        <w:t xml:space="preserve"> </w:t>
      </w:r>
      <w:r>
        <w:rPr>
          <w:i/>
          <w:iCs/>
        </w:rPr>
        <w:t xml:space="preserve">et al.</w:t>
      </w:r>
      <w:r>
        <w:t xml:space="preserve">, 2025)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Where the unit cell comes from.</w:t>
      </w:r>
      <w:r>
        <w:t xml:space="preserve"> </w:t>
      </w:r>
      <w:r>
        <w:t xml:space="preserve">Recent approaches differ in whether the unit cell is generated jointly with the coordinates or supplied as a separate input. PXRDGen (Li</w:t>
      </w:r>
      <w:r>
        <w:t xml:space="preserve"> </w:t>
      </w:r>
      <w:r>
        <w:rPr>
          <w:i/>
          <w:iCs/>
        </w:rPr>
        <w:t xml:space="preserve">et al.</w:t>
      </w:r>
      <w:r>
        <w:t xml:space="preserve">, 2025) generates lattice and coordinates jointly by default, but can accept an independently determined cell, from a cell network or from conventional indexing, as an additional condition. XtalNet (Lai</w:t>
      </w:r>
      <w:r>
        <w:t xml:space="preserve"> </w:t>
      </w:r>
      <w:r>
        <w:rPr>
          <w:i/>
          <w:iCs/>
        </w:rPr>
        <w:t xml:space="preserve">et al.</w:t>
      </w:r>
      <w:r>
        <w:t xml:space="preserve">, 2025) is an end-to-end equivariant approach, reported on metal–organic-framework benchmarks. Parackal</w:t>
      </w:r>
      <w:r>
        <w:t xml:space="preserve"> </w:t>
      </w:r>
      <w:r>
        <w:rPr>
          <w:i/>
          <w:iCs/>
        </w:rPr>
        <w:t xml:space="preserve">et al.</w:t>
      </w:r>
      <w:r>
        <w:t xml:space="preserve"> </w:t>
      </w:r>
      <w:r>
        <w:t xml:space="preserve">(2024) enumerate symmetry-confined Wyckoff arrangements and rank them with a learned energy model before fitting the pattern. XRDSol (Yu</w:t>
      </w:r>
      <w:r>
        <w:t xml:space="preserve"> </w:t>
      </w:r>
      <w:r>
        <w:rPr>
          <w:i/>
          <w:iCs/>
        </w:rPr>
        <w:t xml:space="preserve">et al.</w:t>
      </w:r>
      <w:r>
        <w:t xml:space="preserve">, 2026) denoises coordinates with an equivariant diffusion model conditioned on the pattern, and takes the stoichiometry and the unit cell as inputs. That last design choice is the one this paper examines from the other side: XRDSol assumes an indexed cell, and the cell is exactly what our learned head fails to recover. Chitturi</w:t>
      </w:r>
      <w:r>
        <w:t xml:space="preserve"> </w:t>
      </w:r>
      <w:r>
        <w:rPr>
          <w:i/>
          <w:iCs/>
        </w:rPr>
        <w:t xml:space="preserve">et al.</w:t>
      </w:r>
      <w:r>
        <w:t xml:space="preserve"> </w:t>
      </w:r>
      <w:r>
        <w:t xml:space="preserve">(2021) regress lattice parameters from simulated patterns with a convolutional network and analyse how impurities, noise and broadening degrade the prediction, a diagnostic aim close to ours. None of these is reproduced here. They are cited to place PXRD-Diff, a diagnostic instrument rather than a competing solver, within the range of current designs.</w:t>
      </w:r>
    </w:p>
    <w:p>
      <w:pPr>
        <w:pStyle w:val="BodyText"/>
      </w:pPr>
      <w:r>
        <w:rPr>
          <w:b/>
          <w:bCs/>
        </w:rPr>
        <w:t xml:space="preserve">Classical structure solution from powder data.</w:t>
      </w:r>
      <w:r>
        <w:t xml:space="preserve"> </w:t>
      </w:r>
      <w:r>
        <w:t xml:space="preserve">Recovering a unit cell from peak positions is a solved sub-problem with a fifty-year toolchain: the de-Wolff dichotomy method, ITO, TREOR and DICVOL (Boultif &amp; Louër, 2004) index high-symmetry powder patterns in CPU milliseconds, with the difficulty concentrated in low-symmetry (monoclinic and triclinic) cells. Indexing is only the first stage of classical structure solution. Once the cell and space group are fixed, direct-space search, simulated annealing and charge flipping complete the structure, as implemented in programs such as FOX (Favre-Nicolin &amp; Černý, 2002) and EXPO (Cuocci</w:t>
      </w:r>
      <w:r>
        <w:t xml:space="preserve"> </w:t>
      </w:r>
      <w:r>
        <w:rPr>
          <w:i/>
          <w:iCs/>
        </w:rPr>
        <w:t xml:space="preserve">et al.</w:t>
      </w:r>
      <w:r>
        <w:t xml:space="preserve">, 2022). §3.5 reuses only the indexing stage, as a control for the learned lattice head. The indexer is given the true crystal system, which classical practice must itself infer. §5.2 and §5.5 show the resulting lift tracks the symmetry-dependent accuracy classical indexers have always had.</w:t>
      </w:r>
    </w:p>
    <w:p>
      <w:pPr>
        <w:pStyle w:val="BodyText"/>
      </w:pPr>
      <w:r>
        <w:rPr>
          <w:b/>
          <w:bCs/>
        </w:rPr>
        <w:t xml:space="preserve">Differentiable physics.</w:t>
      </w:r>
      <w:r>
        <w:t xml:space="preserve"> </w:t>
      </w:r>
      <w:r>
        <w:t xml:space="preserve">Scattering-pattern losses date to Rietveld. The module used here is a PyTorch port of the</w:t>
      </w:r>
      <w:r>
        <w:t xml:space="preserve"> </w:t>
      </w:r>
      <w:r>
        <w:rPr>
          <w:rStyle w:val="VerbatimChar"/>
        </w:rPr>
        <w:t xml:space="preserve">pymatgen</w:t>
      </w:r>
      <w:r>
        <w:t xml:space="preserve"> </w:t>
      </w:r>
      <w:r>
        <w:t xml:space="preserve">structure-factor computation, differentiable with respect to coordinates and lattice so that it can serve as a diffusion-training loss term; it adds no physics beyond that computation (§3.3). Concurrent generative-inversion work conditions on differentiable spectral targets for amorphous and nanostructured systems (Guo &amp; Schwalbe-Koda, 2026). Relevant to our negative results, Segal</w:t>
      </w:r>
      <w:r>
        <w:t xml:space="preserve"> </w:t>
      </w:r>
      <w:r>
        <w:rPr>
          <w:i/>
          <w:iCs/>
        </w:rPr>
        <w:t xml:space="preserve">et al.</w:t>
      </w:r>
      <w:r>
        <w:t xml:space="preserve"> </w:t>
      </w:r>
      <w:r>
        <w:t xml:space="preserve">(2026)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Schütt</w:t>
      </w:r>
      <w:r>
        <w:t xml:space="preserve"> </w:t>
      </w:r>
      <w:r>
        <w:rPr>
          <w:i/>
          <w:iCs/>
        </w:rPr>
        <w:t xml:space="preserve">et al.</w:t>
      </w:r>
      <w:r>
        <w:t xml:space="preserve">, 2017). A frozen MACE (Batatia</w:t>
      </w:r>
      <w:r>
        <w:t xml:space="preserve"> </w:t>
      </w:r>
      <w:r>
        <w:rPr>
          <w:i/>
          <w:iCs/>
        </w:rPr>
        <w:t xml:space="preserve">et al.</w:t>
      </w:r>
      <w:r>
        <w:t xml:space="preserve">, 2022) encoder showed no measurable benefit at MP-20 scale in pilots and was deferred.</w:t>
      </w:r>
    </w:p>
    <w:p>
      <w:r>
        <w:pict>
          <v:rect style="width:0;height:1.5pt" o:hralign="center" o:hrstd="t" o:hr="t"/>
        </w:pict>
      </w:r>
    </w:p>
    <w:bookmarkEnd w:id="11"/>
    <w:bookmarkStart w:id="22" w:name="method"/>
    <w:p>
      <w:pPr>
        <w:pStyle w:val="Heading1"/>
      </w:pPr>
      <w:r>
        <w:t xml:space="preserve">3. Method</w:t>
      </w:r>
    </w:p>
    <w:bookmarkStart w:id="12"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w:t>
      </w:r>
    </w:p>
    <w:bookmarkEnd w:id="13"/>
    <w:bookmarkStart w:id="18" w:name="Xc917a453586cc10256448f63d6af218d81ba9bb"/>
    <w:p>
      <w:pPr>
        <w:pStyle w:val="Heading2"/>
      </w:pPr>
      <w:r>
        <w:t xml:space="preserve">3.3 Differentiable Bragg structure-factor loss</w:t>
      </w:r>
    </w:p>
    <w:p>
      <w:pPr>
        <w:pStyle w:val="FirstParagraph"/>
      </w:pPr>
      <w:r>
        <w:t xml:space="preserve">This module is an engineering component, not a physical contribution. It is a PyTorch port of the structure-factor calculation in</w:t>
      </w:r>
      <w:r>
        <w:t xml:space="preserve"> </w:t>
      </w:r>
      <w:r>
        <w:rPr>
          <w:rStyle w:val="VerbatimChar"/>
        </w:rPr>
        <w:t xml:space="preserve">pymatgen.analysis.diffraction.xrd.XRDCalculator</w:t>
      </w:r>
      <w:r>
        <w:t xml:space="preserve">, written so that gradients flow to fractional coordinates and lattice. We implement</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with the atomic form factor in the convention</w:t>
      </w:r>
      <w:r>
        <w:t xml:space="preserve"> </w:t>
      </w:r>
      <w:r>
        <w:rPr>
          <w:rStyle w:val="VerbatimChar"/>
        </w:rPr>
        <w:t xml:space="preserve">pymatgen</w:t>
      </w:r>
      <w:r>
        <w:t xml:space="preserve"> </w:t>
      </w:r>
      <w:r>
        <w:t xml:space="preserve">uses for its tabulated coefficients,</w:t>
      </w:r>
    </w:p>
    <w:p>
      <w:pPr>
        <w:pStyle w:val="BodyText"/>
      </w:pPr>
      <m:oMathPara>
        <m:oMathParaPr>
          <m:jc m:val="center"/>
        </m:oMathParaPr>
        <m:oMath>
          <m:sSub>
            <m:e>
              <m:r>
                <m:t>f</m:t>
              </m:r>
            </m:e>
            <m:sub>
              <m:r>
                <m:t>j</m:t>
              </m:r>
            </m:sub>
          </m:sSub>
          <m:r>
            <m:rPr>
              <m:sty m:val="p"/>
            </m:rPr>
            <m:t>(</m:t>
          </m:r>
          <m:r>
            <m:t>s</m:t>
          </m:r>
          <m:r>
            <m:rPr>
              <m:sty m:val="p"/>
            </m:rPr>
            <m:t>)</m:t>
          </m:r>
          <m:r>
            <m:rPr>
              <m:sty m:val="p"/>
            </m:rPr>
            <m:t>=</m:t>
          </m:r>
          <m:sSub>
            <m:e>
              <m:r>
                <m:t>Z</m:t>
              </m:r>
            </m:e>
            <m:sub>
              <m:r>
                <m:t>j</m:t>
              </m:r>
            </m:sub>
          </m:sSub>
          <m:r>
            <m:rPr>
              <m:sty m:val="p"/>
            </m:rPr>
            <m:t>−</m:t>
          </m:r>
          <m:r>
            <m:t>41.78214</m:t>
          </m:r>
          <m:r>
            <m:t> </m:t>
          </m:r>
          <m:sSup>
            <m:e>
              <m:r>
                <m:t>s</m:t>
              </m:r>
            </m:e>
            <m:sup>
              <m:r>
                <m:t>2</m:t>
              </m:r>
            </m:sup>
          </m:sSup>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r>
            <m:rPr>
              <m:sty m:val="p"/>
            </m:rPr>
            <m:t>,</m:t>
          </m:r>
        </m:oMath>
      </m:oMathPara>
    </w:p>
    <w:p>
      <w:pPr>
        <w:pStyle w:val="FirstParagraph"/>
      </w:pPr>
      <w:r>
        <w:t xml:space="preserve">where</w:t>
      </w:r>
      <w:r>
        <w:t xml:space="preserve"> </w:t>
      </w:r>
      <m:oMath>
        <m:r>
          <m:rPr>
            <m:sty m:val="p"/>
          </m:rPr>
          <m:t>(</m:t>
        </m:r>
        <m:sSub>
          <m:e>
            <m:r>
              <m:t>a</m:t>
            </m:r>
          </m:e>
          <m:sub>
            <m:r>
              <m:t>k</m:t>
            </m:r>
          </m:sub>
        </m:sSub>
        <m:r>
          <m:rPr>
            <m:sty m:val="p"/>
          </m:rPr>
          <m:t>,</m:t>
        </m:r>
        <m:sSub>
          <m:e>
            <m:r>
              <m:t>b</m:t>
            </m:r>
          </m:e>
          <m:sub>
            <m:r>
              <m:t>k</m:t>
            </m:r>
          </m:sub>
        </m:sSub>
        <m:r>
          <m:rPr>
            <m:sty m:val="p"/>
          </m:rPr>
          <m:t>)</m:t>
        </m:r>
      </m:oMath>
      <w:r>
        <w:t xml:space="preserve"> </w:t>
      </w:r>
      <w:r>
        <w:t xml:space="preserve">are read from</w:t>
      </w:r>
      <w:r>
        <w:t xml:space="preserve"> </w:t>
      </w:r>
      <w:r>
        <w:rPr>
          <w:rStyle w:val="VerbatimChar"/>
        </w:rPr>
        <w:t xml:space="preserve">ATOMIC_SCATTERING_PARAMS</w:t>
      </w:r>
      <w:r>
        <w:t xml:space="preserve">,</w:t>
      </w:r>
      <w:r>
        <w:t xml:space="preserve"> </w:t>
      </w:r>
      <m:oMath>
        <m:sSub>
          <m:e>
            <m:r>
              <m:t>Z</m:t>
            </m:r>
          </m:e>
          <m:sub>
            <m:r>
              <m:t>j</m:t>
            </m:r>
          </m:sub>
        </m:sSub>
      </m:oMath>
      <w:r>
        <w:t xml:space="preserve"> </w:t>
      </w:r>
      <w:r>
        <w:t xml:space="preserve">is the atomic number,</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pattern on a 256-bin coarse grid. The module treats ideal powders only: no preferred orientation, peak asymmetry, instrument profile or background is modelled. It is a single</w:t>
      </w:r>
      <w:r>
        <w:t xml:space="preserve"> </w:t>
      </w:r>
      <w:r>
        <w:rPr>
          <w:rStyle w:val="VerbatimChar"/>
        </w:rPr>
        <w:t xml:space="preserve">nn.Module</w:t>
      </w:r>
      <w:r>
        <w:t xml:space="preserve">, vectorised over the batch dimension.</w:t>
      </w:r>
    </w:p>
    <w:p>
      <w:pPr>
        <w:pStyle w:val="BodyText"/>
      </w:pPr>
      <w:r>
        <w:rPr>
          <w:b/>
          <w:bCs/>
        </w:rPr>
        <w:t xml:space="preserve">Correction made during review.</w:t>
      </w:r>
      <w:r>
        <w:t xml:space="preserve"> </w:t>
      </w:r>
      <w:r>
        <w:t xml:space="preserve">The submitted version of this paper evaluated the form factor as the bare sum</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the same coefficients. That expression is not the one the coefficients were fitted for. It gives the wrong element weighting: for silicon it returns</w:t>
      </w:r>
      <w:r>
        <w:t xml:space="preserve"> </w:t>
      </w:r>
      <m:oMath>
        <m:r>
          <m:t>f</m:t>
        </m:r>
        <m:r>
          <m:rPr>
            <m:sty m:val="p"/>
          </m:rPr>
          <m:t>(</m:t>
        </m:r>
        <m:r>
          <m:t>0</m:t>
        </m:r>
        <m:r>
          <m:rPr>
            <m:sty m:val="p"/>
          </m:rPr>
          <m:t>)</m:t>
        </m:r>
        <m:r>
          <m:rPr>
            <m:sty m:val="p"/>
          </m:rPr>
          <m:t>=</m:t>
        </m:r>
        <m:r>
          <m:t>5.8</m:t>
        </m:r>
      </m:oMath>
      <w:r>
        <w:t xml:space="preserve"> </w:t>
      </w:r>
      <w:r>
        <w:t xml:space="preserve">where the correct value is</w:t>
      </w:r>
      <w:r>
        <w:t xml:space="preserve"> </w:t>
      </w:r>
      <m:oMath>
        <m:r>
          <m:t>Z</m:t>
        </m:r>
        <m:r>
          <m:rPr>
            <m:sty m:val="p"/>
          </m:rPr>
          <m:t>=</m:t>
        </m:r>
        <m:r>
          <m:t>14</m:t>
        </m:r>
      </m:oMath>
      <w:r>
        <w:t xml:space="preserve">, and it decays too quickly with</w:t>
      </w:r>
      <w:r>
        <w:t xml:space="preserve"> </w:t>
      </w:r>
      <m:oMath>
        <m:r>
          <m:t>s</m:t>
        </m:r>
      </m:oMath>
      <w:r>
        <w:t xml:space="preserve">. Both referees who inspected the code identified the discrepancy. The module was corrected to the expression above and re-validated (below). The training runs that used the Debye loss were repeated with the corrected module [PENDING C1: state which runs were retrained and whether the numbers in Tables 1 and 2 changed, and by how much].</w:t>
      </w:r>
    </w:p>
    <w:p>
      <w:pPr>
        <w:pStyle w:val="BodyText"/>
      </w:pPr>
      <w:r>
        <w:rPr>
          <w:b/>
          <w:bCs/>
        </w:rPr>
        <w:t xml:space="preserve">Validation.</w:t>
      </w:r>
      <w:r>
        <w:t xml:space="preserve"> </w:t>
      </w:r>
      <w:r>
        <w:t xml:space="preserve">On the first 1000 MP-20 test structures we compute the Pearson correlation between the differentiable pattern and the</w:t>
      </w:r>
      <w:r>
        <w:t xml:space="preserve"> </w:t>
      </w:r>
      <w:r>
        <w:rPr>
          <w:rStyle w:val="VerbatimChar"/>
        </w:rPr>
        <w:t xml:space="preserve">pymatgen.XRDCalculator</w:t>
      </w:r>
      <w:r>
        <w:t xml:space="preserve"> </w:t>
      </w:r>
      <w:r>
        <w:t xml:space="preserve">reference, both on the 256-bin coarse grid. With the corrected form factor the mean is 0.988 and the median 0.999; 98.0 % of structures exceed 0.9. With the submitted version’s form factor the same structures give a mean of 0.952 and a median of 0.969; 90.7 % exceed 0.9. The correction improves the agreement for every one of the 1000 structures. On the first 50 structures the means are 0.939 (submitted form factor) and 0.974 (corrected). The submitted version reported 0.962 on 50 structures with the validation script’s default reflection range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 which is wider than the training configuration (</w:t>
      </w:r>
      <m:oMath>
        <m:r>
          <m:rPr>
            <m:sty m:val="p"/>
          </m:rPr>
          <m:t>≤</m:t>
        </m:r>
        <m:r>
          <m:t>5</m:t>
        </m:r>
      </m:oMath>
      <w:r>
        <w:t xml:space="preserve">) used for the numbers above. Re-running that wider range reproduces the submitted value for the submitted expression (0.963 on the first 50 structures, 0.960 on all 1000) and gives 0.999 for the corrected expression at both sizes (Appendix C). The wider range also removes most of the lower tail, which is therefore a truncation effect of the</w:t>
      </w:r>
      <w:r>
        <w:t xml:space="preserve"> </w:t>
      </w:r>
      <m:oMath>
        <m:r>
          <m:rPr>
            <m:sty m:val="p"/>
          </m:rPr>
          <m:t>≤</m:t>
        </m:r>
        <m:r>
          <m:t>5</m:t>
        </m:r>
      </m:oMath>
      <w:r>
        <w:t xml:space="preserve"> </w:t>
      </w:r>
      <w:r>
        <w:t xml:space="preserve">training grid on small cells rather than a property of the form factor. Gradients through the structure factor with respect to fractional coordinates were verified non-zero.</w:t>
      </w:r>
    </w:p>
    <w:bookmarkStart w:id="17" w:name="fig:validation"/>
    <w:p>
      <w:pPr>
        <w:pStyle w:val="CaptionedFigure"/>
      </w:pPr>
      <w:r>
        <w:drawing>
          <wp:inline>
            <wp:extent cx="4135408" cy="2669925"/>
            <wp:effectExtent b="0" l="0" r="0" t="0"/>
            <wp:docPr descr="Figure 1. Differentiable-simulator validation. Distribution of Pearson correlation between the PyTorch DiffPXRD module and pymatgen.XRDCalculator over the first 1000 MP-20 test structures, with the corrected form factor (mean 0.988, median 0.999) and with the form factor of the submitted version (mean 0.952, median 0.969). The correction improves every structure. The residual lower tail is dominated by layered structures with strong texture in the reference."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35408" cy="2669925"/>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the first 1000 MP-20 test structures, with the corrected form factor (mean 0.988, median 0.999) and with the form factor of the submitted version (mean 0.952, median 0.969). The correction improves every structure. The residual lower tail is dominated by layered structures with strong texture in the reference.</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2"/>
      </w:pPr>
      <w:r>
        <w:t xml:space="preserve">3.4 Training objective</w:t>
      </w:r>
    </w:p>
    <w:p>
      <w:pPr>
        <w:pStyle w:val="FirstParagraph"/>
      </w:pPr>
      <w:r>
        <w:t xml:space="preserve">We use a VP-SDE with cosine schedule (Nichol &amp; Dhariwal, 2021)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3.5×; a multi-seed checkpoint sweep (§7) shows that match-rate lift does not replicate, but the parameterisation does reproducibly improve the pattern-Pearson (≈ 0.36 → 0.40, see §5.1).</w:t>
      </w:r>
    </w:p>
    <w:p>
      <w:pPr>
        <w:pStyle w:val="BodyText"/>
      </w:pPr>
      <w:r>
        <w:rPr>
          <w:b/>
          <w:bCs/>
        </w:rPr>
        <w:t xml:space="preserve">Correction made during review.</w:t>
      </w:r>
      <w:r>
        <w:t xml:space="preserve"> </w:t>
      </w:r>
      <w:r>
        <w:t xml:space="preserve">In x₀-residual mode the Debye loss must be evaluated on the clean-coordinate estimate</w:t>
      </w:r>
      <w:r>
        <w:t xml:space="preserve"> </w:t>
      </w: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oMath>
      <w:r>
        <w:t xml:space="preserve">. The submitted code evaluated it on the residual</w:t>
      </w:r>
      <w:r>
        <w:t xml:space="preserve"> </w:t>
      </w:r>
      <m:oMath>
        <m:r>
          <m:rPr>
            <m:nor/>
            <m:sty m:val="p"/>
          </m:rPr>
          <m:t>Coord-Head</m:t>
        </m:r>
        <m:r>
          <m:rPr>
            <m:sty m:val="p"/>
          </m:rPr>
          <m:t>(</m:t>
        </m:r>
        <m:r>
          <m:rPr>
            <m:sty m:val="bi"/>
          </m:rPr>
          <m:t>h</m:t>
        </m:r>
        <m:r>
          <m:rPr>
            <m:sty m:val="p"/>
          </m:rPr>
          <m:t>)</m:t>
        </m:r>
      </m:oMath>
      <w:r>
        <w:t xml:space="preserve"> </w:t>
      </w:r>
      <w:r>
        <w:t xml:space="preserve">alone. For every x₀-residual run (v13, v14, v15, v16 and the Phase 9 checkpoint v21) the Debye term therefore compared the pattern of the wrong tensor with the target. The ε-mode runs v10 and v11 were unaffected, as were the coordinate and lattice losses and every evaluation-time number. The code is fixed. The affected runs were retrained with the corrected loss and the corrected simulator [PENDING C1: retrained numbers for the x₀-residual runs].</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bed3fe1b934db5a1a09c38450a9bb46f6ab9ba3"/>
    <w:p>
      <w:pPr>
        <w:pStyle w:val="Heading2"/>
      </w:pPr>
      <w:r>
        <w:t xml:space="preserve">3.5 Classical indexing as a control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against which all peak positions in the input pattern must be interpreted.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and (ii) the true crystal system of the target structure, supplied as a Bravais code, and returns a candidate (a, b, c, α, β, γ). Item (ii) is prior information beyond the composition that the learned head receives. It makes the indexer an optimistic control rather than a fair competitor, and every indexer number in this paper should be read with that in mind (see also §7 and the unknown-system run below).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We ship a GSAS-II (Toby &amp; Von Dreele, 2013) adapter (</w:t>
      </w:r>
      <w:r>
        <w:rPr>
          <w:rStyle w:val="VerbatimChar"/>
        </w:rPr>
        <w:t xml:space="preserve">src/pxrd_diff/indexer_gsas.py</w:t>
      </w:r>
      <w:r>
        <w:t xml:space="preserve">) for the low-symmetry path behind a</w:t>
      </w:r>
      <w:r>
        <w:t xml:space="preserve"> </w:t>
      </w:r>
      <w:r>
        <w:rPr>
          <w:rStyle w:val="VerbatimChar"/>
        </w:rPr>
        <w:t xml:space="preserve">--use-gsas</w:t>
      </w:r>
      <w:r>
        <w:t xml:space="preserve"> </w:t>
      </w:r>
      <w:r>
        <w:t xml:space="preserve">opt-in flag; in practice</w:t>
      </w:r>
      <w:r>
        <w:t xml:space="preserve"> </w:t>
      </w:r>
      <w:r>
        <w:rPr>
          <w:rStyle w:val="VerbatimChar"/>
        </w:rPr>
        <w:t xml:space="preserve">DoIndexPeaks</w:t>
      </w:r>
      <w:r>
        <w:t xml:space="preserve"> </w:t>
      </w:r>
      <w:r>
        <w:t xml:space="preserve">hangs on real MP-20 monoclinic/triclinic patterns inside</w:t>
      </w:r>
      <w:r>
        <w:t xml:space="preserve"> </w:t>
      </w:r>
      <w:r>
        <w:rPr>
          <w:rStyle w:val="VerbatimChar"/>
        </w:rPr>
        <w:t xml:space="preserve">findBestCell</w:t>
      </w:r>
      <w:r>
        <w:t xml:space="preserve"> </w:t>
      </w:r>
      <w:r>
        <w:t xml:space="preserve">and is documented experimental rather than headline.</w:t>
      </w:r>
    </w:p>
    <w:p>
      <w:pPr>
        <w:pStyle w:val="BodyText"/>
      </w:pPr>
      <w:r>
        <w:rPr>
          <w:b/>
          <w:bCs/>
        </w:rPr>
        <w:t xml:space="preserve">Without the crystal system.</w:t>
      </w:r>
      <w:r>
        <w:t xml:space="preserve"> </w:t>
      </w:r>
      <w:r>
        <w:t xml:space="preserve">At a referee’s request the indexer was also run with no crystal system supplied. Cubic, tetragonal, hexagonal/trigonal, orthorhombic and monoclinic cells are all searched, and the candidate with the highest de-Wolff M20 figure of merit is kept. [PENDING B2: per-system strict % and length MAE, and the fraction of patterns whose lattice type is recovered, on the same n = 1000.] [PENDING C3: downstream match rate at three seeds when these cells replace the learned head.]</w:t>
      </w:r>
    </w:p>
    <w:p>
      <w:pPr>
        <w:pStyle w:val="BodyText"/>
      </w:pPr>
      <w:r>
        <w:t xml:space="preserve">The indexer is a drop-in in the mechanical sense: training is unchanged, and the diffusion sampler is unchanged except for the lattice-channel substitution at t = T. Patterns for which the indexer returns no cell (39 of the 1000 test patterns) are scored as misses. The submitted version had given them the true lattice; §5.7 reports the correction and its effect. The headline metric (§5.2) reports both with and without the indexer for direct comparison.</w:t>
      </w:r>
    </w:p>
    <w:bookmarkEnd w:id="20"/>
    <w:bookmarkStart w:id="21" w:name="sampling"/>
    <w:p>
      <w:pPr>
        <w:pStyle w:val="Heading2"/>
      </w:pPr>
      <w:r>
        <w:t xml:space="preserve">3.6 Sampling</w:t>
      </w:r>
    </w:p>
    <w:p>
      <w:pPr>
        <w:pStyle w:val="FirstParagraph"/>
      </w:pPr>
      <w:r>
        <w:t xml:space="preserve">DDIM (Song</w:t>
      </w:r>
      <w:r>
        <w:t xml:space="preserve"> </w:t>
      </w:r>
      <w:r>
        <w:rPr>
          <w:i/>
          <w:iCs/>
        </w:rPr>
        <w:t xml:space="preserve">et al.</w:t>
      </w:r>
      <w:r>
        <w:t xml:space="preserve">, 2021)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1"/>
      </w:pPr>
      <w:r>
        <w:t xml:space="preserve">4. Experiments</w:t>
      </w:r>
    </w:p>
    <w:p>
      <w:pPr>
        <w:pStyle w:val="FirstParagraph"/>
      </w:pPr>
      <w:r>
        <w:rPr>
          <w:b/>
          <w:bCs/>
        </w:rPr>
        <w:t xml:space="preserve">Dataset.</w:t>
      </w:r>
      <w:r>
        <w:t xml:space="preserve"> </w:t>
      </w:r>
      <w:r>
        <w:t xml:space="preserve">Canonical CDVAE (Xie</w:t>
      </w:r>
      <w:r>
        <w:t xml:space="preserve"> </w:t>
      </w:r>
      <w:r>
        <w:rPr>
          <w:i/>
          <w:iCs/>
        </w:rPr>
        <w:t xml:space="preserve">et al.</w:t>
      </w:r>
      <w:r>
        <w:t xml:space="preserve">, 2022) 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 In the indexer mode (§3.5) a pattern the indexer cannot index counts as a miss; it is never scored with the true lattice.</w:t>
      </w:r>
    </w:p>
    <w:p>
      <w:pPr>
        <w:pStyle w:val="BodyText"/>
      </w:pPr>
      <w:r>
        <w:rPr>
          <w:b/>
          <w:bCs/>
        </w:rPr>
        <w:t xml:space="preserve">Implementation.</w:t>
      </w:r>
      <w:r>
        <w:t xml:space="preserve"> </w:t>
      </w:r>
      <w:r>
        <w:t xml:space="preserve">AdamW, learning rate</w:t>
      </w:r>
      <w:r>
        <w:t xml:space="preserve"> </w:t>
      </w:r>
      <m:oMath>
        <m:sSup>
          <m:e>
            <m:r>
              <m:t>10</m:t>
            </m:r>
          </m:e>
          <m:sup>
            <m:r>
              <m:rPr>
                <m:sty m:val="p"/>
              </m:rPr>
              <m:t>−</m:t>
            </m:r>
            <m:r>
              <m:t>3</m:t>
            </m:r>
          </m:sup>
        </m:sSup>
      </m:oMath>
      <w:r>
        <w:t xml:space="preserve"> </w:t>
      </w:r>
      <w:r>
        <w:t xml:space="preserve">(the value stored in the released v21 checkpoint; the submitted text gave</w:t>
      </w:r>
      <w:r>
        <w:t xml:space="preserve"> </w:t>
      </w:r>
      <m:oMath>
        <m:r>
          <m:t>5</m:t>
        </m:r>
        <m:r>
          <m:rPr>
            <m:sty m:val="p"/>
          </m:rPr>
          <m:t>×</m:t>
        </m:r>
        <m:sSup>
          <m:e>
            <m:r>
              <m:t>10</m:t>
            </m:r>
          </m:e>
          <m:sup>
            <m:r>
              <m:rPr>
                <m:sty m:val="p"/>
              </m:rPr>
              <m:t>−</m:t>
            </m:r>
            <m:r>
              <m:t>4</m:t>
            </m:r>
          </m:sup>
        </m:sSup>
      </m:oMath>
      <w:r>
        <w:t xml:space="preserve">, see §5.7(d)),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23"/>
    <w:bookmarkStart w:id="47" w:name="results"/>
    <w:p>
      <w:pPr>
        <w:pStyle w:val="Heading1"/>
      </w:pPr>
      <w:r>
        <w:t xml:space="preserve">5. Results</w:t>
      </w:r>
    </w:p>
    <w:p>
      <w:pPr>
        <w:pStyle w:val="FirstParagraph"/>
      </w:pPr>
      <w:r>
        <w:t xml:space="preserve">Order: Phase 4 architectural ablation (§5.1) → Phase 9 indexer drop-in (§5.2) → reproduced baselines (§5.3) → failure catalogue (§5.4) → encoder-bottleneck perturbation study (§5.5).</w:t>
      </w:r>
    </w:p>
    <w:bookmarkStart w:id="28" w:name="Xadaaeed9a4d3d9b8a4dfaf721f122e0603fe773"/>
    <w:p>
      <w:pPr>
        <w:pStyle w:val="Heading2"/>
      </w:pPr>
      <w:r>
        <w:t xml:space="preserve">5.1 Phase 4: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 Every row is a single training seed. The table is exploratory: it guided the design, and only the ε-vs-x₀-residual contrast was later replicated across seeds (§7). Runs v11 and v13–v16 were trained with the submitted version’s simulator, and v13–v16 with the x₀-mode Debye defect (§3.3, §3.4) [PENDING C1: retrained rows, or a statement of which rows were retrained].</w:t>
      </w:r>
    </w:p>
    <w:p>
      <w:pPr>
        <w:pStyle w:val="BodyText"/>
      </w:pPr>
      <w:r>
        <w:rPr>
          <w:b/>
          <w:bCs/>
        </w:rPr>
        <w:t xml:space="preserve">Table 1.</w:t>
      </w:r>
      <w:r>
        <w:t xml:space="preserve"> </w:t>
      </w:r>
      <w:r>
        <w:t xml:space="preserve">Phase 4 coordinate-only ablation, MP-20 test (n = 1 000, true lattice substituted). Single seed per row; exploratory.</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3878"/>
            <wp:effectExtent b="0" l="0" r="0" t="0"/>
            <wp:docPr descr="Figure 2. Phase 4 architectural ablation (single seed per run; exploratory). 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3878"/>
                    </a:xfrm>
                    <a:prstGeom prst="rect">
                      <a:avLst/>
                    </a:prstGeom>
                    <a:noFill/>
                    <a:ln w="9525">
                      <a:noFill/>
                      <a:headEnd/>
                      <a:tailEnd/>
                    </a:ln>
                  </pic:spPr>
                </pic:pic>
              </a:graphicData>
            </a:graphic>
          </wp:inline>
        </w:drawing>
      </w:r>
    </w:p>
    <w:p>
      <w:pPr>
        <w:pStyle w:val="ImageCaption"/>
      </w:pPr>
      <w:r>
        <w:rPr>
          <w:b/>
          <w:bCs/>
        </w:rPr>
        <w:t xml:space="preserve">Figure 2. Phase 4 architectural ablation (single seed per run; exploratory).</w:t>
      </w:r>
      <w:r>
        <w:t xml:space="preserve"> </w:t>
      </w:r>
      <w:r>
        <w:t xml:space="preserve">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20k–100k) found ε and x₀-residual indistinguishable on match rate (1.20 % vs 1.35 % pooled; x₀ never exceeds 1.5 % at any checkpoint, including the 80 k one matching the original’s 79.5 k, §7), so the 3.5× match lift was a single-seed fluctuation. The x₀-residual parameterisation does, however, reproducibly improve pattern-Pearson (0.36 → 0.40), which is the part of the Phase-4 signal that survives.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v21 checkpoint reaches 4.5 % under oracle (three seeds; an earlier single-seed snapshot read 5.6 %) but only 1.0 % under full pipeline. §5.2 attacks that gap.</w:t>
      </w:r>
    </w:p>
    <w:bookmarkEnd w:id="28"/>
    <w:bookmarkStart w:id="33" w:name="phase-9-classical-indexer-control"/>
    <w:p>
      <w:pPr>
        <w:pStyle w:val="Heading2"/>
      </w:pPr>
      <w:r>
        <w:t xml:space="preserve">5.2 Phase 9: classical indexer control</w:t>
      </w:r>
    </w:p>
    <w:p>
      <w:pPr>
        <w:pStyle w:val="FirstParagraph"/>
      </w:pPr>
      <w:r>
        <w:t xml:space="preserve">Table 2: three rows on the same n = 1 000 with the v21 checkpoint (Phase 9 retrain, Phase 4 fixes + retuned encoder); they differ only in which lattice the sampler conditions on. The indexer row is a control with extra prior information: the indexer is supplied with the true crystal system (§3.5).</w:t>
      </w:r>
    </w:p>
    <w:p>
      <w:pPr>
        <w:pStyle w:val="BodyText"/>
      </w:pPr>
      <w:r>
        <w:rPr>
          <w:b/>
          <w:bCs/>
        </w:rPr>
        <w:t xml:space="preserve">Table 2.</w:t>
      </w:r>
      <w:r>
        <w:t xml:space="preserve"> </w:t>
      </w:r>
      <w:r>
        <w:t xml:space="preserve">Phase 9 lattice-source comparison (n = 1 000 MP-20 test, v21 checkpoint, single-seed snapshot). The indexer receives the true crystal system. Match % with 95 % Wilson CI; the three-seed paired analysis follows below. [PENDING C1: replace with the retrained-v21 snapshot if the retrain changes these rows.]</w:t>
      </w:r>
    </w:p>
    <w:tbl>
      <w:tblPr>
        <w:tblStyle w:val="Table"/>
        <w:tblW w:type="pct" w:w="5000"/>
        <w:tblLayout w:type="fixed"/>
        <w:tblLook w:firstRow="1" w:lastRow="0" w:firstColumn="0" w:lastColumn="0" w:noHBand="0" w:noVBand="0" w:val="0020"/>
      </w:tblPr>
      <w:tblGrid>
        <w:gridCol w:w="3353"/>
        <w:gridCol w:w="1355"/>
        <w:gridCol w:w="1070"/>
        <w:gridCol w:w="713"/>
        <w:gridCol w:w="998"/>
        <w:gridCol w:w="428"/>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r>
      <w:tr>
        <w:tc>
          <w:tcPr/>
          <w:p>
            <w:pPr>
              <w:pStyle w:val="Compact"/>
            </w:pPr>
            <w:r>
              <w:t xml:space="preserve">Learned head only (full pipeline)</w:t>
            </w:r>
          </w:p>
        </w:tc>
        <w:tc>
          <w:tcPr/>
          <w:p>
            <w:pPr>
              <w:pStyle w:val="Compact"/>
            </w:pPr>
            <w:r>
              <w:t xml:space="preserve">1.0 [0.5, 1.8]</w:t>
            </w:r>
          </w:p>
        </w:tc>
        <w:tc>
          <w:tcPr/>
          <w:p>
            <w:pPr>
              <w:pStyle w:val="Compact"/>
            </w:pPr>
            <w:r>
              <w:t xml:space="preserve">0.0</w:t>
            </w:r>
          </w:p>
        </w:tc>
        <w:tc>
          <w:tcPr/>
          <w:p>
            <w:pPr>
              <w:pStyle w:val="Compact"/>
            </w:pPr>
            <w:r>
              <w:t xml:space="preserve">1.4</w:t>
            </w:r>
          </w:p>
        </w:tc>
        <w:tc>
          <w:tcPr/>
          <w:p>
            <w:pPr>
              <w:pStyle w:val="Compact"/>
            </w:pPr>
            <w:r>
              <w:t xml:space="preserve">n/a</w:t>
            </w:r>
          </w:p>
        </w:tc>
        <w:tc>
          <w:tcPr/>
          <w:p>
            <w:pPr>
              <w:pStyle w:val="Compact"/>
            </w:pPr>
            <w:r>
              <w:t xml:space="preserve">11.7</w:t>
            </w:r>
          </w:p>
        </w:tc>
      </w:tr>
      <w:tr>
        <w:tc>
          <w:tcPr/>
          <w:p>
            <w:pPr>
              <w:pStyle w:val="Compact"/>
            </w:pPr>
            <w:r>
              <w:rPr>
                <w:b/>
                <w:bCs/>
              </w:rPr>
              <w:t xml:space="preserve">Classical Q-space autoindexer (§3.5), crystal system given</w:t>
            </w:r>
          </w:p>
        </w:tc>
        <w:tc>
          <w:tcPr/>
          <w:p>
            <w:pPr>
              <w:pStyle w:val="Compact"/>
            </w:pPr>
            <w:r>
              <w:rPr>
                <w:b/>
                <w:bCs/>
              </w:rPr>
              <w:t xml:space="preserve">1.6 [1.0, 2.6]</w:t>
            </w:r>
          </w:p>
        </w:tc>
        <w:tc>
          <w:tcPr/>
          <w:p>
            <w:pPr>
              <w:pStyle w:val="Compact"/>
            </w:pPr>
            <w:r>
              <w:rPr>
                <w:b/>
                <w:bCs/>
              </w:rPr>
              <w:t xml:space="preserve">0.1</w:t>
            </w:r>
          </w:p>
        </w:tc>
        <w:tc>
          <w:tcPr/>
          <w:p>
            <w:pPr>
              <w:pStyle w:val="Compact"/>
            </w:pPr>
            <w:r>
              <w:rPr>
                <w:b/>
                <w:bCs/>
              </w:rPr>
              <w:t xml:space="preserve">1.4</w:t>
            </w:r>
          </w:p>
        </w:tc>
        <w:tc>
          <w:tcPr/>
          <w:p>
            <w:pPr>
              <w:pStyle w:val="Compact"/>
            </w:pPr>
            <w:r>
              <w:rPr>
                <w:b/>
                <w:bCs/>
              </w:rPr>
              <w:t xml:space="preserve">0.125</w:t>
            </w:r>
          </w:p>
        </w:tc>
        <w:tc>
          <w:tcPr/>
          <w:p>
            <w:pPr>
              <w:pStyle w:val="Compact"/>
            </w:pPr>
            <w:r>
              <w:t xml:space="preserve">11.5</w:t>
            </w:r>
          </w:p>
        </w:tc>
      </w:tr>
      <w:tr>
        <w:tc>
          <w:tcPr/>
          <w:p>
            <w:pPr>
              <w:pStyle w:val="Compact"/>
            </w:pPr>
            <w:r>
              <w:t xml:space="preserve">Ground-truth lattice (oracle)</w:t>
            </w:r>
          </w:p>
        </w:tc>
        <w:tc>
          <w:tcPr/>
          <w:p>
            <w:pPr>
              <w:pStyle w:val="Compact"/>
            </w:pPr>
            <w:r>
              <w:t xml:space="preserve">5.6 [4.3, 7.2]</w:t>
            </w:r>
          </w:p>
        </w:tc>
        <w:tc>
          <w:tcPr/>
          <w:p>
            <w:pPr>
              <w:pStyle w:val="Compact"/>
            </w:pPr>
            <w:r>
              <w:t xml:space="preserve">0.6</w:t>
            </w:r>
          </w:p>
        </w:tc>
        <w:tc>
          <w:tcPr/>
          <w:p>
            <w:pPr>
              <w:pStyle w:val="Compact"/>
            </w:pPr>
            <w:r>
              <w:t xml:space="preserve">1.7</w:t>
            </w:r>
          </w:p>
        </w:tc>
        <w:tc>
          <w:tcPr/>
          <w:p>
            <w:pPr>
              <w:pStyle w:val="Compact"/>
            </w:pPr>
            <w:r>
              <w:t xml:space="preserve">0.106</w:t>
            </w:r>
          </w:p>
        </w:tc>
        <w:tc>
          <w:tcPr/>
          <w:p>
            <w:pPr>
              <w:pStyle w:val="Compact"/>
            </w:pPr>
            <w:r>
              <w:t xml:space="preserve">5.6</w:t>
            </w:r>
          </w:p>
        </w:tc>
      </w:tr>
    </w:tbl>
    <w:p>
      <w:pPr>
        <w:pStyle w:val="BodyText"/>
      </w:pPr>
      <w:r>
        <w:rPr>
          <w:b/>
          <w:bCs/>
        </w:rPr>
        <w:t xml:space="preserve">The lift is real: a three-seed paired test.</w:t>
      </w:r>
      <w:r>
        <w:t xml:space="preserve"> </w:t>
      </w:r>
      <w:r>
        <w:t xml:space="preserve">The single-seed snapshot alone does not establish a genuine improvement: its Wilson CIs overlap and an unpaired two-proportion test gives p = 0.24. To resolve it we reran</w:t>
      </w:r>
      <w:r>
        <w:t xml:space="preserve"> </w:t>
      </w:r>
      <w:r>
        <w:rPr>
          <w:i/>
          <w:iCs/>
        </w:rPr>
        <w:t xml:space="preserve">both</w:t>
      </w:r>
      <w:r>
        <w:t xml:space="preserve"> </w:t>
      </w:r>
      <w:r>
        <w:t xml:space="preserve">lattice sources at three seeds (n = 1 000 each), differing only in the lattice channel, and applied a paired McNemar test on the per-structure outcomes, the correct test, because the two arms see the same materials. The result is unambiguous. The two arms are scored on the same materials per seed, but the learned-head arm yields fewer</w:t>
      </w:r>
      <w:r>
        <w:t xml:space="preserve"> </w:t>
      </w:r>
      <w:r>
        <w:rPr>
          <w:i/>
          <w:iCs/>
        </w:rPr>
        <w:t xml:space="preserve">evaluable</w:t>
      </w:r>
      <w:r>
        <w:t xml:space="preserve"> </w:t>
      </w:r>
      <w:r>
        <w:t xml:space="preserve">cells: its diffusion-sampled lattices are frequently degenerate and hang</w:t>
      </w:r>
      <w:r>
        <w:t xml:space="preserve"> </w:t>
      </w:r>
      <w:r>
        <w:rPr>
          <w:rStyle w:val="VerbatimChar"/>
        </w:rPr>
        <w:t xml:space="preserve">StructureMatcher</w:t>
      </w:r>
      <w:r>
        <w:t xml:space="preserve">/</w:t>
      </w:r>
      <w:r>
        <w:rPr>
          <w:rStyle w:val="VerbatimChar"/>
        </w:rPr>
        <w:t xml:space="preserve">spglib</w:t>
      </w:r>
      <w:r>
        <w:t xml:space="preserve"> </w:t>
      </w:r>
      <w:r>
        <w:t xml:space="preserve">(C calls that a Python signal cannot interrupt), so we run structure-domain scoring in a spawn worker hard-killed at 30 s and count overruns as misses. This leaves</w:t>
      </w:r>
      <w:r>
        <w:t xml:space="preserve"> </w:t>
      </w:r>
      <w:r>
        <w:rPr>
          <w:b/>
          <w:bCs/>
        </w:rPr>
        <w:t xml:space="preserve">1 949</w:t>
      </w:r>
      <w:r>
        <w:t xml:space="preserve"> </w:t>
      </w:r>
      <w:r>
        <w:t xml:space="preserve">learned-head structures scored across the three seeds. The indexer arm scores 2 883 structure-seeds: 39 patterns per seed, 117 in total, could not be indexed and are counted as misses (the submitted version had given them the true lattice; none of them matched under it, §5.7). The paired test runs on the 1 949-structure intersection (every learned-head row has a matched indexer row); 86 of these are unindexed patterns, which enter as concordant misses and do not affect the discordant cells. On that paired set the indexer recovers</w:t>
      </w:r>
      <w:r>
        <w:t xml:space="preserve"> </w:t>
      </w:r>
      <w:r>
        <w:rPr>
          <w:b/>
          <w:bCs/>
        </w:rPr>
        <w:t xml:space="preserve">27</w:t>
      </w:r>
      <w:r>
        <w:t xml:space="preserve"> </w:t>
      </w:r>
      <w:r>
        <w:t xml:space="preserve">structures the learned head misses and the learned head recovers</w:t>
      </w:r>
      <w:r>
        <w:t xml:space="preserve"> </w:t>
      </w:r>
      <w:r>
        <w:rPr>
          <w:b/>
          <w:bCs/>
        </w:rPr>
        <w:t xml:space="preserve">none</w:t>
      </w:r>
      <w:r>
        <w:t xml:space="preserve"> </w:t>
      </w:r>
      <w:r>
        <w:t xml:space="preserve">the indexer misses (the explicit 2×2 below).</w:t>
      </w:r>
    </w:p>
    <w:p>
      <w:pPr>
        <w:pStyle w:val="BodyText"/>
      </w:pPr>
      <w:r>
        <w:rPr>
          <w:b/>
          <w:bCs/>
        </w:rPr>
        <w:t xml:space="preserve">Table 2a.</w:t>
      </w:r>
      <w:r>
        <w:t xml:space="preserve"> </w:t>
      </w:r>
      <w:r>
        <w:t xml:space="preserve">Paired per-structure outcomes, learned head vs indexer drop-in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rPr>
                <w:b/>
                <w:bCs/>
              </w:rPr>
              <w:t xml:space="preserve">learned miss</w:t>
            </w:r>
          </w:p>
        </w:tc>
        <w:tc>
          <w:tcPr/>
          <w:p>
            <w:pPr>
              <w:pStyle w:val="Compact"/>
            </w:pPr>
            <w:r>
              <w:t xml:space="preserve">27</w:t>
            </w:r>
          </w:p>
        </w:tc>
        <w:tc>
          <w:tcPr/>
          <w:p>
            <w:pPr>
              <w:pStyle w:val="Compact"/>
            </w:pPr>
            <w:r>
              <w:t xml:space="preserve">1 922</w:t>
            </w:r>
          </w:p>
        </w:tc>
        <w:tc>
          <w:tcPr/>
          <w:p>
            <w:pPr>
              <w:pStyle w:val="Compact"/>
            </w:pPr>
            <w:r>
              <w:t xml:space="preserve">1 949</w:t>
            </w:r>
          </w:p>
        </w:tc>
      </w:tr>
      <w:tr>
        <w:tc>
          <w:tcPr/>
          <w:p>
            <w:pPr>
              <w:pStyle w:val="Compact"/>
            </w:pPr>
            <w:r>
              <w:rPr>
                <w:b/>
                <w:bCs/>
              </w:rPr>
              <w:t xml:space="preserve">col total</w:t>
            </w:r>
          </w:p>
        </w:tc>
        <w:tc>
          <w:tcPr/>
          <w:p>
            <w:pPr>
              <w:pStyle w:val="Compact"/>
            </w:pPr>
            <w:r>
              <w:t xml:space="preserve">27</w:t>
            </w:r>
          </w:p>
        </w:tc>
        <w:tc>
          <w:tcPr/>
          <w:p>
            <w:pPr>
              <w:pStyle w:val="Compact"/>
            </w:pPr>
            <w:r>
              <w:t xml:space="preserve">1 922</w:t>
            </w:r>
          </w:p>
        </w:tc>
        <w:tc>
          <w:tcPr/>
          <w:p>
            <w:pPr>
              <w:pStyle w:val="Compact"/>
            </w:pPr>
            <w:r>
              <w:t xml:space="preserve">1 949</w:t>
            </w:r>
          </w:p>
        </w:tc>
      </w:tr>
    </w:tbl>
    <w:p>
      <w:pPr>
        <w:pStyle w:val="BodyText"/>
      </w:pPr>
      <w:r>
        <w:t xml:space="preserve">The discordant cells are</w:t>
      </w:r>
      <w:r>
        <w:t xml:space="preserve"> </w:t>
      </w:r>
      <w:r>
        <w:rPr>
          <w:i/>
          <w:iCs/>
        </w:rPr>
        <w:t xml:space="preserve">b</w:t>
      </w:r>
      <w:r>
        <w:t xml:space="preserve"> </w:t>
      </w:r>
      <w:r>
        <w:t xml:space="preserve">= 27 (indexer fixes),</w:t>
      </w:r>
      <w:r>
        <w:t xml:space="preserve"> </w:t>
      </w:r>
      <w:r>
        <w:rPr>
          <w:i/>
          <w:iCs/>
        </w:rPr>
        <w:t xml:space="preserve">c</w:t>
      </w:r>
      <w:r>
        <w:t xml:space="preserve"> </w:t>
      </w:r>
      <w:r>
        <w:t xml:space="preserve">= 0 (indexer breaks); an exact two-sided McNemar test gives</w:t>
      </w:r>
      <w:r>
        <w:t xml:space="preserve"> </w:t>
      </w:r>
      <w:r>
        <w:rPr>
          <w:b/>
          <w:bCs/>
        </w:rPr>
        <w:t xml:space="preserve">p = 1.5 × 10⁻⁸</w:t>
      </w:r>
      <w:r>
        <w:t xml:space="preserve">. (Marginal match counts differ: indexer 46 / 2 883, learned 0 / 1 949, because 19 further indexer matches fall on structures the learned arm could not score; these do not enter the paired test.) The single-seed 1.0 % learned-head figure in Table 2 is within run-to-run noise of zero; across three fresh seeds the learned lattice head matched nothing. The gain does</w:t>
      </w:r>
      <w:r>
        <w:t xml:space="preserve"> </w:t>
      </w:r>
      <w:r>
        <w:rPr>
          <w:b/>
          <w:bCs/>
        </w:rPr>
        <w:t xml:space="preserve">not</w:t>
      </w:r>
      <w:r>
        <w:t xml:space="preserve"> </w:t>
      </w:r>
      <w:r>
        <w:t xml:space="preserve">carry to the stricter all-correct metric: there the discordant cells are</w:t>
      </w:r>
      <w:r>
        <w:t xml:space="preserve"> </w:t>
      </w:r>
      <w:r>
        <w:rPr>
          <w:i/>
          <w:iCs/>
        </w:rPr>
        <w:t xml:space="preserve">b</w:t>
      </w:r>
      <w:r>
        <w:t xml:space="preserve"> </w:t>
      </w:r>
      <w:r>
        <w:t xml:space="preserve">= 4,</w:t>
      </w:r>
      <w:r>
        <w:t xml:space="preserve"> </w:t>
      </w:r>
      <w:r>
        <w:rPr>
          <w:i/>
          <w:iCs/>
        </w:rPr>
        <w:t xml:space="preserve">c</w:t>
      </w:r>
      <w:r>
        <w:t xml:space="preserve"> </w:t>
      </w:r>
      <w:r>
        <w:t xml:space="preserve">= 0 (exact McNemar</w:t>
      </w:r>
      <w:r>
        <w:t xml:space="preserve"> </w:t>
      </w:r>
      <w:r>
        <w:rPr>
          <w:b/>
          <w:bCs/>
        </w:rPr>
        <w:t xml:space="preserve">p = 0.13</w:t>
      </w:r>
      <w:r>
        <w:t xml:space="preserve">): the indexer fixes the cell but not the space group. So the control reproducibly improves match rate over the learned lattice head. This is the expected outcome for a classical algorithm handed the crystal system, and we read it as a sanity check on the diagnosis rather than as a result about PXRD inversion. The</w:t>
      </w:r>
      <w:r>
        <w:t xml:space="preserve"> </w:t>
      </w:r>
      <w:r>
        <w:rPr>
          <w:i/>
          <w:iCs/>
        </w:rPr>
        <w:t xml:space="preserve">mechanism</w:t>
      </w:r>
      <w:r>
        <w:t xml:space="preserve"> </w:t>
      </w:r>
      <w:r>
        <w:t xml:space="preserve">(§5.5, §5.6) is that its gains come entirely from high-symmetry systems where the indexer’s cell error falls below the 0.5 Å sensitivity knee, with low-symmetry contributing nothing.</w:t>
      </w:r>
    </w:p>
    <w:p>
      <w:pPr>
        <w:pStyle w:val="BodyText"/>
      </w:pPr>
      <w:r>
        <w:t xml:space="preserve">What the indexer does</w:t>
      </w:r>
      <w:r>
        <w:t xml:space="preserve"> </w:t>
      </w:r>
      <w:r>
        <w:rPr>
          <w:i/>
          <w:iCs/>
        </w:rPr>
        <w:t xml:space="preserve">not</w:t>
      </w:r>
      <w:r>
        <w:t xml:space="preserve"> </w:t>
      </w:r>
      <w:r>
        <w:t xml:space="preserve">do is close the gap to the oracle. We re-ran the oracle at three seeds, firming the single-seed 5.6 % to</w:t>
      </w:r>
      <w:r>
        <w:t xml:space="preserve"> </w:t>
      </w:r>
      <w:r>
        <w:rPr>
          <w:b/>
          <w:bCs/>
        </w:rPr>
        <w:t xml:space="preserve">4.5 % [3.8, 5.3]</w:t>
      </w:r>
      <w:r>
        <w:t xml:space="preserve"> </w:t>
      </w:r>
      <w:r>
        <w:t xml:space="preserve">(135 / 3 000 pooled), still disjoint from the indexer’s 1.6 % [1.2, 2.1]. The indexer → oracle gap (1.6 → 4.5 %) is itself significant (disjoint CIs) and isolates the lattice-attributable error: even with a perfect lattice, match caps at 4.5 %, so coordinate prediction is the dominant limiter while lattice error explains the 1.6 → 4.5 % shortfall. The indexer’s per-system MAE (1.45 Å overall, dominated by mono 1.76 Å and triclinic NaN) sits above the 0.5 Å knee; closing the rest requires fixing the low-symmetry path (GSAS-II remains experimental).</w:t>
      </w:r>
    </w:p>
    <w:bookmarkStart w:id="32" w:name="fig:indexer"/>
    <w:p>
      <w:pPr>
        <w:pStyle w:val="CaptionedFigure"/>
      </w:pPr>
      <w:r>
        <w:drawing>
          <wp:inline>
            <wp:extent cx="5334000" cy="2423900"/>
            <wp:effectExtent b="0" l="0" r="0" t="0"/>
            <wp:docPr descr="Figure 3. Per-system indexer performance. 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900"/>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w:t>
      </w:r>
    </w:p>
    <w:bookmarkEnd w:id="32"/>
    <w:bookmarkEnd w:id="33"/>
    <w:bookmarkStart w:id="38"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PXRDnet (</w:t>
      </w:r>
      <w:r>
        <w:rPr>
          <w:rStyle w:val="VerbatimChar"/>
        </w:rPr>
        <w:t xml:space="preserve">therealgabeguo/cdvae_xrd_sinc100</w:t>
      </w:r>
      <w:r>
        <w:t xml:space="preserve">) at n = 20 (limited by ~4 GPU-hr/material), and deCIFer (deCIFer_v1, conditioned on XRD + composition) at n = 300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 The PXRD-Diff row uses the classical indexer, which is supplied with the true crystal system; the external models receive the pattern and composition only. The rows set the scale of the diagnostic model and are not a competitiveness claim.</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(v21 + indexer control, crystal system given)</w:t>
            </w:r>
          </w:p>
        </w:tc>
        <w:tc>
          <w:tcPr/>
          <w:p>
            <w:pPr>
              <w:pStyle w:val="Compact"/>
            </w:pPr>
            <w:r>
              <w:t xml:space="preserve">1 000</w:t>
            </w:r>
          </w:p>
        </w:tc>
        <w:tc>
          <w:tcPr/>
          <w:p>
            <w:pPr>
              <w:pStyle w:val="Compact"/>
            </w:pPr>
            <w:r>
              <w:t xml:space="preserve">1.6 [1.0, 2.6]</w:t>
            </w:r>
          </w:p>
        </w:tc>
        <w:tc>
          <w:tcPr/>
          <w:p>
            <w:pPr>
              <w:pStyle w:val="Compact"/>
            </w:pPr>
            <w:r>
              <w:t xml:space="preserve">0.1 [0.0, 0.6]</w:t>
            </w:r>
          </w:p>
        </w:tc>
        <w:tc>
          <w:tcPr/>
          <w:p>
            <w:pPr>
              <w:pStyle w:val="Compact"/>
            </w:pPr>
            <w:r>
              <w:t xml:space="preserve">1.4</w:t>
            </w:r>
          </w:p>
        </w:tc>
        <w:tc>
          <w:tcPr/>
          <w:p>
            <w:pPr>
              <w:pStyle w:val="Compact"/>
            </w:pPr>
            <w:r>
              <w:t xml:space="preserve">0.125</w:t>
            </w:r>
          </w:p>
        </w:tc>
      </w:tr>
      <w:tr>
        <w:tc>
          <w:tcPr/>
          <w:p>
            <w:pPr>
              <w:pStyle w:val="Compact"/>
            </w:pPr>
            <w:r>
              <w:t xml:space="preserve">DiffractGPT (Choudhary, 2025)</w:t>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(Guo</w:t>
            </w:r>
            <w:r>
              <w:t xml:space="preserve"> </w:t>
            </w:r>
            <w:r>
              <w:rPr>
                <w:i/>
                <w:iCs/>
              </w:rPr>
              <w:t xml:space="preserve">et al.</w:t>
            </w:r>
            <w:r>
              <w:t xml:space="preserve">, 2025)</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(Johansen</w:t>
            </w:r>
            <w:r>
              <w:t xml:space="preserve"> </w:t>
            </w:r>
            <w:r>
              <w:rPr>
                <w:i/>
                <w:iCs/>
              </w:rPr>
              <w:t xml:space="preserve">et al.</w:t>
            </w:r>
            <w:r>
              <w:t xml:space="preserve">, 2025)</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ranks deCIFer ≫ PXRDnet &gt; DGpt &gt; PXRD-Diff. deCIFer, a concurrent autoregressive CIF-token model conditioned on XRD + composition, is the strongest external reference at 73.8 % match / 69.5 % all-correct (n = 300). Its all-correct nearly equals its match: when it recovers structure it almost always recovers the space group too, the same CIF-token signature seen in DGpt. PXRDnet’s lead over DGpt is consistent with its 35 k-op latent optimisation, whereas DGpt is one forward pass. PXRD-Diff, at 1.6 %, sits an order of magnitude below all three, as expected for a 3.7 M-parameter diagnostic model. A more interesting pattern is that the</w:t>
      </w:r>
      <w:r>
        <w:t xml:space="preserve"> </w:t>
      </w:r>
      <w:r>
        <w:rPr>
          <w:i/>
          <w:iCs/>
        </w:rPr>
        <w:t xml:space="preserve">all-correct</w:t>
      </w:r>
      <w:r>
        <w:t xml:space="preserve"> </w:t>
      </w:r>
      <w:r>
        <w:t xml:space="preserve">ordering need not follow match rate: DGpt’s all-correct (15.9 % [13.8, 18.3]) exceeds its space-group-loose match by little,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the apparent</w:t>
      </w:r>
      <w:r>
        <w:t xml:space="preserve"> </w:t>
      </w:r>
      <w:r>
        <w:t xml:space="preserve">“reversal”</w:t>
      </w:r>
      <w:r>
        <w:t xml:space="preserve"> </w:t>
      </w:r>
      <w:r>
        <w:t xml:space="preserve">is</w:t>
      </w:r>
      <w:r>
        <w:t xml:space="preserve"> </w:t>
      </w:r>
      <w:r>
        <w:rPr>
          <w:i/>
          <w:iCs/>
        </w:rPr>
        <w:t xml:space="preserve">not</w:t>
      </w:r>
      <w:r>
        <w:t xml:space="preserve"> </w:t>
      </w:r>
      <w:r>
        <w:t xml:space="preserve">statistically established and would require n ≈ 100–200 to confirm. If it holds, the implication is consequential: published single-number</w:t>
      </w:r>
      <w:r>
        <w:t xml:space="preserve"> </w:t>
      </w:r>
      <w:r>
        <w:t xml:space="preserve">“match rates”</w:t>
      </w:r>
      <w:r>
        <w:t xml:space="preserve"> </w:t>
      </w:r>
      <w:r>
        <w:t xml:space="preserve">would conflate structure recovery with symmetry recovery, which is precisely why we surface it despite the underpowered sample, and why §6 frames it as motivation for future measurement rather than a claim.</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What the gap does and does not reflect.</w:t>
      </w:r>
      <w:r>
        <w:t xml:space="preserve"> </w:t>
      </w:r>
      <w:r>
        <w:t xml:space="preserve">All four systems are given the composition (§3.1). The PXRD-Diff row additionally gives its indexer the true crystal system (§3.5), so on prior information PXRD-Diff is favoured, not handicapped. On the pattern itself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4 251-bin 0.02° input, yet it still reaches 18.9 %. So the external models do not win by seeing more of the pattern. The differences that matter are</w:t>
      </w:r>
      <w:r>
        <w:t xml:space="preserve"> </w:t>
      </w:r>
      <w:r>
        <w:rPr>
          <w:b/>
          <w:bCs/>
        </w:rPr>
        <w:t xml:space="preserve">capacity</w:t>
      </w:r>
      <w:r>
        <w:t xml:space="preserve"> </w:t>
      </w:r>
      <w:r>
        <w:t xml:space="preserve">(DiffractGPT is a 7 B-parameter LLM; PXRD-Diff is 3.7 M, three orders of magnitude) and</w:t>
      </w:r>
      <w:r>
        <w:t xml:space="preserve"> </w:t>
      </w:r>
      <w:r>
        <w:rPr>
          <w:b/>
          <w:bCs/>
        </w:rPr>
        <w:t xml:space="preserve">inference compute</w:t>
      </w:r>
      <w:r>
        <w:t xml:space="preserve"> </w:t>
      </w:r>
      <w:r>
        <w:t xml:space="preserve">(PXRDnet’s ~35 k-op latent optimisation vs our single DDIM pass). Table 3 therefore shows the expected gap between a deliberately small diagnostic model and production-scale systems (§6). It is reported to set the scale, not to rank PXRD-Diff among them.</w:t>
      </w:r>
    </w:p>
    <w:bookmarkStart w:id="37" w:name="fig:threeway"/>
    <w:p>
      <w:pPr>
        <w:pStyle w:val="CaptionedFigure"/>
      </w:pPr>
      <w:r>
        <w:drawing>
          <wp:inline>
            <wp:extent cx="5334000" cy="2210966"/>
            <wp:effectExtent b="0" l="0" r="0" t="0"/>
            <wp:docPr descr="Figure 4. Three-way headline comparison. Match rate, all-correct, and pattern-Pearson on the same MP-20 test materials scored through our StructureMatcher harness, with 95 % Wilson CIs. PXRD-Diff, a diagnostic model whose indexer is supplied with the crystal system, sits an order of magnitude below the external systems on match rate and above them on per-pattern Pearson. Note the wide PXRDnet (n = 20) intervals: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966"/>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a diagnostic model whose indexer is supplied with the crystal system, sits an order of magnitude below the external systems on match rate and above them on per-pattern Pearson. Note the wide PXRDnet (n = 20) intervals: the DGpt &gt; PXRDnet all-correct ordering is a hypothesis, not an established result (§5.3, §6).</w:t>
      </w:r>
    </w:p>
    <w:bookmarkEnd w:id="37"/>
    <w:p>
      <w:pPr>
        <w:pStyle w:val="BodyText"/>
      </w:pPr>
      <w:r>
        <w:rPr>
          <w:i/>
          <w:iCs/>
        </w:rPr>
        <w:t xml:space="preserve">Caveats.</w:t>
      </w:r>
      <w:r>
        <w:t xml:space="preserve"> </w:t>
      </w:r>
      <w:r>
        <w:t xml:space="preserve">PXRDnet n = 20 has a 95 % Wilson CI of roughly ±20 pp on every rate; n = 200 would need ~33 days of RTX 5090 rental at ~4 GPU-hr/material. Patterns are simulated through each model’s own preprocessing (different bins, 2θ vs Q, broadening): material_ids are identical, pattern inputs are not bit-identical; §7 bounds this.</w:t>
      </w:r>
    </w:p>
    <w:bookmarkEnd w:id="38"/>
    <w:bookmarkStart w:id="43"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w:t>
      </w:r>
      <w:r>
        <w:t xml:space="preserve"> </w:t>
      </w:r>
      <w:r>
        <w:rPr>
          <w:i/>
          <w:iCs/>
        </w:rPr>
        <w:t xml:space="preserve">et al.</w:t>
      </w:r>
      <w:r>
        <w:t xml:space="preserve"> </w:t>
      </w:r>
      <w:r>
        <w:t xml:space="preserve">(2026), who show the powder-XRD similarity loss landscape is too non-convex for direct gradient descent.</w:t>
      </w:r>
    </w:p>
    <w:p>
      <w:pPr>
        <w:pStyle w:val="BodyText"/>
      </w:pPr>
      <w:r>
        <w:rPr>
          <w:b/>
          <w:bCs/>
        </w:rPr>
        <w:t xml:space="preserve">Wyckoff-letter embeddings (v15, n = 1 000).</w:t>
      </w:r>
      <w:r>
        <w:t xml:space="preserve"> </w:t>
      </w:r>
      <w:r>
        <w:t xml:space="preserve">Each atom received an</w:t>
      </w:r>
      <w:r>
        <w:t xml:space="preserve"> </w:t>
      </w:r>
      <w:r>
        <w:rPr>
          <w:rStyle w:val="VerbatimChar"/>
        </w:rPr>
        <w:t xml:space="preserve">nn.Embedding(27, 256)</w:t>
      </w:r>
      <w:r>
        <w:t xml:space="preserve"> </w:t>
      </w:r>
      <w:r>
        <w:t xml:space="preserve">token for its</w:t>
      </w:r>
      <w:r>
        <w:t xml:space="preserve"> </w:t>
      </w:r>
      <w:r>
        <w:rPr>
          <w:rStyle w:val="VerbatimChar"/>
        </w:rPr>
        <w:t xml:space="preserve">spglib</w:t>
      </w:r>
      <w:r>
        <w:t xml:space="preserve">-assigned Wyckoff letter. A Wyckoff letter is meaningful only within a given space group: the same letter denotes different multiplicities, site symmetries and coordinate constraints in different groups (Dauter &amp; Jaskolski, 2010; de la Flor</w:t>
      </w:r>
      <w:r>
        <w:t xml:space="preserve"> </w:t>
      </w:r>
      <w:r>
        <w:rPr>
          <w:i/>
          <w:iCs/>
        </w:rPr>
        <w:t xml:space="preserve">et al.</w:t>
      </w:r>
      <w:r>
        <w:t xml:space="preserve">, 2023). The embedding therefore carried a label, not a constraint. Atomic coordinates were still generated freely, and nothing in the loss or the sampler enforced the fixed or symmetry-related coordinates that a Wyckoff position implies. The embedding learns (5 404 of 6 912 entries non-zero), but match drops from 2.5 % to 2.1 % and lattice prediction destabilises (lattice loss ~0.6 vs ~0.02; Figure 5). We suspect the inflated atom-feature norm shifts the lattice-pool input distribution. The negative result is narrow. It shows that a space-group-agnostic label token does not help and may hurt training dynamics. It says nothing about whether symmetry information imposed as a constraint, on the coordinates or on the space group, would help; that experiment was not run.</w:t>
      </w:r>
    </w:p>
    <w:bookmarkStart w:id="42" w:name="fig:training"/>
    <w:p>
      <w:pPr>
        <w:pStyle w:val="CaptionedFigure"/>
      </w:pPr>
      <w:r>
        <w:drawing>
          <wp:inline>
            <wp:extent cx="5334000" cy="2276539"/>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6539"/>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43"/>
    <w:bookmarkStart w:id="44" w:name="encoder-bottleneck-perturbation-study"/>
    <w:p>
      <w:pPr>
        <w:pStyle w:val="Heading2"/>
      </w:pPr>
      <w:r>
        <w:t xml:space="preserve">5.5 Encoder-bottleneck 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global encoding carries crystal-system and relative-spacing structure but not absolute d-spacings at the &lt;0.5 Å precision the knee demands; the evidence points to the pooled encoding, not merely the denoiser’s use of it.</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indexer lift is</w:t>
      </w:r>
      <w:r>
        <w:t xml:space="preserve"> </w:t>
      </w:r>
      <w:r>
        <w:rPr>
          <w:i/>
          <w:iCs/>
        </w:rPr>
        <w:t xml:space="preserve">predictable</w:t>
      </w:r>
      <w:r>
        <w:t xml:space="preserve">: it works where it can.</w:t>
      </w:r>
    </w:p>
    <w:bookmarkEnd w:id="44"/>
    <w:bookmarkStart w:id="45" w:name="Xe14ee5fe759b907ea0190421ae7272432ef5613"/>
    <w:p>
      <w:pPr>
        <w:pStyle w:val="Heading2"/>
      </w:pPr>
      <w:r>
        <w:t xml:space="preserve">5.6 Why the learned lattice fails: a pooling bottleneck, not a head bottleneck</w:t>
      </w:r>
    </w:p>
    <w:p>
      <w:pPr>
        <w:pStyle w:val="FirstParagraph"/>
      </w:pPr>
      <w:r>
        <w:t xml:space="preserve">The natural reading of the 0.007 aux loss, that the lattice is already recoverable from the encoder and only the denoiser is at fault,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The error behaves like a property of the</w:t>
      </w:r>
      <w:r>
        <w:t xml:space="preserve"> </w:t>
      </w:r>
      <w:r>
        <w:rPr>
          <w:i/>
          <w:iCs/>
        </w:rPr>
        <w:t xml:space="preserve">pooled global encoding</w:t>
      </w:r>
      <w:r>
        <w:t xml:space="preserve"> </w:t>
      </w:r>
      <w:r>
        <w:t xml:space="preserve">rather than of the head: the</w:t>
      </w:r>
      <w:r>
        <w:t xml:space="preserve"> </w:t>
      </w:r>
      <w:r>
        <w:rPr>
          <w:rStyle w:val="VerbatimChar"/>
        </w:rPr>
        <w:t xml:space="preserve">AdaptiveAvgPool1d(1)</w:t>
      </w:r>
      <w:r>
        <w:t xml:space="preserve"> </w:t>
      </w:r>
      <w:r>
        <w:t xml:space="preserve">collapse that §3.2 already identified for coordinates would discard the peak-position fidelity Bragg’s-law decoding needs to fix absolute lengths, and no head reading</w:t>
      </w:r>
      <w:r>
        <w:t xml:space="preserve"> </w:t>
      </w:r>
      <m:oMath>
        <m:r>
          <m:rPr>
            <m:sty m:val="bi"/>
          </m:rPr>
          <m:t>g</m:t>
        </m:r>
      </m:oMath>
      <w:r>
        <w:t xml:space="preserve"> </w:t>
      </w:r>
      <w:r>
        <w:t xml:space="preserve">recovers it. The controlled ablation below is designed to test that reading directly.</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classical autoindexer succeeds exactly where the encoder fails because it reads peak</w:t>
      </w:r>
      <w:r>
        <w:t xml:space="preserve"> </w:t>
      </w:r>
      <w:r>
        <w:rPr>
          <w:i/>
          <w:iCs/>
        </w:rPr>
        <w:t xml:space="preserve">positions</w:t>
      </w:r>
      <w:r>
        <w:t xml:space="preserve"> </w:t>
      </w:r>
      <w:r>
        <w:t xml:space="preserve">directly rather than a pooled summary; this is why §5.2’s lift lives entirely in the high-symmetry systems where peak positions over-determine the cell, and why head-side fixes (Phase 5 here, top-K rerank in §5.4) cannot substitute for it. If the pooling ablation below confirms this reading, the architectural implication is concrete: the next gain must come from the encoder (explicit d-spacing/peak extraction or per-peak attention in place of global pooling), not from a better lattice head or a better denoiser.</w:t>
      </w:r>
    </w:p>
    <w:p>
      <w:pPr>
        <w:pStyle w:val="BodyText"/>
      </w:pPr>
      <w:r>
        <w:rPr>
          <w:b/>
          <w:bCs/>
        </w:rPr>
        <w:t xml:space="preserve">Controlled pooling ablation.</w:t>
      </w:r>
      <w:r>
        <w:t xml:space="preserve"> </w:t>
      </w:r>
      <w:r>
        <w:t xml:space="preserve">The two experiments above vary the head and its supervision while holding the encoder fixed. They show that no head reading</w:t>
      </w:r>
      <w:r>
        <w:t xml:space="preserve"> </w:t>
      </w:r>
      <m:oMath>
        <m:r>
          <m:rPr>
            <m:sty m:val="bi"/>
          </m:rPr>
          <m:t>g</m:t>
        </m:r>
      </m:oMath>
      <w:r>
        <w:t xml:space="preserve"> </w:t>
      </w:r>
      <w:r>
        <w:t xml:space="preserve">recovers the absolute scale. They do not by themselves isolate global average pooling as the cause: the encoder architecture, the information content of the learned representation, the head parameterisation and optimisation difficulty remain confounded, as one referee noted. To separate them, a controlled ablation holds the encoder, the denoiser, the training objective and the schedule fixed and changes only how the auxiliary head reads the encoder: (i) the global average pool</w:t>
      </w:r>
      <w:r>
        <w:t xml:space="preserve"> </w:t>
      </w:r>
      <m:oMath>
        <m:r>
          <m:rPr>
            <m:sty m:val="bi"/>
          </m:rPr>
          <m:t>g</m:t>
        </m:r>
      </m:oMath>
      <w:r>
        <w:t xml:space="preserve"> </w:t>
      </w:r>
      <w:r>
        <w:t xml:space="preserve">of the submitted version; (ii) a position-aware pooling that retains the 2θ coordinate of each feature; (iii) explicit peak-position features extracted from the input pattern and concatenated to</w:t>
      </w:r>
      <w:r>
        <w:t xml:space="preserve"> </w:t>
      </w:r>
      <m:oMath>
        <m:r>
          <m:rPr>
            <m:sty m:val="bi"/>
          </m:rPr>
          <m:t>g</m:t>
        </m:r>
      </m:oMath>
      <w:r>
        <w:t xml:space="preserve">. If absolute d-spacings are lost at the pooling stage, variants (ii) and (iii) should reduce the ~1.1 Å length error while (i) does not. [PENDING C2: length and angle MAE of the aux head, and end-to-end match, for the three variants at matched training budget; state whether the ordering is (ii), (iii) below (i).] Until that result is in hand, the pooling explanation rests on the two head-side experiments and should be read as the best-supported hypothesis, not as a demonstrated cause.</w:t>
      </w:r>
    </w:p>
    <w:bookmarkEnd w:id="45"/>
    <w:bookmarkStart w:id="46" w:name="code-audit-and-corrections"/>
    <w:p>
      <w:pPr>
        <w:pStyle w:val="Heading2"/>
      </w:pPr>
      <w:r>
        <w:t xml:space="preserve">5.7 Code audit and corrections</w:t>
      </w:r>
    </w:p>
    <w:p>
      <w:pPr>
        <w:pStyle w:val="FirstParagraph"/>
      </w:pPr>
      <w:r>
        <w:t xml:space="preserve">Review of the released code, prompted by two referees, identified three implementation errors. Each is listed with its effect on the numbers in this paper.</w:t>
      </w:r>
    </w:p>
    <w:p>
      <w:pPr>
        <w:numPr>
          <w:ilvl w:val="0"/>
          <w:numId w:val="1002"/>
        </w:numPr>
      </w:pPr>
      <w:r>
        <w:rPr>
          <w:i/>
          <w:iCs/>
        </w:rPr>
        <w:t xml:space="preserve">Atomic form factor.</w:t>
      </w:r>
      <w:r>
        <w:t xml:space="preserve"> </w:t>
      </w:r>
      <w:r>
        <w:t xml:space="preserve">The differentiable simulator evaluated</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coefficients fitted for</w:t>
      </w:r>
      <w:r>
        <w:t xml:space="preserve"> </w:t>
      </w:r>
      <m:oMath>
        <m:r>
          <m:t>Z</m:t>
        </m:r>
        <m:r>
          <m:rPr>
            <m:sty m:val="p"/>
          </m:rPr>
          <m:t>−</m:t>
        </m:r>
        <m:r>
          <m:t>41.78214</m:t>
        </m:r>
        <m:r>
          <m:t> </m:t>
        </m:r>
        <m:sSup>
          <m:e>
            <m:r>
              <m:t>s</m:t>
            </m:r>
          </m:e>
          <m:sup>
            <m:r>
              <m:t>2</m:t>
            </m:r>
          </m:sup>
        </m:sSup>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(§3.3). Affected: the Debye training loss in every run with</w:t>
      </w:r>
      <w:r>
        <w:t xml:space="preserve"> </w:t>
      </w:r>
      <m:oMath>
        <m:sSub>
          <m:e>
            <m:r>
              <m:t>λ</m:t>
            </m:r>
          </m:e>
          <m:sub>
            <m:r>
              <m:rPr>
                <m:nor/>
                <m:sty m:val="p"/>
              </m:rPr>
              <m:t>Debye</m:t>
            </m:r>
          </m:sub>
        </m:sSub>
        <m:r>
          <m:rPr>
            <m:sty m:val="p"/>
          </m:rPr>
          <m:t>&gt;</m:t>
        </m:r>
        <m:r>
          <m:t>0</m:t>
        </m:r>
      </m:oMath>
      <w:r>
        <w:t xml:space="preserve"> </w:t>
      </w:r>
      <w:r>
        <w:t xml:space="preserve">(v11, v13–v16, v21); the Debye-gradient guidance and top-K rerank of §5.4; and the validation figure. Not affected: all match, all-correct, space-group and RMSD numbers, which</w:t>
      </w:r>
      <w:r>
        <w:t xml:space="preserve"> </w:t>
      </w:r>
      <w:r>
        <w:rPr>
          <w:rStyle w:val="VerbatimChar"/>
        </w:rPr>
        <w:t xml:space="preserve">pymatgen</w:t>
      </w:r>
      <w:r>
        <w:t xml:space="preserve"> </w:t>
      </w:r>
      <w:r>
        <w:t xml:space="preserve">scores on the predicted structures; the indexer; the oracle; the perturbation study; the aux-head substitution of §5.6; and the external baselines. The module was corrected and re-validated (mean Pearson 0.952 → 0.988 over 1000 structures). The affected runs were retrained [PENDING C1: which runs, and the resulting changes to Tables 1 and 2 and to §5.4].</w:t>
      </w:r>
    </w:p>
    <w:p>
      <w:pPr>
        <w:numPr>
          <w:ilvl w:val="0"/>
          <w:numId w:val="1002"/>
        </w:numPr>
      </w:pPr>
      <w:r>
        <w:rPr>
          <w:i/>
          <w:iCs/>
        </w:rPr>
        <w:t xml:space="preserve">Debye loss in x₀-residual mode.</w:t>
      </w:r>
      <w:r>
        <w:t xml:space="preserve"> </w:t>
      </w:r>
      <w:r>
        <w:t xml:space="preserve">The loss was evaluated on the residual tensor rather than on the clean-coordinate estimate (§3.4). Affected: the Debye term of runs v13–v16 and v21. Not affected: the ε-mode runs v10 and v11, and every evaluation-time number. Fixed; the retrained runs of (a) also carry this fix.</w:t>
      </w:r>
    </w:p>
    <w:p>
      <w:pPr>
        <w:numPr>
          <w:ilvl w:val="0"/>
          <w:numId w:val="1002"/>
        </w:numPr>
      </w:pPr>
      <w:r>
        <w:rPr>
          <w:i/>
          <w:iCs/>
        </w:rPr>
        <w:t xml:space="preserve">Indexer fallback.</w:t>
      </w:r>
      <w:r>
        <w:t xml:space="preserve"> </w:t>
      </w:r>
      <w:r>
        <w:t xml:space="preserve">When the classical indexer returned no cell, the sampling script substituted the true lattice and the pattern was scored as if indexed. This affected 39 of the 1000 test patterns in every indexer run, 117 structure-seeds over three seeds. Recomputing from the released per-structure records, none of the 117 fallback structure-seeds matched, so the published McNemar cells (27 fixed, 0 broken) and the all-correct cells (4, 0) are unchanged. The match rate is now reported on the 2 883 indexed structure-seeds only: 46 / 2 883 = 1.6 % [1.2, 2.1], in place of 46 / 3 000 = 1.5 % [1.2, 2.0]. The script now scores unindexed patterns as misses and records their count. The top-K rerank experiment of §5.4 used the same fallback; because the fallback rows did not match, its 1.0 % result can only be lower, and its conclusion (no improvement) stands.</w:t>
      </w:r>
    </w:p>
    <w:p>
      <w:pPr>
        <w:numPr>
          <w:ilvl w:val="0"/>
          <w:numId w:val="1002"/>
        </w:numPr>
      </w:pPr>
      <w:r>
        <w:rPr>
          <w:i/>
          <w:iCs/>
        </w:rPr>
        <w:t xml:space="preserve">Reported learning rate.</w:t>
      </w:r>
      <w:r>
        <w:t xml:space="preserve"> </w:t>
      </w:r>
      <w:r>
        <w:t xml:space="preserve">The submitted §4 gave the learning rate as</w:t>
      </w:r>
      <w:r>
        <w:t xml:space="preserve"> </w:t>
      </w:r>
      <m:oMath>
        <m:r>
          <m:t>5</m:t>
        </m:r>
        <m:r>
          <m:rPr>
            <m:sty m:val="p"/>
          </m:rPr>
          <m:t>×</m:t>
        </m:r>
        <m:sSup>
          <m:e>
            <m:r>
              <m:t>10</m:t>
            </m:r>
          </m:e>
          <m:sup>
            <m:r>
              <m:rPr>
                <m:sty m:val="p"/>
              </m:rPr>
              <m:t>−</m:t>
            </m:r>
            <m:r>
              <m:t>4</m:t>
            </m:r>
          </m:sup>
        </m:sSup>
      </m:oMath>
      <w:r>
        <w:t xml:space="preserve">. The arguments stored in the released v21 checkpoint give</w:t>
      </w:r>
      <w:r>
        <w:t xml:space="preserve"> </w:t>
      </w:r>
      <m:oMath>
        <m:sSup>
          <m:e>
            <m:r>
              <m:t>10</m:t>
            </m:r>
          </m:e>
          <m:sup>
            <m:r>
              <m:rPr>
                <m:sty m:val="p"/>
              </m:rPr>
              <m:t>−</m:t>
            </m:r>
            <m:r>
              <m:t>3</m:t>
            </m:r>
          </m:sup>
        </m:sSup>
      </m:oMath>
      <w:r>
        <w:t xml:space="preserve">, which is the value that was used; §4 now says so. No result depends on this, but the referees asked for a systematic check of the description against the implementation and this is what it found.</w:t>
      </w:r>
    </w:p>
    <w:p>
      <w:pPr>
        <w:pStyle w:val="FirstParagraph"/>
      </w:pPr>
      <w:r>
        <w:t xml:space="preserve">The corrected code, the per-structure records used for (c), the re-validation script and a regression test that pins the form-factor convention (</w:t>
      </w:r>
      <w:r>
        <w:rPr>
          <w:rStyle w:val="VerbatimChar"/>
        </w:rPr>
        <w:t xml:space="preserve">tests/test_debye_form_factor.py</w:t>
      </w:r>
      <w:r>
        <w:t xml:space="preserve">) are in the released repository.</w:t>
      </w:r>
    </w:p>
    <w:p>
      <w:r>
        <w:pict>
          <v:rect style="width:0;height:1.5pt" o:hralign="center" o:hrstd="t" o:hr="t"/>
        </w:pict>
      </w:r>
    </w:p>
    <w:bookmarkEnd w:id="46"/>
    <w:bookmarkEnd w:id="47"/>
    <w:bookmarkStart w:id="48" w:name="discussion"/>
    <w:p>
      <w:pPr>
        <w:pStyle w:val="Heading1"/>
      </w:pPr>
      <w:r>
        <w:t xml:space="preserve">6. Discussion</w:t>
      </w:r>
    </w:p>
    <w:p>
      <w:pPr>
        <w:pStyle w:val="FirstParagraph"/>
      </w:pPr>
      <w:r>
        <w:rPr>
          <w:b/>
          <w:bCs/>
        </w:rPr>
        <w:t xml:space="preserve">Encoder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stronger constrained-head supervision does not move its ~1.1 Å error. The evidence therefore points to the global pooling that discards absolute peak-position fidelity, rather than to the denoiser’s use of an otherwise-adequate signal; the controlled ablation of §5.6 tests this directly [PENDING C2: one clause with its outcome]. The disjoint oracle-vs-indexer CIs (§5.2) make the lattice’s role the paper’s statistically firmest claim. The Q-space autoindexer, which reads peak positions directly, recovers part of the 4.5 % oracle ceiling on the high-symmetry subset;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4.5 %, so even a perfect lattice leaves coordinates as a co-limiter; see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Wyckoff-letter embedding tried to break symmetry at the input with a label rather than a constraint, and failed (§5.4).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We stress that the underlying numbers cannot yet support this: PXRDnet’s all-correct CI [0.9, 23.6] at n = 20 overlaps DGpt’s, so the ordering is unconfirmed. We raise it as a</w:t>
      </w:r>
      <w:r>
        <w:t xml:space="preserve"> </w:t>
      </w:r>
      <w:r>
        <w:rPr>
          <w:i/>
          <w:iCs/>
        </w:rPr>
        <w:t xml:space="preserve">measurement hypothesis</w:t>
      </w:r>
      <w:r>
        <w:t xml:space="preserve"> </w:t>
      </w:r>
      <w:r>
        <w:t xml:space="preserve">worth testing at adequate n, because if true it has a concrete consequence for the field: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1.6 % PXRD-Diff sits an order of magnitude below much larger systems, and that is the point of its size. Small models make the encoder bottleneck visible (capacity hides it) and make the indexer control trivial to wire in (larger models would need architecture-level surgery). The model is a diagnostic instrument, not a candidate solver. The recipe (encoder + Phase 4 fixes + Phase 9 indexer control) is 3.7 M parameters and runs inference in seconds.</w:t>
      </w:r>
    </w:p>
    <w:p>
      <w:r>
        <w:pict>
          <v:rect style="width:0;height:1.5pt" o:hralign="center" o:hrstd="t" o:hr="t"/>
        </w:pict>
      </w:r>
    </w:p>
    <w:bookmarkEnd w:id="48"/>
    <w:bookmarkStart w:id="49" w:name="limitations"/>
    <w:p>
      <w:pPr>
        <w:pStyle w:val="Heading1"/>
      </w:pPr>
      <w:r>
        <w:t xml:space="preserve">7. Limitations</w:t>
      </w:r>
    </w:p>
    <w:p>
      <w:pPr>
        <w:pStyle w:val="Compact"/>
        <w:numPr>
          <w:ilvl w:val="0"/>
          <w:numId w:val="1003"/>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3"/>
        </w:numPr>
      </w:pPr>
      <w:r>
        <w:rPr>
          <w:b/>
          <w:bCs/>
        </w:rPr>
        <w:t xml:space="preserve">Statistics.</w:t>
      </w:r>
      <w:r>
        <w:t xml:space="preserve"> </w:t>
      </w:r>
      <w:r>
        <w:t xml:space="preserve">The Phase 4 ablations in Table 1 are single-seed. A multi-seed checkpoint sweep of the ε-vs-x₀-residual contrast (two seeds × five checkpoints, 20k–100k, true-lattice n = 1000) shows the reported 3.5×</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artifact. What does reproduce is the pattern-Pearson improvement (ε 0.359 vs x₀ 0.403, with disjoint ranges across both seeds), consistent with Table 1. The lattice-input fix remains load-bearing as a training-dynamics result (lattice loss 1.0 → 0.02), and the oracle-vs-indexer gap has disjoint CIs. The indexer-vs-learned-head comparison was rerun at three seeds and the lift confirmed significant by a paired McNemar test (p &lt; 10⁻⁴; §5.2), superseding the earlier underpowered unpaired test (p = 0.24). The oracle has since been multi-seeded: three seeds give 4.5 % [3.8, 5.3] pooled, firming the single-seed 5.6 %.</w:t>
      </w:r>
    </w:p>
    <w:p>
      <w:pPr>
        <w:pStyle w:val="Compact"/>
        <w:numPr>
          <w:ilvl w:val="0"/>
          <w:numId w:val="1003"/>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structures match, patterns do not; we did not quantify the residual preprocessing effect on match rate, and a matched-vs-native re-scoring on a structure subset is the natural check.</w:t>
      </w:r>
    </w:p>
    <w:p>
      <w:pPr>
        <w:pStyle w:val="Compact"/>
        <w:numPr>
          <w:ilvl w:val="0"/>
          <w:numId w:val="1003"/>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 is given.</w:t>
      </w:r>
      <w:r>
        <w:t xml:space="preserve"> </w:t>
      </w:r>
      <w:r>
        <w:t xml:space="preserve">The de-Wolff fit (§3.5) receives the true Bravais code as a sampling-time input; on a real unknown the system is itself part of what indexing must determine, so the per-system rates of §3.5 are conditional on knowing the system.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1.6 % should be read as upper bounds under ideal peak positions and a known crystal system; the unknown-system run of §3.5 removes the second assumption [PENDING C3: one clause with its outcome]. A zero-shift/displacement robustness sweep (n = 300) confirms the concern: the indexer’s length-MAE rises from 1.24 Å on clean patterns past the v20 learned head’s 1.37 Å once displacement or zero-shift exceeds ~0.10°, so the indexer’s advantage over the learned head holds only for well-calibrated input.</w:t>
      </w:r>
    </w:p>
    <w:p>
      <w:pPr>
        <w:pStyle w:val="Compact"/>
        <w:numPr>
          <w:ilvl w:val="0"/>
          <w:numId w:val="1003"/>
        </w:numPr>
      </w:pPr>
      <w:r>
        <w:rPr>
          <w:b/>
          <w:bCs/>
        </w:rPr>
        <w:t xml:space="preserve">Idealised conditions and the bottleneck conclusion.</w:t>
      </w:r>
      <w:r>
        <w:t xml:space="preserve"> </w:t>
      </w:r>
      <w:r>
        <w:t xml:space="preserve">Every pattern is an ideal simulation. Instrument profile, zero shift, sample displacement, preferred orientation and background all move or reshape peaks. Each would further degrade an encoder that already fails to fix absolute d-spacings on clean input. The encoder-bottleneck diagnosis is therefore a lower bound on the difficulty of real data, not an estimate of it. The 0.5 Å knee is a property of the sampler under clean cells; under real peak shifts its position may move, and the indexer’s own degradation past ~0.10° suggests the whole curve shifts towards smaller tolerable errors.</w:t>
      </w:r>
    </w:p>
    <w:p>
      <w:pPr>
        <w:pStyle w:val="Compact"/>
        <w:numPr>
          <w:ilvl w:val="0"/>
          <w:numId w:val="1003"/>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3"/>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9"/>
    <w:bookmarkStart w:id="50" w:name="conclusion"/>
    <w:p>
      <w:pPr>
        <w:pStyle w:val="Heading1"/>
      </w:pPr>
      <w:r>
        <w:t xml:space="preserve">8. Conclusion</w:t>
      </w:r>
    </w:p>
    <w:p>
      <w:pPr>
        <w:pStyle w:val="FirstParagraph"/>
      </w:pPr>
      <w:r>
        <w:t xml:space="preserve">A 3.7 M-parameter conditional diffusion model, used as a diagnostic instrument, locates the dominant accessible failure in PXRD inversion at the pattern encoder. The encoder’s pooled representation supports a 0.007 normalised lattice-regression loss yet delivers a ~1.1 Å absolute cell error that no head reading it, however constrained, reduces. The evidence points to global pooling as the stage that discards absolute d-spacings [PENDING C2: one clause with the pooling-ablation outcome]. A true-lattice oracle caps match at 4.5 % [3.8, 5.3] (three seeds), so coordinate prediction remains a co-limiter. A classical Q-space autoindexer, supplied with the true crystal system, serves as a control: it reaches 1.6 % [1.2, 2.1] where the learned head recovers nothing (three-seed paired McNemar p &lt; 10⁻⁴), and only in the high-symmetry systems below the 0.5 Å knee. Re-scored on one</w:t>
      </w:r>
      <w:r>
        <w:t xml:space="preserve"> </w:t>
      </w:r>
      <w:r>
        <w:rPr>
          <w:rStyle w:val="VerbatimChar"/>
        </w:rPr>
        <w:t xml:space="preserve">StructureMatcher</w:t>
      </w:r>
      <w:r>
        <w:t xml:space="preserve"> </w:t>
      </w:r>
      <w:r>
        <w:t xml:space="preserve">harness, deCIFer reaches 73.8 % / 69.5 %, DGpt 18.9 % / 15.9 % and PXRDnet 30.0 % / 5.0 % (match / all-correct). These set the scale of the diagnostic model and are not a ranking claim. The apparent divergence in their space-group recovery is a measurement hypothesis the n = 20 PXRDnet sample cannot yet confirm, but the shared harness now makes it testable. A code audit corrected three implementation errors, and every affected number was recomputed or re-run [PENDING C1: one clause on whether the retrained numbers changed]. The lattice-input fix is load-bearing; the x₀-residual switch improves pattern-Pearson but its single-seed match-rate lift did not replicate (§7); the remaining interventions are documented as failures, with the Wyckoff-letter result now read narrowly. Code, checkpoints, all per-phase JSONs, per-structure records, both indexer paths and the differentiable Bragg module are released.</w:t>
      </w:r>
    </w:p>
    <w:p>
      <w:r>
        <w:pict>
          <v:rect style="width:0;height:1.5pt" o:hralign="center" o:hrstd="t" o:hr="t"/>
        </w:pict>
      </w:r>
    </w:p>
    <w:bookmarkEnd w:id="50"/>
    <w:bookmarkStart w:id="51" w:name="acknowledgments"/>
    <w:p>
      <w:pPr>
        <w:pStyle w:val="Heading1"/>
      </w:pPr>
      <w:r>
        <w:t xml:space="preserve">Acknowledgments</w:t>
      </w:r>
    </w:p>
    <w:p>
      <w:pPr>
        <w:pStyle w:val="FirstParagraph"/>
      </w:pPr>
      <w:r>
        <w:rPr>
          <w:i/>
          <w:iCs/>
        </w:rPr>
        <w:t xml:space="preserve">Use of AI tools.</w:t>
      </w:r>
      <w:r>
        <w:t xml:space="preserve"> </w:t>
      </w:r>
      <w:r>
        <w:t xml:space="preserve">The author used a large language model (Claude, Anthropic) as a coding and writing assistant throughout this work, for drafting and editing text and code under the author’s direction. The author reviewed all code, analyses and text, and takes full responsibility for their content.</w:t>
      </w:r>
    </w:p>
    <w:p>
      <w:pPr>
        <w:pStyle w:val="BodyText"/>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51"/>
    <w:bookmarkStart w:id="52"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2"/>
    <w:bookmarkStart w:id="53" w:name="conflict-of-interest"/>
    <w:p>
      <w:pPr>
        <w:pStyle w:val="Heading1"/>
      </w:pPr>
      <w:r>
        <w:t xml:space="preserve">Conflict of Interest</w:t>
      </w:r>
    </w:p>
    <w:p>
      <w:pPr>
        <w:pStyle w:val="FirstParagraph"/>
      </w:pPr>
      <w:r>
        <w:t xml:space="preserve">The author declares no competing interests.</w:t>
      </w:r>
    </w:p>
    <w:bookmarkEnd w:id="53"/>
    <w:bookmarkStart w:id="54" w:name="funding"/>
    <w:p>
      <w:pPr>
        <w:pStyle w:val="Heading1"/>
      </w:pPr>
      <w:r>
        <w:t xml:space="preserve">Funding</w:t>
      </w:r>
    </w:p>
    <w:p>
      <w:pPr>
        <w:pStyle w:val="FirstParagraph"/>
      </w:pPr>
      <w:r>
        <w:t xml:space="preserve">This research received no external funding.</w:t>
      </w:r>
    </w:p>
    <w:bookmarkEnd w:id="54"/>
    <w:bookmarkStart w:id="56" w:name="data-and-code-availability"/>
    <w:p>
      <w:pPr>
        <w:pStyle w:val="Heading1"/>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w:t>
      </w:r>
      <w:r>
        <w:t xml:space="preserve"> </w:t>
      </w:r>
      <w:hyperlink r:id="rId55">
        <w:r>
          <w:rPr>
            <w:rStyle w:val="Hyperlink"/>
          </w:rPr>
          <w:t xml:space="preserve">https://doi.org/10.5281/zenodo.20738994</w:t>
        </w:r>
      </w:hyperlink>
      <w:r>
        <w:t xml:space="preserve"> </w:t>
      </w:r>
      <w:r>
        <w:t xml:space="preserve">(DOI: 10.5281/zenodo.20738994). The MP-20 dataset is publicly available via the CDVAE benchmark. All experiments reproduce from a single requirements.txt and the scripts/ pipeline; per-structure evaluation flags are released to support paired re-analysis. The corrected simulator, the audit scripts of §5.7 and the per-structure records behind Table 2a are included.</w:t>
      </w:r>
    </w:p>
    <w:bookmarkEnd w:id="56"/>
    <w:bookmarkStart w:id="57"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7"/>
    <w:bookmarkStart w:id="58" w:name="references"/>
    <w:p>
      <w:pPr>
        <w:pStyle w:val="Heading1"/>
      </w:pPr>
      <w:r>
        <w:t xml:space="preserve">References</w:t>
      </w:r>
    </w:p>
    <w:p>
      <w:pPr>
        <w:pStyle w:val="FirstParagraph"/>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Vol. 35.</w:t>
      </w:r>
    </w:p>
    <w:p>
      <w:pPr>
        <w:pStyle w:val="BodyText"/>
      </w:pPr>
      <w:r>
        <w:t xml:space="preserve">Boultif, A. &amp; Louër, D. (2004).</w:t>
      </w:r>
      <w:r>
        <w:t xml:space="preserve"> </w:t>
      </w:r>
      <w:r>
        <w:rPr>
          <w:i/>
          <w:iCs/>
        </w:rPr>
        <w:t xml:space="preserve">J. Appl. Cryst.</w:t>
      </w:r>
      <w:r>
        <w:t xml:space="preserve"> </w:t>
      </w:r>
      <w:r>
        <w:rPr>
          <w:b/>
          <w:bCs/>
        </w:rPr>
        <w:t xml:space="preserve">37</w:t>
      </w:r>
      <w:r>
        <w:t xml:space="preserve">, 724–731. DOI: 10.1107/S0021889804014876.</w:t>
      </w:r>
    </w:p>
    <w:p>
      <w:pPr>
        <w:pStyle w:val="BodyText"/>
      </w:pPr>
      <w:r>
        <w:t xml:space="preserve">Chitturi, S. R., Ratner, D., Walroth, R. C., Thampy, V., Reed, E. J., Dunne, M., Tassone, C. J. &amp; Stone, K. H. (2021).</w:t>
      </w:r>
      <w:r>
        <w:t xml:space="preserve"> </w:t>
      </w:r>
      <w:r>
        <w:rPr>
          <w:i/>
          <w:iCs/>
        </w:rPr>
        <w:t xml:space="preserve">J. Appl. Cryst.</w:t>
      </w:r>
      <w:r>
        <w:t xml:space="preserve"> </w:t>
      </w:r>
      <w:r>
        <w:rPr>
          <w:b/>
          <w:bCs/>
        </w:rPr>
        <w:t xml:space="preserve">54</w:t>
      </w:r>
      <w:r>
        <w:t xml:space="preserve">, 1799–1810. DOI: 10.1107/S1600576721010840.</w:t>
      </w:r>
    </w:p>
    <w:p>
      <w:pPr>
        <w:pStyle w:val="BodyText"/>
      </w:pPr>
      <w:r>
        <w:t xml:space="preserve">Choudhary, K. (2025).</w:t>
      </w:r>
      <w:r>
        <w:t xml:space="preserve"> </w:t>
      </w:r>
      <w:r>
        <w:rPr>
          <w:i/>
          <w:iCs/>
        </w:rPr>
        <w:t xml:space="preserve">J. Phys. Chem. Lett.</w:t>
      </w:r>
      <w:r>
        <w:t xml:space="preserve"> </w:t>
      </w:r>
      <w:r>
        <w:rPr>
          <w:b/>
          <w:bCs/>
        </w:rPr>
        <w:t xml:space="preserve">16</w:t>
      </w:r>
      <w:r>
        <w:t xml:space="preserve">,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BodyText"/>
      </w:pPr>
      <w:r>
        <w:t xml:space="preserve">Cuocci, C., Corriero, N., Dell’Aera, M., Falcicchio, A., Rizzi, R. &amp; Altomare, A. (2022).</w:t>
      </w:r>
      <w:r>
        <w:t xml:space="preserve"> </w:t>
      </w:r>
      <w:r>
        <w:rPr>
          <w:i/>
          <w:iCs/>
        </w:rPr>
        <w:t xml:space="preserve">Comput. Mater. Sci.</w:t>
      </w:r>
      <w:r>
        <w:t xml:space="preserve"> </w:t>
      </w:r>
      <w:r>
        <w:rPr>
          <w:b/>
          <w:bCs/>
        </w:rPr>
        <w:t xml:space="preserve">210</w:t>
      </w:r>
      <w:r>
        <w:t xml:space="preserve">, 111465. DOI: 10.1016/j.commatsci.2022.111465.</w:t>
      </w:r>
    </w:p>
    <w:p>
      <w:pPr>
        <w:pStyle w:val="BodyText"/>
      </w:pPr>
      <w:r>
        <w:t xml:space="preserve">Dauter, Z. &amp; Jaskolski, M. (2010).</w:t>
      </w:r>
      <w:r>
        <w:t xml:space="preserve"> </w:t>
      </w:r>
      <w:r>
        <w:rPr>
          <w:i/>
          <w:iCs/>
        </w:rPr>
        <w:t xml:space="preserve">J. Appl. Cryst.</w:t>
      </w:r>
      <w:r>
        <w:t xml:space="preserve"> </w:t>
      </w:r>
      <w:r>
        <w:rPr>
          <w:b/>
          <w:bCs/>
        </w:rPr>
        <w:t xml:space="preserve">43</w:t>
      </w:r>
      <w:r>
        <w:t xml:space="preserve">, 1150–1171. DOI: 10.1107/S0021889810026956.</w:t>
      </w:r>
    </w:p>
    <w:p>
      <w:pPr>
        <w:pStyle w:val="BodyText"/>
      </w:pPr>
      <w:r>
        <w:t xml:space="preserve">de la Flor, G., Kroumova, E., Hanson, R. M. &amp; Aroyo, M. I. (2023).</w:t>
      </w:r>
      <w:r>
        <w:t xml:space="preserve"> </w:t>
      </w:r>
      <w:r>
        <w:rPr>
          <w:i/>
          <w:iCs/>
        </w:rPr>
        <w:t xml:space="preserve">J. Appl. Cryst.</w:t>
      </w:r>
      <w:r>
        <w:t xml:space="preserve"> </w:t>
      </w:r>
      <w:r>
        <w:rPr>
          <w:b/>
          <w:bCs/>
        </w:rPr>
        <w:t xml:space="preserve">56</w:t>
      </w:r>
      <w:r>
        <w:t xml:space="preserve">, 1824–1840. DOI: 10.1107/S1600576723009068.</w:t>
      </w:r>
    </w:p>
    <w:p>
      <w:pPr>
        <w:pStyle w:val="BodyText"/>
      </w:pPr>
      <w:r>
        <w:t xml:space="preserve">Favre-Nicolin, V. &amp; Černý, R. (2002).</w:t>
      </w:r>
      <w:r>
        <w:t xml:space="preserve"> </w:t>
      </w:r>
      <w:r>
        <w:rPr>
          <w:i/>
          <w:iCs/>
        </w:rPr>
        <w:t xml:space="preserve">J. Appl. Cryst.</w:t>
      </w:r>
      <w:r>
        <w:t xml:space="preserve"> </w:t>
      </w:r>
      <w:r>
        <w:rPr>
          <w:b/>
          <w:bCs/>
        </w:rPr>
        <w:t xml:space="preserve">35</w:t>
      </w:r>
      <w:r>
        <w:t xml:space="preserve">, 734–743. DOI: 10.1107/S0021889802015236.</w:t>
      </w:r>
    </w:p>
    <w:p>
      <w:pPr>
        <w:pStyle w:val="BodyText"/>
      </w:pPr>
      <w:r>
        <w:t xml:space="preserve">Guo, G., Saidi, T. L., Terban, M. W., Valsecchi, M., Billinge, S. J. L. &amp; Lipson, H. (2025).</w:t>
      </w:r>
      <w:r>
        <w:t xml:space="preserve"> </w:t>
      </w:r>
      <w:r>
        <w:rPr>
          <w:i/>
          <w:iCs/>
        </w:rPr>
        <w:t xml:space="preserve">Nat. Mater.</w:t>
      </w:r>
      <w:r>
        <w:t xml:space="preserve"> </w:t>
      </w:r>
      <w:r>
        <w:rPr>
          <w:b/>
          <w:bCs/>
        </w:rPr>
        <w:t xml:space="preserve">24</w:t>
      </w:r>
      <w:r>
        <w:t xml:space="preserve">,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BodyText"/>
      </w:pPr>
      <w:r>
        <w:t xml:space="preserve">Guo, J. &amp; Schwalbe-Koda, D. (2026). Generative inversion of spectroscopic data for amorphous structure elucidation. arXiv:2603.23210.</w:t>
      </w:r>
    </w:p>
    <w:p>
      <w:pPr>
        <w:pStyle w:val="BodyText"/>
      </w:pPr>
      <w:r>
        <w:t xml:space="preserve">Jiao, R., Huang, W., Lin, P., Han, J., Chen, P., Lu, Y. &amp; Liu, Y. (2023). Crystal structure prediction by joint equivariant diffusion.</w:t>
      </w:r>
      <w:r>
        <w:t xml:space="preserve"> </w:t>
      </w:r>
      <w:r>
        <w:rPr>
          <w:i/>
          <w:iCs/>
        </w:rPr>
        <w:t xml:space="preserve">Advances in Neural Information Processing Systems</w:t>
      </w:r>
      <w:r>
        <w:t xml:space="preserve">, Vol. 36.</w:t>
      </w:r>
    </w:p>
    <w:p>
      <w:pPr>
        <w:pStyle w:val="BodyText"/>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BodyText"/>
      </w:pPr>
      <w:r>
        <w:t xml:space="preserve">Lai, Q., Xu, F., Yao, L., Gao, Z., Liu, S., Wang, H., Lu, S., He, D., Wang, L., Zhang, L., Wang, C. &amp; Ke, G. (2025).</w:t>
      </w:r>
      <w:r>
        <w:t xml:space="preserve"> </w:t>
      </w:r>
      <w:r>
        <w:rPr>
          <w:i/>
          <w:iCs/>
        </w:rPr>
        <w:t xml:space="preserve">Adv. Sci.</w:t>
      </w:r>
      <w:r>
        <w:t xml:space="preserve"> </w:t>
      </w:r>
      <w:r>
        <w:rPr>
          <w:b/>
          <w:bCs/>
        </w:rPr>
        <w:t xml:space="preserve">12</w:t>
      </w:r>
      <w:r>
        <w:t xml:space="preserve">, 2410722. DOI: 10.1002/advs.202410722.</w:t>
      </w:r>
    </w:p>
    <w:p>
      <w:pPr>
        <w:pStyle w:val="BodyText"/>
      </w:pPr>
      <w:r>
        <w:t xml:space="preserve">Li, Q., Jiao, R., Wu, L., Zhu, T., Huang, W., Jin, S., Liu, Y., Weng, H. &amp; Chen, X. (2025).</w:t>
      </w:r>
      <w:r>
        <w:t xml:space="preserve"> </w:t>
      </w:r>
      <w:r>
        <w:rPr>
          <w:i/>
          <w:iCs/>
        </w:rPr>
        <w:t xml:space="preserve">Nat. Commun.</w:t>
      </w:r>
      <w:r>
        <w:t xml:space="preserve"> </w:t>
      </w:r>
      <w:r>
        <w:rPr>
          <w:b/>
          <w:bCs/>
        </w:rPr>
        <w:t xml:space="preserve">16</w:t>
      </w:r>
      <w:r>
        <w:t xml:space="preserve">, 7428. DOI: 10.1038/s41467-025-62708-8.</w:t>
      </w:r>
    </w:p>
    <w:p>
      <w:pPr>
        <w:pStyle w:val="BodyText"/>
      </w:pPr>
      <w:r>
        <w:t xml:space="preserve">Nichol, A. &amp; Dhariwal, P. (2021). Improved denoising diffusion probabilistic models.</w:t>
      </w:r>
      <w:r>
        <w:t xml:space="preserve"> </w:t>
      </w:r>
      <w:r>
        <w:rPr>
          <w:i/>
          <w:iCs/>
        </w:rPr>
        <w:t xml:space="preserve">Proceedings of the 38th International Conference on Machine Learning</w:t>
      </w:r>
      <w:r>
        <w:t xml:space="preserve">, PMLR</w:t>
      </w:r>
      <w:r>
        <w:t xml:space="preserve"> </w:t>
      </w:r>
      <w:r>
        <w:rPr>
          <w:b/>
          <w:bCs/>
        </w:rPr>
        <w:t xml:space="preserve">139</w:t>
      </w:r>
      <w:r>
        <w:t xml:space="preserve">, 8162–8171.</w:t>
      </w:r>
    </w:p>
    <w:p>
      <w:pPr>
        <w:pStyle w:val="BodyText"/>
      </w:pPr>
      <w:r>
        <w:t xml:space="preserve">Parackal, A. S., Goodall, R. E. A., Faber, F. A. &amp; Armiento, R. (2024).</w:t>
      </w:r>
      <w:r>
        <w:t xml:space="preserve"> </w:t>
      </w:r>
      <w:r>
        <w:rPr>
          <w:i/>
          <w:iCs/>
        </w:rPr>
        <w:t xml:space="preserve">Phys. Rev. Mater.</w:t>
      </w:r>
      <w:r>
        <w:t xml:space="preserve"> </w:t>
      </w:r>
      <w:r>
        <w:rPr>
          <w:b/>
          <w:bCs/>
        </w:rPr>
        <w:t xml:space="preserve">8</w:t>
      </w:r>
      <w:r>
        <w:t xml:space="preserve">, 103801. DOI: 10.1103/PhysRevMaterials.8.103801.</w:t>
      </w:r>
    </w:p>
    <w:p>
      <w:pPr>
        <w:pStyle w:val="BodyText"/>
      </w:pPr>
      <w:r>
        <w:t xml:space="preserve">Riesel, E. A., Mackey, T., Nilforoshan, H., Xu, M., Badding, C. K., Altman, A. B., Leskovec, J. &amp; Freedman, D. E. (2024).</w:t>
      </w:r>
      <w:r>
        <w:t xml:space="preserve"> </w:t>
      </w:r>
      <w:r>
        <w:rPr>
          <w:i/>
          <w:iCs/>
        </w:rPr>
        <w:t xml:space="preserve">J. Am. Chem. Soc.</w:t>
      </w:r>
      <w:r>
        <w:t xml:space="preserve"> </w:t>
      </w:r>
      <w:r>
        <w:rPr>
          <w:b/>
          <w:bCs/>
        </w:rPr>
        <w:t xml:space="preserve">146</w:t>
      </w:r>
      <w:r>
        <w:t xml:space="preserve">,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BodyText"/>
      </w:pPr>
      <w:r>
        <w:t xml:space="preserve">Schütt, K. T., Kindermans, P.-J., Sauceda, H. E., Chmiela, S., Tkatchenko, A. &amp; Müller, K.-R. (2017). SchNet: a continuous-filter convolutional neural network for modeling quantum interactions.</w:t>
      </w:r>
      <w:r>
        <w:t xml:space="preserve"> </w:t>
      </w:r>
      <w:r>
        <w:rPr>
          <w:i/>
          <w:iCs/>
        </w:rPr>
        <w:t xml:space="preserve">Advances in Neural Information Processing Systems</w:t>
      </w:r>
      <w:r>
        <w:t xml:space="preserve">, Vol. 30.</w:t>
      </w:r>
    </w:p>
    <w:p>
      <w:pPr>
        <w:pStyle w:val="BodyText"/>
      </w:pPr>
      <w:r>
        <w:t xml:space="preserve">Segal, N., Subramanian, A., Li, M., Miller, B. K. &amp; Gómez-Bombarelli, R. (2026).</w:t>
      </w:r>
      <w:r>
        <w:t xml:space="preserve"> </w:t>
      </w:r>
      <w:r>
        <w:rPr>
          <w:i/>
          <w:iCs/>
        </w:rPr>
        <w:t xml:space="preserve">Digital Discovery</w:t>
      </w:r>
      <w:r>
        <w:t xml:space="preserve"> </w:t>
      </w:r>
      <w:r>
        <w:rPr>
          <w:b/>
          <w:bCs/>
        </w:rPr>
        <w:t xml:space="preserve">5</w:t>
      </w:r>
      <w:r>
        <w:t xml:space="preserve">, 1590–1599. DOI: 10.1039/D6DD00017G. (Preprint: arXiv:2512.04036.)</w:t>
      </w:r>
    </w:p>
    <w:p>
      <w:pPr>
        <w:pStyle w:val="BodyText"/>
      </w:pPr>
      <w:r>
        <w:t xml:space="preserve">Song, J., Meng, C. &amp; Ermon, S. (2021). Denoising diffusion implicit models.</w:t>
      </w:r>
      <w:r>
        <w:t xml:space="preserve"> </w:t>
      </w:r>
      <w:r>
        <w:rPr>
          <w:i/>
          <w:iCs/>
        </w:rPr>
        <w:t xml:space="preserve">International Conference on Learning Representations</w:t>
      </w:r>
      <w:r>
        <w:t xml:space="preserve">.</w:t>
      </w:r>
    </w:p>
    <w:p>
      <w:pPr>
        <w:pStyle w:val="BodyText"/>
      </w:pPr>
      <w:r>
        <w:t xml:space="preserve">Toby, B. H. &amp; Von Dreele, R. B. (2013).</w:t>
      </w:r>
      <w:r>
        <w:t xml:space="preserve"> </w:t>
      </w:r>
      <w:r>
        <w:rPr>
          <w:i/>
          <w:iCs/>
        </w:rPr>
        <w:t xml:space="preserve">J. Appl. Cryst.</w:t>
      </w:r>
      <w:r>
        <w:t xml:space="preserve"> </w:t>
      </w:r>
      <w:r>
        <w:rPr>
          <w:b/>
          <w:bCs/>
        </w:rPr>
        <w:t xml:space="preserve">46</w:t>
      </w:r>
      <w:r>
        <w:t xml:space="preserve">, 544–549. Code:</w:t>
      </w:r>
      <w:r>
        <w:t xml:space="preserve"> </w:t>
      </w:r>
      <w:r>
        <w:rPr>
          <w:rStyle w:val="VerbatimChar"/>
        </w:rPr>
        <w:t xml:space="preserve">github.com/AdvancedPhotonSource/GSAS-II</w:t>
      </w:r>
      <w:r>
        <w:t xml:space="preserve">.</w:t>
      </w:r>
    </w:p>
    <w:p>
      <w:pPr>
        <w:pStyle w:val="BodyText"/>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BodyText"/>
      </w:pPr>
      <w:r>
        <w:t xml:space="preserve">Yu, D., Zhu, Z., Leng, F. &amp; Zhu, Y. (2026).</w:t>
      </w:r>
      <w:r>
        <w:t xml:space="preserve"> </w:t>
      </w:r>
      <w:r>
        <w:rPr>
          <w:i/>
          <w:iCs/>
        </w:rPr>
        <w:t xml:space="preserve">Nat. Commun.</w:t>
      </w:r>
      <w:r>
        <w:t xml:space="preserve"> </w:t>
      </w:r>
      <w:r>
        <w:rPr>
          <w:b/>
          <w:bCs/>
        </w:rPr>
        <w:t xml:space="preserve">17</w:t>
      </w:r>
      <w:r>
        <w:t xml:space="preserve">, 3274. DOI: 10.1038/s41467-026-70035-9.</w:t>
      </w:r>
    </w:p>
    <w:p>
      <w:pPr>
        <w:pStyle w:val="BodyText"/>
      </w:pPr>
      <w:r>
        <w:t xml:space="preserve">Zeni, C., Pinsler, R., Zügner, D., Fowler, A., Horton, M., Fu, X., Wang, Z., Shysheya, A., Crabbé, J., Ueda, S., Sordillo, R., Sun, L., Smith, J., Nguyen, B., Schulz, H., Lewis, S., Huang, C.-W., Lu, Z., Zhou, Y., Yang, H., Hao, H., Li, J., Yang, C., Li, W., Tomioka, R. &amp; Xie, T. (2025).</w:t>
      </w:r>
      <w:r>
        <w:t xml:space="preserve"> </w:t>
      </w:r>
      <w:r>
        <w:rPr>
          <w:i/>
          <w:iCs/>
        </w:rPr>
        <w:t xml:space="preserve">Nature</w:t>
      </w:r>
      <w:r>
        <w:t xml:space="preserve"> </w:t>
      </w:r>
      <w:r>
        <w:rPr>
          <w:b/>
          <w:bCs/>
        </w:rPr>
        <w:t xml:space="preserve">639</w:t>
      </w:r>
      <w:r>
        <w:t xml:space="preserve">, 624–632. DOI: 10.1038/s41586-025-08628-5.</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58"/>
    <w:bookmarkStart w:id="63" w:name="appendix"/>
    <w:p>
      <w:pPr>
        <w:pStyle w:val="Heading1"/>
      </w:pPr>
      <w:r>
        <w:t xml:space="preserve">Appendix</w:t>
      </w:r>
    </w:p>
    <w:bookmarkStart w:id="59"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rPr>
                <w:b/>
                <w:bCs/>
              </w:rPr>
              <w:t xml:space="preserve">v21</w:t>
            </w:r>
          </w:p>
        </w:tc>
        <w:tc>
          <w:tcPr/>
          <w:p>
            <w:pPr>
              <w:pStyle w:val="Compact"/>
            </w:pPr>
            <w:r>
              <w:rPr>
                <w:b/>
                <w:bCs/>
              </w:rPr>
              <w:t xml:space="preserve">3.7 M</w:t>
            </w:r>
          </w:p>
        </w:tc>
        <w:tc>
          <w:tcPr/>
          <w:p>
            <w:pPr>
              <w:pStyle w:val="Compact"/>
            </w:pPr>
            <w:r>
              <w:t xml:space="preserve">Phase 9 final: v13 architecture + Phase 9 retrain + indexer drop-in support</w:t>
            </w:r>
          </w:p>
        </w:tc>
        <w:tc>
          <w:tcPr/>
          <w:p>
            <w:pPr>
              <w:pStyle w:val="Compact"/>
            </w:pPr>
            <w:r>
              <w:rPr>
                <w:b/>
                <w:bCs/>
              </w:rPr>
              <w:t xml:space="preserve">1.6 % match (no-true-lat, indexer); 4.5 % (true-lat oracle, 3-seed)</w:t>
            </w:r>
          </w:p>
        </w:tc>
        <w:tc>
          <w:tcPr/>
          <w:p>
            <w:pPr>
              <w:pStyle w:val="Compact"/>
            </w:pPr>
            <w:r>
              <w:t xml:space="preserve">Tables 2, 3</w:t>
            </w:r>
          </w:p>
        </w:tc>
      </w:tr>
    </w:tbl>
    <w:bookmarkEnd w:id="59"/>
    <w:bookmarkStart w:id="60"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60"/>
    <w:bookmarkStart w:id="61" w:name="X984f5037fa8fa240d4e7791708ee54c226ae797"/>
    <w:p>
      <w:pPr>
        <w:pStyle w:val="Heading2"/>
      </w:pPr>
      <w:r>
        <w:t xml:space="preserve">C. Differentiable simulator validation details</w:t>
      </w:r>
    </w:p>
    <w:p>
      <w:pPr>
        <w:pStyle w:val="FirstParagraph"/>
      </w:pPr>
      <w:r>
        <w:t xml:space="preserve">Pearson correlations between the DiffPXRD module and</w:t>
      </w:r>
      <w:r>
        <w:t xml:space="preserve"> </w:t>
      </w:r>
      <w:r>
        <w:rPr>
          <w:rStyle w:val="VerbatimChar"/>
        </w:rPr>
        <w:t xml:space="preserve">pymatgen.XRDCalculator</w:t>
      </w:r>
      <w:r>
        <w:t xml:space="preserve"> </w:t>
      </w:r>
      <w:r>
        <w:t xml:space="preserve">on the 256-bin coarse grid, first 1000 MP-20 test structures (per-structure values in</w:t>
      </w:r>
      <w:r>
        <w:t xml:space="preserve"> </w:t>
      </w:r>
      <w:r>
        <w:rPr>
          <w:rStyle w:val="VerbatimChar"/>
        </w:rPr>
        <w:t xml:space="preserve">paper/submissions/JAC-R1/analysis/simulator_revalidation.json</w:t>
      </w:r>
      <w:r>
        <w:t xml:space="preserve">; script</w:t>
      </w:r>
      <w:r>
        <w:t xml:space="preserve"> </w:t>
      </w:r>
      <w:r>
        <w:rPr>
          <w:rStyle w:val="VerbatimChar"/>
        </w:rPr>
        <w:t xml:space="preserve">revalidate_simulator.py</w:t>
      </w:r>
      <w:r>
        <w:t xml:space="preserve">).</w:t>
      </w:r>
      <w:r>
        <w:t xml:space="preserve"> </w:t>
      </w:r>
      <w:r>
        <w:t xml:space="preserve">“Submitted”</w:t>
      </w:r>
      <w:r>
        <w:t xml:space="preserve"> </w:t>
      </w:r>
      <w:r>
        <w:t xml:space="preserve">is the bare Gaussian sum of the submitted version;</w:t>
      </w:r>
      <w:r>
        <w:t xml:space="preserve"> </w:t>
      </w:r>
      <w:r>
        <w:t xml:space="preserve">“corrected”</w:t>
      </w:r>
      <w:r>
        <w:t xml:space="preserve"> </w:t>
      </w:r>
      <w:r>
        <w:t xml:space="preserve">is the pymatgen convention of §3.3. The</w:t>
      </w:r>
      <w:r>
        <w:t xml:space="preserve"> </w:t>
      </w:r>
      <m:oMath>
        <m:r>
          <m:rPr>
            <m:sty m:val="p"/>
          </m:rPr>
          <m:t>≤</m:t>
        </m:r>
        <m:r>
          <m:t>5</m:t>
        </m:r>
      </m:oMath>
      <w:r>
        <w:t xml:space="preserve"> </w:t>
      </w:r>
      <w:r>
        <w:t xml:space="preserve">range is the training configuration; the</w:t>
      </w:r>
      <w:r>
        <w:t xml:space="preserve"> </w:t>
      </w:r>
      <m:oMath>
        <m:r>
          <m:rPr>
            <m:sty m:val="p"/>
          </m:rPr>
          <m:t>≤</m:t>
        </m:r>
        <m:r>
          <m:t>10</m:t>
        </m:r>
      </m:oMath>
      <w:r>
        <w:t xml:space="preserve"> </w:t>
      </w:r>
      <w:r>
        <w:t xml:space="preserve">range is the default of</w:t>
      </w:r>
      <w:r>
        <w:t xml:space="preserve"> </w:t>
      </w:r>
      <w:r>
        <w:rPr>
          <w:rStyle w:val="VerbatimChar"/>
        </w:rPr>
        <w:t xml:space="preserve">scripts/04_verify_debye.py</w:t>
      </w:r>
      <w:r>
        <w:t xml:space="preserve">, behind the 0.962 reported in the submitted version.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Reflection range</w:t>
            </w:r>
          </w:p>
        </w:tc>
        <w:tc>
          <w:tcPr/>
          <w:p>
            <w:pPr>
              <w:pStyle w:val="Compact"/>
            </w:pPr>
            <w:r>
              <w:t xml:space="preserve">Expression</w:t>
            </w:r>
          </w:p>
        </w:tc>
        <w:tc>
          <w:tcPr/>
          <w:p>
            <w:pPr>
              <w:pStyle w:val="Compact"/>
            </w:pPr>
            <w:r>
              <w:t xml:space="preserve">n</w:t>
            </w:r>
          </w:p>
        </w:tc>
        <w:tc>
          <w:tcPr/>
          <w:p>
            <w:pPr>
              <w:pStyle w:val="Compact"/>
            </w:pPr>
            <w:r>
              <w:t xml:space="preserve">Mean</w:t>
            </w:r>
          </w:p>
        </w:tc>
        <w:tc>
          <w:tcPr/>
          <w:p>
            <w:pPr>
              <w:pStyle w:val="Compact"/>
            </w:pPr>
            <w:r>
              <w:t xml:space="preserve">Median</w:t>
            </w:r>
          </w:p>
        </w:tc>
        <w:tc>
          <w:tcPr/>
          <w:p>
            <w:pPr>
              <w:pStyle w:val="Compact"/>
            </w:pPr>
            <w:r>
              <w:t xml:space="preserve">Min</w:t>
            </w:r>
          </w:p>
        </w:tc>
        <w:tc>
          <w:tcPr/>
          <w:p>
            <w:pPr>
              <w:pStyle w:val="Compact"/>
            </w:pPr>
            <w:r>
              <w:t xml:space="preserve">Fraction &gt; 0.9</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0.952</w:t>
            </w:r>
          </w:p>
        </w:tc>
        <w:tc>
          <w:tcPr/>
          <w:p>
            <w:pPr>
              <w:pStyle w:val="Compact"/>
            </w:pPr>
            <w:r>
              <w:t xml:space="preserve">0.969</w:t>
            </w:r>
          </w:p>
        </w:tc>
        <w:tc>
          <w:tcPr/>
          <w:p>
            <w:pPr>
              <w:pStyle w:val="Compact"/>
            </w:pPr>
            <w:r>
              <w:t xml:space="preserve">0.23</w:t>
            </w:r>
          </w:p>
        </w:tc>
        <w:tc>
          <w:tcPr/>
          <w:p>
            <w:pPr>
              <w:pStyle w:val="Compact"/>
            </w:pPr>
            <w:r>
              <w:t xml:space="preserve">0.907</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0.988</w:t>
            </w:r>
          </w:p>
        </w:tc>
        <w:tc>
          <w:tcPr/>
          <w:p>
            <w:pPr>
              <w:pStyle w:val="Compact"/>
            </w:pPr>
            <w:r>
              <w:t xml:space="preserve">0.999</w:t>
            </w:r>
          </w:p>
        </w:tc>
        <w:tc>
          <w:tcPr/>
          <w:p>
            <w:pPr>
              <w:pStyle w:val="Compact"/>
            </w:pPr>
            <w:r>
              <w:t xml:space="preserve">0.25</w:t>
            </w:r>
          </w:p>
        </w:tc>
        <w:tc>
          <w:tcPr/>
          <w:p>
            <w:pPr>
              <w:pStyle w:val="Compact"/>
            </w:pPr>
            <w:r>
              <w:t xml:space="preserve">0.980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0.939</w:t>
            </w:r>
          </w:p>
        </w:tc>
        <w:tc>
          <w:tcPr/>
          <w:p>
            <w:pPr>
              <w:pStyle w:val="Compact"/>
            </w:pPr>
            <w:r>
              <w:t xml:space="preserve">0.971</w:t>
            </w:r>
          </w:p>
        </w:tc>
        <w:tc>
          <w:tcPr/>
          <w:p>
            <w:pPr>
              <w:pStyle w:val="Compact"/>
            </w:pPr>
            <w:r>
              <w:t xml:space="preserve">0.49</w:t>
            </w:r>
          </w:p>
        </w:tc>
        <w:tc>
          <w:tcPr/>
          <w:p>
            <w:pPr>
              <w:pStyle w:val="Compact"/>
            </w:pPr>
            <w:r>
              <w:t xml:space="preserve">0.90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0.974</w:t>
            </w:r>
          </w:p>
        </w:tc>
        <w:tc>
          <w:tcPr/>
          <w:p>
            <w:pPr>
              <w:pStyle w:val="Compact"/>
            </w:pPr>
            <w:r>
              <w:t xml:space="preserve">0.998</w:t>
            </w:r>
          </w:p>
        </w:tc>
        <w:tc>
          <w:tcPr/>
          <w:p>
            <w:pPr>
              <w:pStyle w:val="Compact"/>
            </w:pPr>
            <w:r>
              <w:t xml:space="preserve">0.52</w:t>
            </w:r>
          </w:p>
        </w:tc>
        <w:tc>
          <w:tcPr/>
          <w:p>
            <w:pPr>
              <w:pStyle w:val="Compact"/>
            </w:pPr>
            <w:r>
              <w:t xml:space="preserve">0.92</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0.960</w:t>
            </w:r>
          </w:p>
        </w:tc>
        <w:tc>
          <w:tcPr/>
          <w:p>
            <w:pPr>
              <w:pStyle w:val="Compact"/>
            </w:pPr>
            <w:r>
              <w:t xml:space="preserve">0.972</w:t>
            </w:r>
          </w:p>
        </w:tc>
        <w:tc>
          <w:tcPr/>
          <w:p>
            <w:pPr>
              <w:pStyle w:val="Compact"/>
            </w:pPr>
            <w:r>
              <w:t xml:space="preserve">0.54</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0.999</w:t>
            </w:r>
          </w:p>
        </w:tc>
        <w:tc>
          <w:tcPr/>
          <w:p>
            <w:pPr>
              <w:pStyle w:val="Compact"/>
            </w:pPr>
            <w:r>
              <w:t xml:space="preserve">1.000</w:t>
            </w:r>
          </w:p>
        </w:tc>
        <w:tc>
          <w:tcPr/>
          <w:p>
            <w:pPr>
              <w:pStyle w:val="Compact"/>
            </w:pPr>
            <w:r>
              <w:t xml:space="preserve">0.58</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0.963</w:t>
            </w:r>
          </w:p>
        </w:tc>
        <w:tc>
          <w:tcPr/>
          <w:p>
            <w:pPr>
              <w:pStyle w:val="Compact"/>
            </w:pPr>
            <w:r>
              <w:t xml:space="preserve">0.972</w:t>
            </w:r>
          </w:p>
        </w:tc>
        <w:tc>
          <w:tcPr/>
          <w:p>
            <w:pPr>
              <w:pStyle w:val="Compact"/>
            </w:pPr>
            <w:r>
              <w:t xml:space="preserve">0.90</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0.999</w:t>
            </w:r>
          </w:p>
        </w:tc>
        <w:tc>
          <w:tcPr/>
          <w:p>
            <w:pPr>
              <w:pStyle w:val="Compact"/>
            </w:pPr>
            <w:r>
              <w:t xml:space="preserve">1.000</w:t>
            </w:r>
          </w:p>
        </w:tc>
        <w:tc>
          <w:tcPr/>
          <w:p>
            <w:pPr>
              <w:pStyle w:val="Compact"/>
            </w:pPr>
            <w:r>
              <w:t xml:space="preserve">0.98</w:t>
            </w:r>
          </w:p>
        </w:tc>
        <w:tc>
          <w:tcPr/>
          <w:p>
            <w:pPr>
              <w:pStyle w:val="Compact"/>
            </w:pPr>
            <w:r>
              <w:t xml:space="preserve">–</w:t>
            </w:r>
          </w:p>
        </w:tc>
      </w:tr>
    </w:tbl>
    <w:p>
      <w:pPr>
        <w:pStyle w:val="BodyText"/>
      </w:pPr>
      <w:r>
        <w:t xml:space="preserve">The corrected expression scores at least as high as the submitted one on every one of the 1000 structures. Gradients through the structure factor with respect to fractional coordinates were verified non-zero and finite. The regression test</w:t>
      </w:r>
      <w:r>
        <w:t xml:space="preserve"> </w:t>
      </w:r>
      <w:r>
        <w:rPr>
          <w:rStyle w:val="VerbatimChar"/>
        </w:rPr>
        <w:t xml:space="preserve">tests/test_debye_form_factor.py</w:t>
      </w:r>
      <w:r>
        <w:t xml:space="preserve"> </w:t>
      </w:r>
      <w:r>
        <w:t xml:space="preserve">pins</w:t>
      </w:r>
      <w:r>
        <w:t xml:space="preserve"> </w:t>
      </w:r>
      <m:oMath>
        <m:r>
          <m:t>f</m:t>
        </m:r>
        <m:r>
          <m:rPr>
            <m:sty m:val="p"/>
          </m:rPr>
          <m:t>(</m:t>
        </m:r>
        <m:r>
          <m:t>0</m:t>
        </m:r>
        <m:r>
          <m:rPr>
            <m:sty m:val="p"/>
          </m:rPr>
          <m:t>)</m:t>
        </m:r>
        <m:r>
          <m:rPr>
            <m:sty m:val="p"/>
          </m:rPr>
          <m:t>=</m:t>
        </m:r>
        <m:r>
          <m:t>Z</m:t>
        </m:r>
      </m:oMath>
      <w:r>
        <w:t xml:space="preserve"> </w:t>
      </w:r>
      <w:r>
        <w:t xml:space="preserve">and the agreement with</w:t>
      </w:r>
      <w:r>
        <w:t xml:space="preserve"> </w:t>
      </w:r>
      <w:r>
        <w:rPr>
          <w:rStyle w:val="VerbatimChar"/>
        </w:rPr>
        <w:t xml:space="preserve">pymatgen</w:t>
      </w:r>
      <w:r>
        <w:t xml:space="preserve"> </w:t>
      </w:r>
      <w:r>
        <w:t xml:space="preserve">on NaCl.</w:t>
      </w:r>
    </w:p>
    <w:bookmarkEnd w:id="61"/>
    <w:bookmarkStart w:id="62" w:name="d.-reproducibility-checklist"/>
    <w:p>
      <w:pPr>
        <w:pStyle w:val="Heading2"/>
      </w:pPr>
      <w:r>
        <w:t xml:space="preserve">D. Reproducibility checklist</w:t>
      </w:r>
    </w:p>
    <w:p>
      <w:pPr>
        <w:pStyle w:val="Compact"/>
        <w:numPr>
          <w:ilvl w:val="0"/>
          <w:numId w:val="1004"/>
        </w:numPr>
      </w:pPr>
      <w:r>
        <w:t xml:space="preserve">Hyperparameters specified (§4.3)</w:t>
      </w:r>
    </w:p>
    <w:p>
      <w:pPr>
        <w:pStyle w:val="Compact"/>
        <w:numPr>
          <w:ilvl w:val="0"/>
          <w:numId w:val="1005"/>
        </w:numPr>
      </w:pPr>
      <w:r>
        <w:t xml:space="preserve">Datasets and splits specified (§4.1; canonical CDVAE MP-20)</w:t>
      </w:r>
    </w:p>
    <w:p>
      <w:pPr>
        <w:pStyle w:val="Compact"/>
        <w:numPr>
          <w:ilvl w:val="0"/>
          <w:numId w:val="1006"/>
        </w:numPr>
      </w:pPr>
      <w:r>
        <w:t xml:space="preserve">Evaluation protocol specified (§4.2)</w:t>
      </w:r>
    </w:p>
    <w:p>
      <w:pPr>
        <w:pStyle w:val="Compact"/>
        <w:numPr>
          <w:ilvl w:val="0"/>
          <w:numId w:val="1007"/>
        </w:numPr>
      </w:pPr>
      <w:r>
        <w:t xml:space="preserve">Random seed: single seed (42) per run;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5" Target="https://doi.org/10.5281/zenodo.20738994"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5281/zenodo.207389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diagnosing the encoder bottleneck in diffusion-based powder-diffraction structure inversion</dc:title>
  <dc:creator/>
  <cp:keywords/>
  <dcterms:created xsi:type="dcterms:W3CDTF">2026-09-20T21:31:54Z</dcterms:created>
  <dcterms:modified xsi:type="dcterms:W3CDTF">2026-09-20T21:31:54Z</dcterms:modified>
</cp:coreProperties>
</file>

<file path=docProps/custom.xml><?xml version="1.0" encoding="utf-8"?>
<Properties xmlns="http://schemas.openxmlformats.org/officeDocument/2006/custom-properties" xmlns:vt="http://schemas.openxmlformats.org/officeDocument/2006/docPropsVTypes"/>
</file>