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64.png" ContentType="image/png"/>
  <Override PartName="/word/media/rId32.png" ContentType="image/png"/>
  <Override PartName="/word/media/rId5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2ddac61a38ed9c25ada36f223803948c7dd92e7"/>
    <w:p>
      <w:pPr>
        <w:pStyle w:val="Heading1"/>
      </w:pPr>
      <w:r>
        <w:t xml:space="preserve">PXRD-Diff: Conditional Diffusion for Powder-Diffraction Inversion — an Encoder-Bottleneck Diagnosis and Shared-Harness Reproduction</w:t>
      </w:r>
    </w:p>
    <w:p>
      <w:pPr>
        <w:pStyle w:val="FirstParagraph"/>
      </w:pPr>
      <w:r>
        <w:rPr>
          <w:b/>
          <w:bCs/>
        </w:rPr>
        <w:t xml:space="preserve">Frank Cai</w:t>
      </w:r>
      <w:r>
        <w:t xml:space="preserve"> </w:t>
      </w:r>
      <w:r>
        <w:rPr>
          <w:rStyle w:val="VerbatimChar"/>
        </w:rPr>
        <w:t xml:space="preserve">frankyc11223@gmail.com</w:t>
      </w:r>
    </w:p>
    <w:p>
      <w:pPr>
        <w:pStyle w:val="BodyText"/>
      </w:pPr>
      <w:r>
        <w:rPr>
          <w:i/>
          <w:iCs/>
        </w:rPr>
        <w:t xml:space="preserve">Manuscript type: Article — methodological study with reproduction and negative results.</w:t>
      </w:r>
    </w:p>
    <w:p>
      <w:r>
        <w:pict>
          <v:rect style="width:0;height:1.5pt" o:hralign="center" o:hrstd="t" o:hr="t"/>
        </w:pict>
      </w:r>
    </w:p>
    <w:bookmarkStart w:id="11" w:name="abstract"/>
    <w:p>
      <w:pPr>
        <w:pStyle w:val="Heading2"/>
      </w:pPr>
      <w:r>
        <w:t xml:space="preserve">Abstract</w:t>
      </w:r>
    </w:p>
    <w:p>
      <w:pPr>
        <w:pStyle w:val="FirstParagraph"/>
      </w:pPr>
      <w:r>
        <w:t xml:space="preserve">Inverting a 1D powder X-ray diffraction (PXRD) pattern to a 3D crystal structure remains open, and recent generative approaches report numbers under mutually incompatible protocols with failure modes seldom catalogued. We present</w:t>
      </w:r>
      <w:r>
        <w:t xml:space="preserve"> </w:t>
      </w:r>
      <w:r>
        <w:rPr>
          <w:b/>
          <w:bCs/>
        </w:rPr>
        <w:t xml:space="preserve">PXRD-Diff</w:t>
      </w:r>
      <w:r>
        <w:t xml:space="preserve">, a 3.7 M-parameter conditional diffusion model on the CDVAE MP-20 split, and reproduce DiffractGPT</w:t>
      </w:r>
      <w:r>
        <w:t xml:space="preserve"> </w:t>
      </w:r>
      <w:r>
        <w:rPr>
          <w:rStyle w:val="FootnoteReference"/>
        </w:rPr>
        <w:footnoteReference w:id="9"/>
      </w:r>
      <w:r>
        <w:t xml:space="preserve"> </w:t>
      </w:r>
      <w:r>
        <w:t xml:space="preserve">and PXRDnet</w:t>
      </w:r>
      <w:r>
        <w:t xml:space="preserve"> </w:t>
      </w:r>
      <w:r>
        <w:rPr>
          <w:rStyle w:val="FootnoteReference"/>
        </w:rPr>
        <w:footnoteReference w:id="10"/>
      </w:r>
      <w:r>
        <w:t xml:space="preserve"> </w:t>
      </w:r>
      <w:r>
        <w:t xml:space="preserve">through the</w:t>
      </w:r>
      <w:r>
        <w:t xml:space="preserve"> </w:t>
      </w:r>
      <w:r>
        <w:rPr>
          <w:i/>
          <w:iCs/>
        </w:rPr>
        <w:t xml:space="preserve">same</w:t>
      </w:r>
      <w:r>
        <w:t xml:space="preserve"> </w:t>
      </w:r>
      <w:r>
        <w:rPr>
          <w:rStyle w:val="VerbatimChar"/>
        </w:rPr>
        <w:t xml:space="preserve">pymatgen.StructureMatcher</w:t>
      </w:r>
      <w:r>
        <w:t xml:space="preserve"> </w:t>
      </w:r>
      <w:r>
        <w:t xml:space="preserve">harness. Our central, statistically robust finding is a</w:t>
      </w:r>
      <w:r>
        <w:t xml:space="preserve"> </w:t>
      </w:r>
      <w:r>
        <w:rPr>
          <w:b/>
          <w:bCs/>
        </w:rPr>
        <w:t xml:space="preserve">mechanism</w:t>
      </w:r>
      <w:r>
        <w:t xml:space="preserve">: the learned PXRD encoder reaches a 0.007</w:t>
      </w:r>
      <w:r>
        <w:t xml:space="preserve"> </w:t>
      </w:r>
      <w:r>
        <w:rPr>
          <w:i/>
          <w:iCs/>
        </w:rPr>
        <w:t xml:space="preserve">normalised</w:t>
      </w:r>
      <w:r>
        <w:t xml:space="preserve"> </w:t>
      </w:r>
      <w:r>
        <w:t xml:space="preserve">auxiliary lattice-regression loss in isolation, but that relative fit does not survive conversion to absolute scale — substituting the auxiliary head’s own lattice into the sampler recovers only 1.2 %, because its ~1.1 Å length error shifts every Bragg peak by ~15 % and collapses pattern agreement. The bottleneck is the global pooling that discards absolute peak positions, not the denoiser alone: neither the pooled encoding nor the denoiser fixes the lattice from scratch. A perturbation study locates a sharp sensitivity knee at ~0.5 Å cell error, and a true-lattice oracle lifts match from</w:t>
      </w:r>
      <w:r>
        <w:t xml:space="preserve"> </w:t>
      </w:r>
      <w:r>
        <w:rPr>
          <w:b/>
          <w:bCs/>
        </w:rPr>
        <w:t xml:space="preserve">1.6 % to 5.6 %</w:t>
      </w:r>
      <w:r>
        <w:t xml:space="preserve"> </w:t>
      </w:r>
      <w:r>
        <w:t xml:space="preserve">at n = 1000; the 95 % Wilson confidence intervals ([1.0, 2.6] vs [4.3, 7.2]) do not overlap, so the gap is real. Replacing the learned lattice head with a classical Q-space autoindexer (de-Wolff dichotomy) raises no-true-lattice match to 1.5 % [1.2, 2.0] (three-seed pooled) from a learned-head baseline that recovers essentially nothing (0 / 1 949). A</w:t>
      </w:r>
      <w:r>
        <w:t xml:space="preserve"> </w:t>
      </w:r>
      <w:r>
        <w:rPr>
          <w:b/>
          <w:bCs/>
        </w:rPr>
        <w:t xml:space="preserve">paired McNemar test across three seeds confirms the improvement is significant</w:t>
      </w:r>
      <w:r>
        <w:t xml:space="preserve"> </w:t>
      </w:r>
      <w:r>
        <w:t xml:space="preserve">(p &lt; 10⁻⁴; 27 structures fixed, none broken) — an earlier unpaired test (p = 0.24) was simply underpowered. The gain is concentrated in the high-symmetry systems where the indexer’s cell error sits below the 0.5 Å knee. Reproduced baselines on our harness:</w:t>
      </w:r>
      <w:r>
        <w:t xml:space="preserve"> </w:t>
      </w:r>
      <w:r>
        <w:rPr>
          <w:b/>
          <w:bCs/>
        </w:rPr>
        <w:t xml:space="preserve">DiffractGPT 18.9 %</w:t>
      </w:r>
      <w:r>
        <w:t xml:space="preserve"> </w:t>
      </w:r>
      <w:r>
        <w:t xml:space="preserve">match (15.9 % all-correct) at n = 1000,</w:t>
      </w:r>
      <w:r>
        <w:t xml:space="preserve"> </w:t>
      </w:r>
      <w:r>
        <w:rPr>
          <w:b/>
          <w:bCs/>
        </w:rPr>
        <w:t xml:space="preserve">PXRDnet sinc100 30.0 %</w:t>
      </w:r>
      <w:r>
        <w:t xml:space="preserve"> </w:t>
      </w:r>
      <w:r>
        <w:t xml:space="preserve">match (5.0 % all-correct) at n = 20. PXRD-Diff is 12–19× behind on raw match rate. We note a striking</w:t>
      </w:r>
      <w:r>
        <w:t xml:space="preserve"> </w:t>
      </w:r>
      <w:r>
        <w:rPr>
          <w:i/>
          <w:iCs/>
        </w:rPr>
        <w:t xml:space="preserve">candidate</w:t>
      </w:r>
      <w:r>
        <w:t xml:space="preserve"> </w:t>
      </w:r>
      <w:r>
        <w:t xml:space="preserve">discrepancy, in which DiffractGPT recovers far more space groups (all-correct) than PXRDnet despite a lower match rate, but flag it as a hypothesis rather than a result: at n = 20 the PXRDnet all-correct CI is [0.9, 23.6] and cannot support the comparison. The contributions that</w:t>
      </w:r>
      <w:r>
        <w:t xml:space="preserve"> </w:t>
      </w:r>
      <w:r>
        <w:rPr>
          <w:i/>
          <w:iCs/>
        </w:rPr>
        <w:t xml:space="preserve">do</w:t>
      </w:r>
      <w:r>
        <w:t xml:space="preserve"> </w:t>
      </w:r>
      <w:r>
        <w:t xml:space="preserve">hold are the encoder-bottleneck diagnosis, the indexer drop-in, the four-extension failure catalogue (top-K rerank, Debye guidance, Wyckoff embeddings, distance-aux), and the shared evaluation harness itself. Code, checkpoints, per-phase JSONs, and the differentiable Bragg simulator are released.</w:t>
      </w:r>
    </w:p>
    <w:p>
      <w:pPr>
        <w:pStyle w:val="BodyText"/>
      </w:pPr>
      <w:r>
        <w:rPr>
          <w:b/>
          <w:bCs/>
        </w:rPr>
        <w:t xml:space="preserve">Keywords:</w:t>
      </w:r>
      <w:r>
        <w:t xml:space="preserve"> </w:t>
      </w:r>
      <w:r>
        <w:t xml:space="preserve">powder X-ray diffraction; crystal-structure prediction; denoising diffusion; classical autoindexing; differentiable physics; ablation study; negative results</w:t>
      </w:r>
    </w:p>
    <w:p>
      <w:r>
        <w:pict>
          <v:rect style="width:0;height:1.5pt" o:hralign="center" o:hrstd="t" o:hr="t"/>
        </w:pict>
      </w:r>
    </w:p>
    <w:bookmarkEnd w:id="11"/>
    <w:bookmarkStart w:id="16" w:name="introduction"/>
    <w:p>
      <w:pPr>
        <w:pStyle w:val="Heading2"/>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 DiffractGPT</w:t>
      </w:r>
      <w:r>
        <w:t xml:space="preserve"> </w:t>
      </w:r>
      <w:r>
        <w:rPr>
          <w:rStyle w:val="FootnoteReference"/>
        </w:rPr>
        <w:footnoteReference w:id="12"/>
      </w:r>
      <w:r>
        <w:t xml:space="preserve">, Crystalyze</w:t>
      </w:r>
      <w:r>
        <w:t xml:space="preserve"> </w:t>
      </w:r>
      <w:r>
        <w:rPr>
          <w:rStyle w:val="FootnoteReference"/>
        </w:rPr>
        <w:footnoteReference w:id="13"/>
      </w:r>
      <w:r>
        <w:t xml:space="preserve">, PXRDnet</w:t>
      </w:r>
      <w:r>
        <w:t xml:space="preserve"> </w:t>
      </w:r>
      <w:r>
        <w:rPr>
          <w:rStyle w:val="FootnoteReference"/>
        </w:rPr>
        <w:footnoteReference w:id="14"/>
      </w:r>
      <w:r>
        <w:t xml:space="preserve"> </w:t>
      </w:r>
      <w:r>
        <w:t xml:space="preserve">—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t xml:space="preserve"> </w:t>
      </w:r>
      <w:r>
        <w:rPr>
          <w:b/>
          <w:bCs/>
        </w:rPr>
        <w:t xml:space="preserve">PXRD-Diff</w:t>
      </w:r>
      <w:r>
        <w:t xml:space="preserve"> </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from 1.6 % to</w:t>
      </w:r>
      <w:r>
        <w:t xml:space="preserve"> </w:t>
      </w:r>
      <w:r>
        <w:rPr>
          <w:b/>
          <w:bCs/>
        </w:rPr>
        <w:t xml:space="preserve">5.6 %</w:t>
      </w:r>
      <w:r>
        <w:t xml:space="preserve"> </w:t>
      </w:r>
      <w:r>
        <w:t xml:space="preserve">at n = 1000, with non-overlapping 95 % Wilson CIs. The encoder reaches a 0.007</w:t>
      </w:r>
      <w:r>
        <w:t xml:space="preserve"> </w:t>
      </w:r>
      <w:r>
        <w:rPr>
          <w:i/>
          <w:iCs/>
        </w:rPr>
        <w:t xml:space="preserve">normalised</w:t>
      </w:r>
      <w:r>
        <w:t xml:space="preserve"> </w:t>
      </w:r>
      <w:r>
        <w:t xml:space="preserve">aux lattice loss in isolation, but substituting that head’s lattice into the sampler recovers only 1.2 % (§5.6) — its ~1.1 Å error sits well above the knee — so the pooled encoding, not merely the denoiser, fails to deliver absolute d-spacings. The lattice channel is the dominant</w:t>
      </w:r>
      <w:r>
        <w:t xml:space="preserve"> </w:t>
      </w:r>
      <w:r>
        <w:rPr>
          <w:i/>
          <w:iCs/>
        </w:rPr>
        <w:t xml:space="preserve">accessible</w:t>
      </w:r>
      <w:r>
        <w:t xml:space="preserve"> </w:t>
      </w:r>
      <w:r>
        <w:t xml:space="preserve">limiter; the 5.6 % oracle ceiling shows coordinates remain a co-bottleneck.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w:t>
      </w:r>
      <w:r>
        <w:t xml:space="preserve"> </w:t>
      </w:r>
      <w:r>
        <w:rPr>
          <w:rStyle w:val="FootnoteReference"/>
        </w:rPr>
        <w:footnoteReference w:id="15"/>
      </w:r>
      <w:r>
        <w:t xml:space="preserve">.</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6"/>
    <w:bookmarkStart w:id="29" w:name="related-work"/>
    <w:p>
      <w:pPr>
        <w:pStyle w:val="Heading2"/>
      </w:pPr>
      <w:r>
        <w:t xml:space="preserve">2. Related work</w:t>
      </w:r>
    </w:p>
    <w:p>
      <w:pPr>
        <w:pStyle w:val="FirstParagraph"/>
      </w:pPr>
      <w:r>
        <w:rPr>
          <w:b/>
          <w:bCs/>
        </w:rPr>
        <w:t xml:space="preserve">Diffusion for crystals.</w:t>
      </w:r>
      <w:r>
        <w:t xml:space="preserve"> </w:t>
      </w:r>
      <w:r>
        <w:t xml:space="preserve">CDVAE</w:t>
      </w:r>
      <w:r>
        <w:t xml:space="preserve"> </w:t>
      </w:r>
      <w:r>
        <w:rPr>
          <w:rStyle w:val="FootnoteReference"/>
        </w:rPr>
        <w:footnoteReference w:id="17"/>
      </w:r>
      <w:r>
        <w:t xml:space="preserve"> </w:t>
      </w:r>
      <w:r>
        <w:t xml:space="preserve">introduced the MP-20 protocol; DiffCSP</w:t>
      </w:r>
      <w:r>
        <w:t xml:space="preserve"> </w:t>
      </w:r>
      <w:r>
        <w:rPr>
          <w:rStyle w:val="FootnoteReference"/>
        </w:rPr>
        <w:footnoteReference w:id="18"/>
      </w:r>
      <w:r>
        <w:t xml:space="preserve"> </w:t>
      </w:r>
      <w:r>
        <w:t xml:space="preserve">used joint coord+lattice diffusion; MatterGen</w:t>
      </w:r>
      <w:r>
        <w:t xml:space="preserve"> </w:t>
      </w:r>
      <w:r>
        <w:rPr>
          <w:rStyle w:val="FootnoteReference"/>
        </w:rPr>
        <w:footnoteReference w:id="19"/>
      </w:r>
      <w:r>
        <w:t xml:space="preserve"> </w:t>
      </w:r>
      <w:r>
        <w:t xml:space="preserve">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w:t>
      </w:r>
      <w:r>
        <w:t xml:space="preserve"> </w:t>
      </w:r>
      <w:r>
        <w:rPr>
          <w:rStyle w:val="FootnoteReference"/>
        </w:rPr>
        <w:footnoteReference w:id="20"/>
      </w:r>
      <w:r>
        <w:t xml:space="preserve"> </w:t>
      </w:r>
      <w:r>
        <w:t xml:space="preserve">is a fine-tuned Mistral-7B that decodes peak list + formula → CIF tokens. Crystalyze</w:t>
      </w:r>
      <w:r>
        <w:t xml:space="preserve"> </w:t>
      </w:r>
      <w:r>
        <w:rPr>
          <w:rStyle w:val="FootnoteReference"/>
        </w:rPr>
        <w:footnoteReference w:id="21"/>
      </w:r>
      <w:r>
        <w:t xml:space="preserve"> </w:t>
      </w:r>
      <w:r>
        <w:t xml:space="preserve">uses CDVAE conditioned on an XRD transformer encoder with post-hoc symmetry filtering. PXRDnet</w:t>
      </w:r>
      <w:r>
        <w:t xml:space="preserve"> </w:t>
      </w:r>
      <w:r>
        <w:rPr>
          <w:rStyle w:val="FootnoteReference"/>
        </w:rPr>
        <w:footnoteReference w:id="22"/>
      </w:r>
      <w:r>
        <w:t xml:space="preserve"> </w:t>
      </w:r>
      <w:r>
        <w:t xml:space="preserve">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w:t>
      </w:r>
      <w:r>
        <w:t xml:space="preserve"> </w:t>
      </w:r>
      <w:r>
        <w:rPr>
          <w:rStyle w:val="FootnoteReference"/>
        </w:rPr>
        <w:footnoteReference w:id="23"/>
      </w:r>
      <w:r>
        <w:t xml:space="preserve"> </w:t>
      </w:r>
      <w:r>
        <w:t xml:space="preserve">is a concurrent autoregressive-language-model approach that, like DiffractGPT, emits CIF tokens. All four are larger than PXRD-Diff and report results under bespoke evaluation pipelines; §5.3 re-scores DiffractGPT and PXRDnet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w:t>
      </w:r>
      <w:r>
        <w:t xml:space="preserve"> </w:t>
      </w:r>
      <w:r>
        <w:rPr>
          <w:rStyle w:val="FootnoteReference"/>
        </w:rPr>
        <w:footnoteReference w:id="24"/>
      </w:r>
      <w:r>
        <w:t xml:space="preserve"> </w:t>
      </w:r>
      <w:r>
        <w:t xml:space="preserve">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w:t>
      </w:r>
      <w:r>
        <w:t xml:space="preserve"> </w:t>
      </w:r>
      <w:r>
        <w:rPr>
          <w:rStyle w:val="FootnoteReference"/>
        </w:rPr>
        <w:footnoteReference w:id="25"/>
      </w:r>
      <w:r>
        <w:t xml:space="preserve">. Relevant to our negative results, Segal et al.</w:t>
      </w:r>
      <w:r>
        <w:t xml:space="preserve"> </w:t>
      </w:r>
      <w:r>
        <w:rPr>
          <w:rStyle w:val="FootnoteReference"/>
        </w:rPr>
        <w:footnoteReference w:id="26"/>
      </w:r>
      <w:r>
        <w:t xml:space="preserve"> </w:t>
      </w:r>
      <w:r>
        <w:t xml:space="preserve">show the powder-XRD similarity loss landscape is</w:t>
      </w:r>
      <w:r>
        <w:t xml:space="preserve"> </w:t>
      </w:r>
      <w:r>
        <w:t xml:space="preserve">“too rough for gradient descent”</w:t>
      </w:r>
      <w:r>
        <w:t xml:space="preserve"> </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 we use periodic-distance RBFs (SchNet-style</w:t>
      </w:r>
      <w:r>
        <w:t xml:space="preserve"> </w:t>
      </w:r>
      <w:r>
        <w:rPr>
          <w:rStyle w:val="FootnoteReference"/>
        </w:rPr>
        <w:footnoteReference w:id="27"/>
      </w:r>
      <w:r>
        <w:t xml:space="preserve">). A frozen MACE</w:t>
      </w:r>
      <w:r>
        <w:t xml:space="preserve"> </w:t>
      </w:r>
      <w:r>
        <w:rPr>
          <w:rStyle w:val="FootnoteReference"/>
        </w:rPr>
        <w:footnoteReference w:id="28"/>
      </w:r>
      <w:r>
        <w:t xml:space="preserve"> </w:t>
      </w:r>
      <w:r>
        <w:t xml:space="preserve">encoder showed no measurable benefit at MP-20 scale in pilots and was deferred.</w:t>
      </w:r>
    </w:p>
    <w:p>
      <w:r>
        <w:pict>
          <v:rect style="width:0;height:1.5pt" o:hralign="center" o:hrstd="t" o:hr="t"/>
        </w:pict>
      </w:r>
    </w:p>
    <w:bookmarkEnd w:id="29"/>
    <w:bookmarkStart w:id="43" w:name="method"/>
    <w:p>
      <w:pPr>
        <w:pStyle w:val="Heading2"/>
      </w:pPr>
      <w:r>
        <w:t xml:space="preserve">3. Method</w:t>
      </w:r>
    </w:p>
    <w:bookmarkStart w:id="30" w:name="problem-formulation"/>
    <w:p>
      <w:pPr>
        <w:pStyle w:val="Heading3"/>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 in practice one usually knows the chemistry from synthesis — but it is consistent with prior work on the same task.</w:t>
      </w:r>
    </w:p>
    <w:bookmarkEnd w:id="30"/>
    <w:bookmarkStart w:id="31" w:name="architecture-overview"/>
    <w:p>
      <w:pPr>
        <w:pStyle w:val="Heading3"/>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w:t>
      </w:r>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 to expose whether the encoder is learning any lattice-relevant representation — and its loss does not flow back into the denoiser.</w:t>
      </w:r>
    </w:p>
    <w:bookmarkEnd w:id="31"/>
    <w:bookmarkStart w:id="36" w:name="Xc917a453586cc10256448f63d6af218d81ba9bb"/>
    <w:p>
      <w:pPr>
        <w:pStyle w:val="Heading3"/>
      </w:pP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35" w:name="fig:validation"/>
    <w:p>
      <w:pPr>
        <w:pStyle w:val="CaptionedFigure"/>
      </w:pPr>
      <w:r>
        <w:drawing>
          <wp:inline>
            <wp:extent cx="4140794" cy="2672861"/>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33" name="Picture"/>
            <a:graphic>
              <a:graphicData uri="http://schemas.openxmlformats.org/drawingml/2006/picture">
                <pic:pic>
                  <pic:nvPicPr>
                    <pic:cNvPr descr="fig3_diffpxrd_validation.png" id="34" name="Picture"/>
                    <pic:cNvPicPr>
                      <a:picLocks noChangeArrowheads="1" noChangeAspect="1"/>
                    </pic:cNvPicPr>
                  </pic:nvPicPr>
                  <pic:blipFill>
                    <a:blip r:embed="rId32"/>
                    <a:stretch>
                      <a:fillRect/>
                    </a:stretch>
                  </pic:blipFill>
                  <pic:spPr bwMode="auto">
                    <a:xfrm>
                      <a:off x="0" y="0"/>
                      <a:ext cx="4140794" cy="2672861"/>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35"/>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36"/>
    <w:bookmarkStart w:id="38" w:name="training-objective"/>
    <w:p>
      <w:pPr>
        <w:pStyle w:val="Heading3"/>
      </w:pPr>
      <w:r>
        <w:t xml:space="preserve">3.4 Training objective</w:t>
      </w:r>
    </w:p>
    <w:p>
      <w:pPr>
        <w:pStyle w:val="FirstParagraph"/>
      </w:pPr>
      <w:r>
        <w:t xml:space="preserve">We use a VP-SDE with cosine schedule</w:t>
      </w:r>
      <w:r>
        <w:t xml:space="preserve"> </w:t>
      </w:r>
      <w:r>
        <w:rPr>
          <w:rStyle w:val="FootnoteReference"/>
        </w:rPr>
        <w:footnoteReference w:id="37"/>
      </w:r>
      <w:r>
        <w:t xml:space="preserve"> </w:t>
      </w:r>
      <w:r>
        <w:t xml:space="preserve">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This single change accounts for a 3.5× lift in the headline metric (see §5.2).</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 i.e. if the head only sees the (clean) lattice that is also passed to the denoiser as the geometry context —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38"/>
    <w:bookmarkStart w:id="40" w:name="X6e75ac1b115bab34c6f95946b56455b7789be55"/>
    <w:p>
      <w:pPr>
        <w:pStyle w:val="Heading3"/>
      </w:pP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 extracting peak positions, mapping them to Q-space (Q = 4π sinθ/λ), and fitting a unit cell by enumeration of (h,k,l) → Q²(h,k,l) —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w:t>
      </w:r>
      <w:r>
        <w:t xml:space="preserve"> </w:t>
      </w:r>
      <w:r>
        <w:rPr>
          <w:rStyle w:val="FootnoteReference"/>
        </w:rPr>
        <w:footnoteReference w:id="39"/>
      </w:r>
      <w:r>
        <w:t xml:space="preserve"> </w:t>
      </w:r>
      <w:r>
        <w:t xml:space="preserve">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40"/>
    <w:bookmarkStart w:id="42" w:name="sampling"/>
    <w:p>
      <w:pPr>
        <w:pStyle w:val="Heading3"/>
      </w:pPr>
      <w:r>
        <w:t xml:space="preserve">3.6 Sampling</w:t>
      </w:r>
    </w:p>
    <w:p>
      <w:pPr>
        <w:pStyle w:val="FirstParagraph"/>
      </w:pPr>
      <w:r>
        <w:t xml:space="preserve">DDIM</w:t>
      </w:r>
      <w:r>
        <w:t xml:space="preserve"> </w:t>
      </w:r>
      <w:r>
        <w:rPr>
          <w:rStyle w:val="FootnoteReference"/>
        </w:rPr>
        <w:footnoteReference w:id="41"/>
      </w:r>
      <w:r>
        <w:t xml:space="preserve"> </w:t>
      </w:r>
      <w:r>
        <w:t xml:space="preserve">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42"/>
    <w:bookmarkEnd w:id="43"/>
    <w:bookmarkStart w:id="45" w:name="experiments"/>
    <w:p>
      <w:pPr>
        <w:pStyle w:val="Heading2"/>
      </w:pPr>
      <w:r>
        <w:t xml:space="preserve">4. Experiments</w:t>
      </w:r>
    </w:p>
    <w:p>
      <w:pPr>
        <w:pStyle w:val="FirstParagraph"/>
      </w:pPr>
      <w:r>
        <w:rPr>
          <w:b/>
          <w:bCs/>
        </w:rPr>
        <w:t xml:space="preserve">Dataset.</w:t>
      </w:r>
      <w:r>
        <w:t xml:space="preserve"> </w:t>
      </w:r>
      <w:r>
        <w:t xml:space="preserve">Canonical CDVAE</w:t>
      </w:r>
      <w:r>
        <w:t xml:space="preserve"> </w:t>
      </w:r>
      <w:r>
        <w:rPr>
          <w:rStyle w:val="FootnoteReference"/>
        </w:rPr>
        <w:footnoteReference w:id="44"/>
      </w:r>
      <w:r>
        <w:t xml:space="preserve"> </w:t>
      </w:r>
      <w:r>
        <w:t xml:space="preserve">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w:t>
      </w:r>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45"/>
    <w:bookmarkStart w:id="71" w:name="results"/>
    <w:p>
      <w:pPr>
        <w:pStyle w:val="Heading2"/>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50" w:name="Xadaaeed9a4d3d9b8a4dfaf721f122e0603fe773"/>
    <w:p>
      <w:pPr>
        <w:pStyle w:val="Heading3"/>
      </w:pPr>
      <w:r>
        <w:t xml:space="preserve">5.1 Phase 4 —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49" w:name="fig:ablation"/>
    <w:p>
      <w:pPr>
        <w:pStyle w:val="CaptionedFigure"/>
      </w:pPr>
      <w:r>
        <w:drawing>
          <wp:inline>
            <wp:extent cx="5334000" cy="2222893"/>
            <wp:effectExtent b="0" l="0" r="0" t="0"/>
            <wp:docPr descr="Figure 2. Phase 4 architectural ablation. Match rate (a) and pattern Pearson (b) for the seven coordinate-only runs of Table 1 on MP-20 test (n = 1000, true lattice substituted). The ε → x₀-residual switch (v11 → v13) is the largest single lift; adding Wyckoff embeddings or a distance-matrix loss regresses below it." title="" id="47" name="Picture"/>
            <a:graphic>
              <a:graphicData uri="http://schemas.openxmlformats.org/drawingml/2006/picture">
                <pic:pic>
                  <pic:nvPicPr>
                    <pic:cNvPr descr="fig1_ablation.png" id="48" name="Picture"/>
                    <pic:cNvPicPr>
                      <a:picLocks noChangeArrowheads="1" noChangeAspect="1"/>
                    </pic:cNvPicPr>
                  </pic:nvPicPr>
                  <pic:blipFill>
                    <a:blip r:embed="rId46"/>
                    <a:stretch>
                      <a:fillRect/>
                    </a:stretch>
                  </pic:blipFill>
                  <pic:spPr bwMode="auto">
                    <a:xfrm>
                      <a:off x="0" y="0"/>
                      <a:ext cx="5334000" cy="2222893"/>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is the largest single lift; adding Wyckoff embeddings or a distance-matrix loss regresses below it.</w:t>
      </w:r>
    </w:p>
    <w:bookmarkEnd w:id="49"/>
    <w:p>
      <w:pPr>
        <w:pStyle w:val="BodyText"/>
      </w:pPr>
      <w:r>
        <w:t xml:space="preserve">Two choices are load-bearing. The</w:t>
      </w:r>
      <w:r>
        <w:t xml:space="preserve"> </w:t>
      </w:r>
      <w:r>
        <w:rPr>
          <w:b/>
          <w:bCs/>
        </w:rPr>
        <w:t xml:space="preserve">lattice-input fix</w:t>
      </w:r>
      <w:r>
        <w:t xml:space="preserve"> </w:t>
      </w:r>
      <w:r>
        <w:t xml:space="preserve">(§3.4)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Switching from</w:t>
      </w:r>
      <w:r>
        <w:t xml:space="preserve"> </w:t>
      </w:r>
      <w:r>
        <w:rPr>
          <w:b/>
          <w:bCs/>
        </w:rPr>
        <w:t xml:space="preserve">ε to x₀-residual</w:t>
      </w:r>
      <w:r>
        <w:t xml:space="preserve"> </w:t>
      </w:r>
      <w:r>
        <w:t xml:space="preserve">at fixed Debye λ = 1 (v11 → v13) lifts match 0.9 % → 2.5 % — 3.5× over the v10 ε baseline.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5.6 % under oracle but only 1.0 % under full pipeline. §5.2 attacks that gap.</w:t>
      </w:r>
    </w:p>
    <w:bookmarkEnd w:id="50"/>
    <w:bookmarkStart w:id="55" w:name="phase-9-classical-indexer-drop-in"/>
    <w:p>
      <w:pPr>
        <w:pStyle w:val="Heading3"/>
      </w:pPr>
      <w:r>
        <w:t xml:space="preserve">5.2 Phase 9 —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versus all 3 000 for the indexer; the paired test runs on the 1 949-structure intersection (every learned-head row has a matched indexer row).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 indexer 46 / 3 000, learned 0 / 1 949 —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 the indexer fixes the cell but not the space group. So the drop-in reproducibly improves match rate over the learned lattice head;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The indexer → oracle gap (1.6 → 5.6 %) is itself significant (disjoint CIs) and isolates the lattice-attributable error: even with a perfect lattice, match caps at 5.6 %, so coordinate prediction is the dominant limiter while lattice error explains the 1.6 → 5.6 % shortfall. The indexer’s per-system MAE (1.45 Å overall, dominated by mono 1.76 Å and triclinic NaN) sits above the 0.5 Å knee — closing the rest requires fixing the low-symmetry path (GSAS-II remains experimental).</w:t>
      </w:r>
    </w:p>
    <w:bookmarkStart w:id="54" w:name="fig:indexer"/>
    <w:p>
      <w:pPr>
        <w:pStyle w:val="CaptionedFigure"/>
      </w:pPr>
      <w:r>
        <w:drawing>
          <wp:inline>
            <wp:extent cx="5334000" cy="2423254"/>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52" name="Picture"/>
            <a:graphic>
              <a:graphicData uri="http://schemas.openxmlformats.org/drawingml/2006/picture">
                <pic:pic>
                  <pic:nvPicPr>
                    <pic:cNvPr descr="fig4_indexer_bench.png" id="53" name="Picture"/>
                    <pic:cNvPicPr>
                      <a:picLocks noChangeArrowheads="1" noChangeAspect="1"/>
                    </pic:cNvPicPr>
                  </pic:nvPicPr>
                  <pic:blipFill>
                    <a:blip r:embed="rId51"/>
                    <a:stretch>
                      <a:fillRect/>
                    </a:stretch>
                  </pic:blipFill>
                  <pic:spPr bwMode="auto">
                    <a:xfrm>
                      <a:off x="0" y="0"/>
                      <a:ext cx="5334000" cy="2423254"/>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54"/>
    <w:bookmarkEnd w:id="55"/>
    <w:bookmarkStart w:id="62" w:name="head-to-head-with-external-baselines"/>
    <w:p>
      <w:pPr>
        <w:pStyle w:val="Heading3"/>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and PXRDnet (</w:t>
      </w:r>
      <w:r>
        <w:rPr>
          <w:rStyle w:val="VerbatimChar"/>
        </w:rPr>
        <w:t xml:space="preserve">therealgabeguo/cdvae_xrd_sinc100</w:t>
      </w:r>
      <w:r>
        <w:t xml:space="preserve">) at n = 20 (limited by ~4 GPU-hr/material)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w:t>
            </w:r>
            <w:r>
              <w:t xml:space="preserve"> </w:t>
            </w:r>
            <w:r>
              <w:rPr>
                <w:rStyle w:val="FootnoteReference"/>
              </w:rPr>
              <w:footnoteReference w:id="56"/>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w:t>
            </w:r>
            <w:r>
              <w:t xml:space="preserve"> </w:t>
            </w:r>
            <w:r>
              <w:rPr>
                <w:rStyle w:val="FootnoteReference"/>
              </w:rPr>
              <w:footnoteReference w:id="57"/>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bl>
    <w:p>
      <w:pPr>
        <w:pStyle w:val="BodyText"/>
      </w:pPr>
      <w:r>
        <w:rPr>
          <w:b/>
          <w:bCs/>
        </w:rPr>
        <w:t xml:space="preserve">Match rate</w:t>
      </w:r>
      <w:r>
        <w:t xml:space="preserve"> </w:t>
      </w:r>
      <w:r>
        <w:t xml:space="preserve">ranks PXRDnet &gt; DGpt &gt; PXRD-Diff; PXRDnet’s lead is consistent with its 35 k-op latent optimisation, whereas DGpt is one forward pass. PXRD-Diff is 12–19× behind both.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 published single-number</w:t>
      </w:r>
      <w:r>
        <w:t xml:space="preserve"> </w:t>
      </w:r>
      <w:r>
        <w:t xml:space="preserve">“match rates”</w:t>
      </w:r>
      <w:r>
        <w:t xml:space="preserve"> </w:t>
      </w:r>
      <w:r>
        <w:t xml:space="preserve">would conflate structure recovery with symmetry recovery —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The gap is capability and compute, not input information.</w:t>
      </w:r>
      <w:r>
        <w:t xml:space="preserve"> </w:t>
      </w:r>
      <w:r>
        <w:t xml:space="preserve">All three systems are given the same chemistry (composition/formula; §3.1), so it is worth checking whether the 12–19× gap could instead be an artefact of one model being handed a richer</w:t>
      </w:r>
      <w:r>
        <w:t xml:space="preserve"> </w:t>
      </w:r>
      <w:r>
        <w:rPr>
          <w:i/>
          <w:iCs/>
        </w:rPr>
        <w:t xml:space="preserve">pattern</w:t>
      </w:r>
      <w:r>
        <w:t xml:space="preserve">. It is not — if anything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 an order of magnitude lower resolution than PXRD-Diff’s 4 251-bin 0.02° input — yet it still reaches 18.9 %. So the baselines do not win by seeing more of the pattern. The asymmetries that do matter are</w:t>
      </w:r>
      <w:r>
        <w:t xml:space="preserve"> </w:t>
      </w:r>
      <w:r>
        <w:rPr>
          <w:b/>
          <w:bCs/>
        </w:rPr>
        <w:t xml:space="preserve">capacity</w:t>
      </w:r>
      <w:r>
        <w:t xml:space="preserve"> </w:t>
      </w:r>
      <w:r>
        <w:t xml:space="preserve">(DiffractGPT is a 7 B-parameter LLM; PXRD-Diff is 3.7 M — three orders of magnitude) and</w:t>
      </w:r>
      <w:r>
        <w:t xml:space="preserve"> </w:t>
      </w:r>
      <w:r>
        <w:rPr>
          <w:b/>
          <w:bCs/>
        </w:rPr>
        <w:t xml:space="preserve">inference compute</w:t>
      </w:r>
      <w:r>
        <w:t xml:space="preserve"> </w:t>
      </w:r>
      <w:r>
        <w:t xml:space="preserve">(PXRDnet’s ~35 k-op latent optimisation vs our single DDIM pass). The honest reading of Table 3 is therefore a capability/compute gap at fixed input information, not an input-handicap artefact; it is exactly the gap a deliberately small diagnostic model is expected to exhibit (§6).</w:t>
      </w:r>
    </w:p>
    <w:bookmarkStart w:id="61" w:name="fig:threeway"/>
    <w:p>
      <w:pPr>
        <w:pStyle w:val="CaptionedFigure"/>
      </w:pPr>
      <w:r>
        <w:drawing>
          <wp:inline>
            <wp:extent cx="5334000" cy="2210273"/>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59" name="Picture"/>
            <a:graphic>
              <a:graphicData uri="http://schemas.openxmlformats.org/drawingml/2006/picture">
                <pic:pic>
                  <pic:nvPicPr>
                    <pic:cNvPr descr="fig5_threeway_headline.png" id="60" name="Picture"/>
                    <pic:cNvPicPr>
                      <a:picLocks noChangeArrowheads="1" noChangeAspect="1"/>
                    </pic:cNvPicPr>
                  </pic:nvPicPr>
                  <pic:blipFill>
                    <a:blip r:embed="rId58"/>
                    <a:stretch>
                      <a:fillRect/>
                    </a:stretch>
                  </pic:blipFill>
                  <pic:spPr bwMode="auto">
                    <a:xfrm>
                      <a:off x="0" y="0"/>
                      <a:ext cx="5334000" cy="2210273"/>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61"/>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 material_ids are identical, pattern inputs are not bit-identical; §7 bounds this.</w:t>
      </w:r>
    </w:p>
    <w:bookmarkEnd w:id="62"/>
    <w:bookmarkStart w:id="68" w:name="what-did-not-work"/>
    <w:p>
      <w:pPr>
        <w:pStyle w:val="Heading3"/>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 consistent with Segal et al.</w:t>
      </w:r>
      <w:r>
        <w:t xml:space="preserve"> </w:t>
      </w:r>
      <w:r>
        <w:rPr>
          <w:rStyle w:val="FootnoteReference"/>
        </w:rPr>
        <w:footnoteReference w:id="63"/>
      </w:r>
      <w:r>
        <w:t xml:space="preserve">,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67" w:name="fig:training"/>
    <w:p>
      <w:pPr>
        <w:pStyle w:val="CaptionedFigure"/>
      </w:pPr>
      <w:r>
        <w:drawing>
          <wp:inline>
            <wp:extent cx="5334000" cy="2277073"/>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 the failure is localised to the lattice channel." title="" id="65" name="Picture"/>
            <a:graphic>
              <a:graphicData uri="http://schemas.openxmlformats.org/drawingml/2006/picture">
                <pic:pic>
                  <pic:nvPicPr>
                    <pic:cNvPr descr="fig2_training_curves.png" id="66" name="Picture"/>
                    <pic:cNvPicPr>
                      <a:picLocks noChangeArrowheads="1" noChangeAspect="1"/>
                    </pic:cNvPicPr>
                  </pic:nvPicPr>
                  <pic:blipFill>
                    <a:blip r:embed="rId64"/>
                    <a:stretch>
                      <a:fillRect/>
                    </a:stretch>
                  </pic:blipFill>
                  <pic:spPr bwMode="auto">
                    <a:xfrm>
                      <a:off x="0" y="0"/>
                      <a:ext cx="5334000" cy="2277073"/>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 the failure is localised to the lattice channel.</w:t>
      </w:r>
    </w:p>
    <w:bookmarkEnd w:id="67"/>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68"/>
    <w:bookmarkStart w:id="69" w:name="encoder-bottleneck-perturbation-study"/>
    <w:p>
      <w:pPr>
        <w:pStyle w:val="Heading3"/>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limiter is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w:t>
      </w:r>
      <w:r>
        <w:t xml:space="preserve">— it works where it can.</w:t>
      </w:r>
    </w:p>
    <w:bookmarkEnd w:id="69"/>
    <w:bookmarkStart w:id="70" w:name="Xe14ee5fe759b907ea0190421ae7272432ef5613"/>
    <w:p>
      <w:pPr>
        <w:pStyle w:val="Heading3"/>
      </w:pPr>
      <w:r>
        <w:t xml:space="preserve">5.6 Why the learned lattice fails: a pooling bottleneck, not a head bottleneck</w:t>
      </w:r>
    </w:p>
    <w:p>
      <w:pPr>
        <w:pStyle w:val="FirstParagraph"/>
      </w:pPr>
      <w:r>
        <w:t xml:space="preserve">The natural reading of the 0.007 aux loss — that the lattice is already recoverable from the encoder and only the denoiser is at fault —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is a property of the</w:t>
      </w:r>
      <w:r>
        <w:t xml:space="preserve"> </w:t>
      </w:r>
      <w:r>
        <w:rPr>
          <w:i/>
          <w:iCs/>
        </w:rPr>
        <w:t xml:space="preserve">pooled global encoding</w:t>
      </w:r>
      <w:r>
        <w:t xml:space="preserve">, not of the head: the</w:t>
      </w:r>
      <w:r>
        <w:t xml:space="preserve"> </w:t>
      </w:r>
      <w:r>
        <w:rPr>
          <w:rStyle w:val="VerbatimChar"/>
        </w:rPr>
        <w:t xml:space="preserve">AdaptiveAvgPool1d(1)</w:t>
      </w:r>
      <w:r>
        <w:t xml:space="preserve"> </w:t>
      </w:r>
      <w:r>
        <w:t xml:space="preserve">collapse that §3.2 already identified for coordinates discards the peak-position fidelity Bragg’s-law decoding needs to fix absolute lengths, and no head reading</w:t>
      </w:r>
      <w:r>
        <w:t xml:space="preserve"> </w:t>
      </w:r>
      <m:oMath>
        <m:r>
          <m:rPr>
            <m:sty m:val="bi"/>
          </m:rPr>
          <m:t>g</m:t>
        </m:r>
      </m:oMath>
      <w:r>
        <w:t xml:space="preserve"> </w:t>
      </w:r>
      <w:r>
        <w:t xml:space="preserve">recovers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The architectural implication is concrete: the next gain must come from the encoder — explicit d-spacing/peak extraction or per-peak attention in place of global pooling — not from a better lattice head or a better denoiser.</w:t>
      </w:r>
    </w:p>
    <w:p>
      <w:r>
        <w:pict>
          <v:rect style="width:0;height:1.5pt" o:hralign="center" o:hrstd="t" o:hr="t"/>
        </w:pict>
      </w:r>
    </w:p>
    <w:bookmarkEnd w:id="70"/>
    <w:bookmarkEnd w:id="71"/>
    <w:bookmarkStart w:id="72" w:name="discussion"/>
    <w:p>
      <w:pPr>
        <w:pStyle w:val="Heading2"/>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limiter is therefore the global pooling that discards absolute peak-position fidelity, not the denoiser’s use of an otherwise-adequate signal; the disjoint oracle-vs-indexer CIs (§5.2) make the lattice’s role the paper’s statistically firmest claim. The Q-space autoindexer, which reads peak positions directly, recovers part of the 5.6 %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5.6 %, so even a perfect lattice leaves coordinates as a co-limiter —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 encoder + Phase 4 fixes + Phase 9 indexer drop-in — is 3.7 M parameters and runs inference in seconds.</w:t>
      </w:r>
    </w:p>
    <w:p>
      <w:r>
        <w:pict>
          <v:rect style="width:0;height:1.5pt" o:hralign="center" o:hrstd="t" o:hr="t"/>
        </w:pict>
      </w:r>
    </w:p>
    <w:bookmarkEnd w:id="72"/>
    <w:bookmarkStart w:id="73" w:name="limitations"/>
    <w:p>
      <w:pPr>
        <w:pStyle w:val="Heading2"/>
      </w:pP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 no larger cells, organics, or higher-Z.</w:t>
      </w:r>
    </w:p>
    <w:p>
      <w:pPr>
        <w:pStyle w:val="Compact"/>
        <w:numPr>
          <w:ilvl w:val="0"/>
          <w:numId w:val="1002"/>
        </w:numPr>
      </w:pPr>
      <w:r>
        <w:rPr>
          <w:b/>
          <w:bCs/>
        </w:rPr>
        <w:t xml:space="preserve">Statistics.</w:t>
      </w:r>
      <w:r>
        <w:t xml:space="preserve"> </w:t>
      </w:r>
      <w:r>
        <w:t xml:space="preserve">The Phase 4 ablations are single-seed; their large effects (the 2.5–3.5× x₀-residual and lattice-input lifts) are robust to this, and the oracle-vs-indexer gap has disjoint CIs. The indexer-vs-learned-head comparison was rerun at three seeds and the lift confirmed significant by a paired McNemar test (p &lt; 10⁻⁴; §5.2) — superseding the earlier underpowered unpaired test (p = 0.24). We did not multi-seed the oracle or the Phase 4 ablation runs.</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 precisely the perturbations that drive real-world indexing failure. The 48.8 % native-indexer match and the downstream 1.5 % should be read as upper bounds under ideal peak positions; we did not measure degradation under a zero-shift/displacement perturbation, which is the natural robustness check.</w:t>
      </w:r>
    </w:p>
    <w:p>
      <w:pPr>
        <w:pStyle w:val="Compact"/>
        <w:numPr>
          <w:ilvl w:val="0"/>
          <w:numId w:val="1002"/>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73"/>
    <w:bookmarkStart w:id="74" w:name="conclusion"/>
    <w:p>
      <w:pPr>
        <w:pStyle w:val="Heading2"/>
      </w:pP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 a significant improvement over the learned lattice head, which recovers essentially nothing (three-seed paired McNemar p &lt; 10⁻⁴) — and 5.6 % [4.3, 7.2] under a true-lattice oracle. The oracle gap is significant and is the paper’s firmest result: even with a perfect lattice, coordinate prediction caps match at 5.6 %, while lattice error explains the rest of the shortfall to that ceiling. Reproduced on the same</w:t>
      </w:r>
      <w:r>
        <w:t xml:space="preserve"> </w:t>
      </w:r>
      <w:r>
        <w:rPr>
          <w:rStyle w:val="VerbatimChar"/>
        </w:rPr>
        <w:t xml:space="preserve">StructureMatcher</w:t>
      </w:r>
      <w:r>
        <w:t xml:space="preserve"> </w:t>
      </w:r>
      <w:r>
        <w:t xml:space="preserve">harness, DGpt reaches 18.9 % / 15.9 % and PXRDnet 30.0 % / 5.0 % (match / all-correct) — PXRD-Diff is 12–19× behind. The apparent divergence in their space-group recovery is a measurement hypothesis the n = 20 PXRDnet sample cannot yet confirm, but the shared harness now makes it testable. Two architectural fixes (lattice-input, x₀-residual) and one drop-in (classical autoindexer) are load-bearing; six other interventions are documented as failures. Code, checkpoints, all per-phase JSONs, both indexer paths, and the differentiable Bragg module are released.</w:t>
      </w:r>
    </w:p>
    <w:p>
      <w:r>
        <w:pict>
          <v:rect style="width:0;height:1.5pt" o:hralign="center" o:hrstd="t" o:hr="t"/>
        </w:pict>
      </w:r>
    </w:p>
    <w:bookmarkEnd w:id="74"/>
    <w:bookmarkStart w:id="75" w:name="acknowledgments"/>
    <w:p>
      <w:pPr>
        <w:pStyle w:val="Heading2"/>
      </w:pP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75"/>
    <w:bookmarkStart w:id="76" w:name="author-contributions-credit"/>
    <w:p>
      <w:pPr>
        <w:pStyle w:val="Heading2"/>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76"/>
    <w:bookmarkStart w:id="77" w:name="conflict-of-interest"/>
    <w:p>
      <w:pPr>
        <w:pStyle w:val="Heading2"/>
      </w:pPr>
      <w:r>
        <w:t xml:space="preserve">Conflict of Interest</w:t>
      </w:r>
    </w:p>
    <w:p>
      <w:pPr>
        <w:pStyle w:val="FirstParagraph"/>
      </w:pPr>
      <w:r>
        <w:t xml:space="preserve">The author declares no competing interests.</w:t>
      </w:r>
    </w:p>
    <w:bookmarkEnd w:id="77"/>
    <w:bookmarkStart w:id="78" w:name="funding"/>
    <w:p>
      <w:pPr>
        <w:pStyle w:val="Heading2"/>
      </w:pPr>
      <w:r>
        <w:t xml:space="preserve">Funding</w:t>
      </w:r>
    </w:p>
    <w:p>
      <w:pPr>
        <w:pStyle w:val="FirstParagraph"/>
      </w:pPr>
      <w:r>
        <w:t xml:space="preserve">This research received no external funding.</w:t>
      </w:r>
    </w:p>
    <w:bookmarkEnd w:id="78"/>
    <w:bookmarkStart w:id="79" w:name="data-and-code-availability"/>
    <w:p>
      <w:pPr>
        <w:pStyle w:val="Heading2"/>
      </w:pPr>
      <w:r>
        <w:t xml:space="preserve">Data and Code Availability</w:t>
      </w:r>
    </w:p>
    <w:p>
      <w:pPr>
        <w:pStyle w:val="FirstParagraph"/>
      </w:pPr>
      <w:r>
        <w:t xml:space="preserve">Source code, trained checkpoints, and all per-phase training/evaluation logs are available at</w:t>
      </w:r>
      <w:r>
        <w:t xml:space="preserve"> </w:t>
      </w:r>
      <w:r>
        <w:rPr>
          <w:rStyle w:val="VerbatimChar"/>
        </w:rPr>
        <w:t xml:space="preserve">https://github.com/fronkt/pxrd-diff</w:t>
      </w:r>
      <w:r>
        <w:t xml:space="preserve"> </w:t>
      </w:r>
      <w:r>
        <w:t xml:space="preserve">and archived at Zenodo (DOI: 10.5281/zenodo.XXXXXXX —</w:t>
      </w:r>
      <w:r>
        <w:t xml:space="preserve"> </w:t>
      </w:r>
      <w:r>
        <w:rPr>
          <w:i/>
          <w:iCs/>
        </w:rPr>
        <w:t xml:space="preserve">to be minted at submission</w:t>
      </w:r>
      <w:r>
        <w:t xml:space="preserve">). The MP-20 dataset is publicly available via the CDVAE benchmark. All experiments reproduce from a single</w:t>
      </w:r>
      <w:r>
        <w:t xml:space="preserve"> </w:t>
      </w:r>
      <w:r>
        <w:rPr>
          <w:rStyle w:val="VerbatimChar"/>
        </w:rPr>
        <w:t xml:space="preserve">requirements.txt</w:t>
      </w:r>
      <w:r>
        <w:t xml:space="preserve"> </w:t>
      </w:r>
      <w:r>
        <w:t xml:space="preserve">and the</w:t>
      </w:r>
      <w:r>
        <w:t xml:space="preserve"> </w:t>
      </w:r>
      <w:r>
        <w:rPr>
          <w:rStyle w:val="VerbatimChar"/>
        </w:rPr>
        <w:t xml:space="preserve">scripts/</w:t>
      </w:r>
      <w:r>
        <w:t xml:space="preserve"> </w:t>
      </w:r>
      <w:r>
        <w:t xml:space="preserve">pipeline; per-structure evaluation flags are released to support paired re-analysis.</w:t>
      </w:r>
    </w:p>
    <w:bookmarkEnd w:id="79"/>
    <w:bookmarkStart w:id="80" w:name="ethics-declaration"/>
    <w:p>
      <w:pPr>
        <w:pStyle w:val="Heading2"/>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80"/>
    <w:bookmarkStart w:id="81" w:name="references"/>
    <w:p>
      <w:pPr>
        <w:pStyle w:val="Heading2"/>
      </w:pPr>
      <w:r>
        <w:t xml:space="preserve">References</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81"/>
    <w:bookmarkStart w:id="86" w:name="appendix"/>
    <w:p>
      <w:pPr>
        <w:pStyle w:val="Heading2"/>
      </w:pPr>
      <w:r>
        <w:t xml:space="preserve">Appendix</w:t>
      </w:r>
    </w:p>
    <w:bookmarkStart w:id="82" w:name="a.-full-ablation-history"/>
    <w:p>
      <w:pPr>
        <w:pStyle w:val="Heading3"/>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5.6 % (true-lat oracle)</w:t>
            </w:r>
          </w:p>
        </w:tc>
        <w:tc>
          <w:tcPr/>
          <w:p>
            <w:pPr>
              <w:pStyle w:val="Compact"/>
            </w:pPr>
            <w:r>
              <w:t xml:space="preserve">Tables 2, 3</w:t>
            </w:r>
          </w:p>
        </w:tc>
      </w:tr>
    </w:tbl>
    <w:bookmarkEnd w:id="82"/>
    <w:bookmarkStart w:id="83" w:name="b.-hyperparameter-sensitivity"/>
    <w:p>
      <w:pPr>
        <w:pStyle w:val="Heading3"/>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83"/>
    <w:bookmarkStart w:id="84" w:name="X984f5037fa8fa240d4e7791708ee54c226ae797"/>
    <w:p>
      <w:pPr>
        <w:pStyle w:val="Heading3"/>
      </w:pP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3"/>
        </w:numPr>
      </w:pPr>
      <w:r>
        <w:t xml:space="preserve">Mean: 0.962</w:t>
      </w:r>
    </w:p>
    <w:p>
      <w:pPr>
        <w:pStyle w:val="Compact"/>
        <w:numPr>
          <w:ilvl w:val="0"/>
          <w:numId w:val="1003"/>
        </w:numPr>
      </w:pPr>
      <w:r>
        <w:t xml:space="preserve">Std: 0.027</w:t>
      </w:r>
    </w:p>
    <w:p>
      <w:pPr>
        <w:pStyle w:val="Compact"/>
        <w:numPr>
          <w:ilvl w:val="0"/>
          <w:numId w:val="1003"/>
        </w:numPr>
      </w:pPr>
      <w:r>
        <w:t xml:space="preserve">Min: 0.896 (mp-1213821, layered structure with strong texture in the reference)</w:t>
      </w:r>
    </w:p>
    <w:p>
      <w:pPr>
        <w:pStyle w:val="Compact"/>
        <w:numPr>
          <w:ilvl w:val="0"/>
          <w:numId w:val="1003"/>
        </w:numPr>
      </w:pPr>
      <w:r>
        <w:t xml:space="preserve">Max: 0.998 (mp-149, Si)</w:t>
      </w:r>
    </w:p>
    <w:p>
      <w:pPr>
        <w:pStyle w:val="Compact"/>
        <w:numPr>
          <w:ilvl w:val="0"/>
          <w:numId w:val="1003"/>
        </w:numPr>
      </w:pPr>
      <w:r>
        <w:t xml:space="preserve">Fraction &gt; 0.95: 33/50</w:t>
      </w:r>
    </w:p>
    <w:p>
      <w:pPr>
        <w:pStyle w:val="Compact"/>
        <w:numPr>
          <w:ilvl w:val="0"/>
          <w:numId w:val="1003"/>
        </w:numPr>
      </w:pPr>
      <w:r>
        <w:t xml:space="preserve">Fraction &gt; 0.9: 49/50</w:t>
      </w:r>
    </w:p>
    <w:p>
      <w:pPr>
        <w:pStyle w:val="Compact"/>
        <w:numPr>
          <w:ilvl w:val="0"/>
          <w:numId w:val="1003"/>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84"/>
    <w:bookmarkStart w:id="85" w:name="d.-reproducibility-checklist"/>
    <w:p>
      <w:pPr>
        <w:pStyle w:val="Heading3"/>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0">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2">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3">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14">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5">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17">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18">
    <w:p>
      <w:pPr>
        <w:pStyle w:val="FootnoteText"/>
      </w:pPr>
      <w:r>
        <w:rPr>
          <w:rStyle w:val="FootnoteReference"/>
        </w:rPr>
        <w:footnoteRef/>
      </w:r>
      <w:r>
        <w:t xml:space="preserve"> </w:t>
      </w:r>
      <w:r>
        <w:t xml:space="preserve">Jiao, R., et al. (2023). Crystal structure prediction by joint equivariant diffusion.</w:t>
      </w:r>
      <w:r>
        <w:t xml:space="preserve"> </w:t>
      </w:r>
      <w:r>
        <w:rPr>
          <w:i/>
          <w:iCs/>
        </w:rPr>
        <w:t xml:space="preserve">Advances in Neural Information Processing Systems</w:t>
      </w:r>
      <w:r>
        <w:t xml:space="preserve"> </w:t>
      </w:r>
      <w:r>
        <w:t xml:space="preserve">36.</w:t>
      </w:r>
    </w:p>
  </w:footnote>
  <w:footnote w:id="19">
    <w:p>
      <w:pPr>
        <w:pStyle w:val="FootnoteText"/>
      </w:pPr>
      <w:r>
        <w:rPr>
          <w:rStyle w:val="FootnoteReference"/>
        </w:rPr>
        <w:footnoteRef/>
      </w:r>
      <w:r>
        <w:t xml:space="preserve"> </w:t>
      </w:r>
      <w:r>
        <w:t xml:space="preserve">Zeni, C., et al. (2024). MatterGen: A generative model for inorganic materials design.</w:t>
      </w:r>
      <w:r>
        <w:t xml:space="preserve"> </w:t>
      </w:r>
      <w:r>
        <w:rPr>
          <w:i/>
          <w:iCs/>
        </w:rPr>
        <w:t xml:space="preserve">arXiv:2312.03687</w:t>
      </w:r>
      <w:r>
        <w:t xml:space="preserve">.</w:t>
      </w:r>
    </w:p>
  </w:footnote>
  <w:footnote w:id="20">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21">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22">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23">
    <w:p>
      <w:pPr>
        <w:pStyle w:val="FootnoteText"/>
      </w:pPr>
      <w:r>
        <w:rPr>
          <w:rStyle w:val="FootnoteReference"/>
        </w:rPr>
        <w:footnoteRef/>
      </w:r>
      <w:r>
        <w:t xml:space="preserve"> </w:t>
      </w: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footnote>
  <w:footnote w:id="24">
    <w:p>
      <w:pPr>
        <w:pStyle w:val="FootnoteText"/>
      </w:pPr>
      <w:r>
        <w:rPr>
          <w:rStyle w:val="FootnoteReference"/>
        </w:rPr>
        <w:footnoteRef/>
      </w:r>
      <w:r>
        <w:t xml:space="preserve"> </w:t>
      </w:r>
      <w:r>
        <w:t xml:space="preserve">Boultif, A., &amp; Louër, D. (2004). Powder pattern indexing with the dichotomy method.</w:t>
      </w:r>
      <w:r>
        <w:t xml:space="preserve"> </w:t>
      </w:r>
      <w:r>
        <w:rPr>
          <w:i/>
          <w:iCs/>
        </w:rPr>
        <w:t xml:space="preserve">Journal of Applied Crystallography</w:t>
      </w:r>
      <w:r>
        <w:t xml:space="preserve">, 37(5), 724–731. DOI: 10.1107/S0021889804014876.</w:t>
      </w:r>
    </w:p>
  </w:footnote>
  <w:footnote w:id="25">
    <w:p>
      <w:pPr>
        <w:pStyle w:val="FootnoteText"/>
      </w:pPr>
      <w:r>
        <w:rPr>
          <w:rStyle w:val="FootnoteReference"/>
        </w:rPr>
        <w:footnoteRef/>
      </w:r>
      <w:r>
        <w:t xml:space="preserve"> </w:t>
      </w:r>
      <w:r>
        <w:t xml:space="preserve">Guo, J., &amp; Schwalbe-Koda, D. (2026). Generative Inversion of Spectroscopic Data for Amorphous Structure Elucidation.</w:t>
      </w:r>
      <w:r>
        <w:t xml:space="preserve"> </w:t>
      </w:r>
      <w:r>
        <w:rPr>
          <w:i/>
          <w:iCs/>
        </w:rPr>
        <w:t xml:space="preserve">arXiv:2603.23210</w:t>
      </w:r>
      <w:r>
        <w:t xml:space="preserve">.</w:t>
      </w:r>
    </w:p>
  </w:footnote>
  <w:footnote w:id="26">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27">
    <w:p>
      <w:pPr>
        <w:pStyle w:val="FootnoteText"/>
      </w:pPr>
      <w:r>
        <w:rPr>
          <w:rStyle w:val="FootnoteReference"/>
        </w:rPr>
        <w:footnoteRef/>
      </w:r>
      <w:r>
        <w:t xml:space="preserve"> </w:t>
      </w:r>
      <w:r>
        <w:t xml:space="preserve">Schütt, K. T., et al. (2017). SchNet: A continuous-filter convolutional neural network for modeling quantum interactions.</w:t>
      </w:r>
      <w:r>
        <w:t xml:space="preserve"> </w:t>
      </w:r>
      <w:r>
        <w:rPr>
          <w:i/>
          <w:iCs/>
        </w:rPr>
        <w:t xml:space="preserve">Advances in Neural Information Processing Systems</w:t>
      </w:r>
      <w:r>
        <w:t xml:space="preserve"> </w:t>
      </w:r>
      <w:r>
        <w:t xml:space="preserve">30.</w:t>
      </w:r>
    </w:p>
  </w:footnote>
  <w:footnote w:id="28">
    <w:p>
      <w:pPr>
        <w:pStyle w:val="FootnoteText"/>
      </w:pPr>
      <w:r>
        <w:rPr>
          <w:rStyle w:val="FootnoteReference"/>
        </w:rPr>
        <w:footnoteRef/>
      </w:r>
      <w:r>
        <w:t xml:space="preserve"> </w:t>
      </w: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w:t>
      </w:r>
      <w:r>
        <w:t xml:space="preserve">35.</w:t>
      </w:r>
    </w:p>
  </w:footnote>
  <w:footnote w:id="37">
    <w:p>
      <w:pPr>
        <w:pStyle w:val="FootnoteText"/>
      </w:pPr>
      <w:r>
        <w:rPr>
          <w:rStyle w:val="FootnoteReference"/>
        </w:rPr>
        <w:footnoteRef/>
      </w:r>
      <w:r>
        <w:t xml:space="preserve"> </w:t>
      </w:r>
      <w:r>
        <w:t xml:space="preserve">Nichol, A., &amp; Dhariwal, P. (2021). Improved denoising diffusion probabilistic models.</w:t>
      </w:r>
      <w:r>
        <w:t xml:space="preserve"> </w:t>
      </w:r>
      <w:r>
        <w:rPr>
          <w:i/>
          <w:iCs/>
        </w:rPr>
        <w:t xml:space="preserve">International Conference on Machine Learning</w:t>
      </w:r>
      <w:r>
        <w:t xml:space="preserve">.</w:t>
      </w:r>
    </w:p>
  </w:footnote>
  <w:footnote w:id="39">
    <w:p>
      <w:pPr>
        <w:pStyle w:val="FootnoteText"/>
      </w:pPr>
      <w:r>
        <w:rPr>
          <w:rStyle w:val="FootnoteReference"/>
        </w:rPr>
        <w:footnoteRef/>
      </w:r>
      <w:r>
        <w:t xml:space="preserve"> </w:t>
      </w:r>
      <w:r>
        <w:t xml:space="preserve">Toby, B. H., &amp; Von Dreele, R. B. (2013). GSAS-II: the genesis of a modern open-source all purpose crystallography software package.</w:t>
      </w:r>
      <w:r>
        <w:t xml:space="preserve"> </w:t>
      </w:r>
      <w:r>
        <w:rPr>
          <w:i/>
          <w:iCs/>
        </w:rPr>
        <w:t xml:space="preserve">Journal of Applied Crystallography</w:t>
      </w:r>
      <w:r>
        <w:t xml:space="preserve">, 46(2), 544–549. Code:</w:t>
      </w:r>
      <w:r>
        <w:t xml:space="preserve"> </w:t>
      </w:r>
      <w:r>
        <w:rPr>
          <w:rStyle w:val="VerbatimChar"/>
        </w:rPr>
        <w:t xml:space="preserve">github.com/AdvancedPhotonSource/GSAS-II</w:t>
      </w:r>
      <w:r>
        <w:t xml:space="preserve">.</w:t>
      </w:r>
    </w:p>
  </w:footnote>
  <w:footnote w:id="41">
    <w:p>
      <w:pPr>
        <w:pStyle w:val="FootnoteText"/>
      </w:pPr>
      <w:r>
        <w:rPr>
          <w:rStyle w:val="FootnoteReference"/>
        </w:rPr>
        <w:footnoteRef/>
      </w:r>
      <w:r>
        <w:t xml:space="preserve"> </w:t>
      </w:r>
      <w:r>
        <w:t xml:space="preserve">Song, J., Meng, C., &amp; Ermon, S. (2021). Denoising diffusion implicit models.</w:t>
      </w:r>
      <w:r>
        <w:t xml:space="preserve"> </w:t>
      </w:r>
      <w:r>
        <w:rPr>
          <w:i/>
          <w:iCs/>
        </w:rPr>
        <w:t xml:space="preserve">International Conference on Learning Representations</w:t>
      </w:r>
      <w:r>
        <w:t xml:space="preserve">.</w:t>
      </w:r>
    </w:p>
  </w:footnote>
  <w:footnote w:id="44">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56">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57">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63">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64" Target="media/rId64.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2026-06-16T04:01:17Z</dcterms:created>
  <dcterms:modified xsi:type="dcterms:W3CDTF">2026-06-16T04:01:17Z</dcterms:modified>
</cp:coreProperties>
</file>

<file path=docProps/custom.xml><?xml version="1.0" encoding="utf-8"?>
<Properties xmlns="http://schemas.openxmlformats.org/officeDocument/2006/custom-properties" xmlns:vt="http://schemas.openxmlformats.org/officeDocument/2006/docPropsVTypes"/>
</file>