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Conditional Diffusion for Powder-Diffraction Inversion: an Encoder-Bottleneck Diagnosis and Shared-Harness Reproduction</w:t>
      </w:r>
    </w:p>
    <w:p>
      <w:pPr>
        <w:pStyle w:val="FirstParagraph"/>
      </w:pPr>
      <w:r>
        <w:rPr>
          <w:b/>
          <w:bCs/>
        </w:rPr>
        <w:t xml:space="preserve">Frank Cai</w:t>
      </w:r>
    </w:p>
    <w:p>
      <w:pPr>
        <w:pStyle w:val="BodyText"/>
      </w:pPr>
      <w:r>
        <w:t xml:space="preserve">Independent Researcher, Fort Wayne, IN, USA</w:t>
      </w:r>
    </w:p>
    <w:p>
      <w:pPr>
        <w:pStyle w:val="BodyText"/>
      </w:pPr>
      <w:r>
        <w:t xml:space="preserve">frankyc11223@gmail.com</w:t>
      </w:r>
    </w:p>
    <w:p>
      <w:pPr>
        <w:pStyle w:val="BodyText"/>
      </w:pPr>
      <w:r>
        <w:rPr>
          <w:i/>
          <w:iCs/>
        </w:rPr>
        <w:t xml:space="preserve">Manuscript type: Article, a methodological study with reproduction and negative results.</w:t>
      </w:r>
    </w:p>
    <w:p>
      <w:r>
        <w:pict>
          <v:rect style="width:0;height:1.5pt" o:hralign="center" o:hrstd="t" o:hr="t"/>
        </w:pict>
      </w:r>
    </w:p>
    <w:bookmarkStart w:id="9" w:name="abstract"/>
    <w:p>
      <w:pPr>
        <w:pStyle w:val="Heading1"/>
      </w:pPr>
      <w:r>
        <w:t xml:space="preserve">Abstract</w:t>
      </w:r>
    </w:p>
    <w:p>
      <w:pPr>
        <w:pStyle w:val="FirstParagraph"/>
      </w:pPr>
      <w:r>
        <w:t xml:space="preserve">Inverting a 1D powder X-ray diffraction (PXRD) pattern to a 3D crystal structure remains open, and recent generative approaches report numbers under mutually incompatible protocols with failure modes seldom catalogued. We present</w:t>
      </w:r>
      <w:r>
        <w:t xml:space="preserve"> </w:t>
      </w:r>
      <w:r>
        <w:rPr>
          <w:b/>
          <w:bCs/>
        </w:rPr>
        <w:t xml:space="preserve">PXRD-Diff</w:t>
      </w:r>
      <w:r>
        <w:t xml:space="preserve">, a 3.7 M-parameter conditional diffusion model on the CDVAE MP-20 split, and reproduce DiffractGPT [1], PXRDnet [2], and deCIFer [3] through the</w:t>
      </w:r>
      <w:r>
        <w:t xml:space="preserve"> </w:t>
      </w:r>
      <w:r>
        <w:rPr>
          <w:i/>
          <w:iCs/>
        </w:rPr>
        <w:t xml:space="preserve">same</w:t>
      </w:r>
      <w:r>
        <w:t xml:space="preserve"> </w:t>
      </w:r>
      <w:r>
        <w:rPr>
          <w:rStyle w:val="VerbatimChar"/>
        </w:rPr>
        <w:t xml:space="preserve">pymatgen.StructureMatcher</w:t>
      </w:r>
      <w:r>
        <w:t xml:space="preserve"> </w:t>
      </w:r>
      <w:r>
        <w:t xml:space="preserve">harness. Our central, statistically robust finding is mechanistic: the learned PXRD encoder reaches a 0.007</w:t>
      </w:r>
      <w:r>
        <w:t xml:space="preserve"> </w:t>
      </w:r>
      <w:r>
        <w:rPr>
          <w:i/>
          <w:iCs/>
        </w:rPr>
        <w:t xml:space="preserve">normalised</w:t>
      </w:r>
      <w:r>
        <w:t xml:space="preserve"> </w:t>
      </w:r>
      <w:r>
        <w:t xml:space="preserve">auxiliary lattice-regression loss in isolation, yet substituting that head’s own lattice into the sampler recovers only 1.2 %, because its ~1.1 Å length error shifts every Bragg peak by ~15 %. The limiter is the global pooling that discards absolute peak positions, not the denoiser alone. A perturbation study locates a sharp sensitivity knee at ~0.5 Å cell error, and a true-lattice oracle lifts match to</w:t>
      </w:r>
      <w:r>
        <w:t xml:space="preserve"> </w:t>
      </w:r>
      <w:r>
        <w:rPr>
          <w:b/>
          <w:bCs/>
        </w:rPr>
        <w:t xml:space="preserve">4.5 %</w:t>
      </w:r>
      <w:r>
        <w:t xml:space="preserve"> </w:t>
      </w:r>
      <w:r>
        <w:t xml:space="preserve">at n = 1000 (three seeds; 95 % Wilson CI [3.8, 5.3]), disjoint from the no-true-lattice indexer’s 1.5 % [1.2, 2.0]. Replacing the learned lattice head with a classical Q-space autoindexer raises no-true-lattice match to 1.5 % from a learned head that recovers essentially nothing; a three-seed paired McNemar test confirms the gain is significant (p &lt; 10⁻⁴; 27 fixed, none broken), concentrated in the high-symmetry systems below the knee. Reproduced on one harness, deCIFer reaches 73.8 % match, DiffractGPT 18.9 %, and PXRDnet 30.0 %, leaving PXRD-Diff 12–46× behind. The contributions are the encoder-bottleneck diagnosis, the classical-indexer drop-in, a four-item failure catalogue, and the shared evaluation harness; code, checkpoints, and the differentiable Bragg simulator are released.</w:t>
      </w:r>
    </w:p>
    <w:p>
      <w:pPr>
        <w:pStyle w:val="BodyText"/>
      </w:pPr>
      <w:r>
        <w:rPr>
          <w:b/>
          <w:bCs/>
        </w:rPr>
        <w:t xml:space="preserve">Keywords:</w:t>
      </w:r>
      <w:r>
        <w:t xml:space="preserve"> </w:t>
      </w:r>
      <w:r>
        <w:t xml:space="preserve">machine learning for materials discovery; generative models; denoising diffusion; crystal structure prediction; powder X-ray diffraction; differentiable simulation; benchmarking and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[1], Crystalyze [4], PXRDnet [2])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to</w:t>
      </w:r>
      <w:r>
        <w:t xml:space="preserve"> </w:t>
      </w:r>
      <w:r>
        <w:rPr>
          <w:b/>
          <w:bCs/>
        </w:rPr>
        <w:t xml:space="preserve">4.5 %</w:t>
      </w:r>
      <w:r>
        <w:t xml:space="preserve"> </w:t>
      </w:r>
      <w:r>
        <w:t xml:space="preserve">at n = 1000 (three-seed firm-up of an earlier single-seed 5.6 %; Wilson 95 % CI [3.8, 5.3], disjoint from the indexer’s [1.2, 2.0]). The encoder reaches a 0.007</w:t>
      </w:r>
      <w:r>
        <w:t xml:space="preserve"> </w:t>
      </w:r>
      <w:r>
        <w:rPr>
          <w:i/>
          <w:iCs/>
        </w:rPr>
        <w:t xml:space="preserve">normalised</w:t>
      </w:r>
      <w:r>
        <w:t xml:space="preserve"> </w:t>
      </w:r>
      <w:r>
        <w:t xml:space="preserve">aux lattice loss in isolation, but substituting that head’s lattice into the sampler recovers only 1.2 % (§5.6). Its ~1.1 Å error sits well above the knee, so the pooled encoding, not merely the denoiser, fails to deliver absolute d-spacings. The lattice channel is the dominant</w:t>
      </w:r>
      <w:r>
        <w:t xml:space="preserve"> </w:t>
      </w:r>
      <w:r>
        <w:rPr>
          <w:i/>
          <w:iCs/>
        </w:rPr>
        <w:t xml:space="preserve">accessible</w:t>
      </w:r>
      <w:r>
        <w:t xml:space="preserve"> </w:t>
      </w:r>
      <w:r>
        <w:t xml:space="preserve">limiter; the 4.5 % oracle ceiling shows coordinates remain a co-bottleneck.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 [5].</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[6] introduced the MP-20 protocol; DiffCSP [7] used joint coord+lattice diffusion; MatterGen [8]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[1] is a fine-tuned Mistral-7B that decodes peak list + formula → CIF tokens. Crystalyze [4] uses CDVAE conditioned on an XRD transformer encoder with post-hoc symmetry filtering. PXRDnet [2]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[3]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 [9] 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 [10]. Relevant to our negative results, Segal et al. [5]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[11]). A frozen MACE [12]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2"/>
      </w:pP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17" w:name="fig:validation"/>
    <w:p>
      <w:pPr>
        <w:pStyle w:val="CaptionedFigure"/>
      </w:pPr>
      <w:r>
        <w:drawing>
          <wp:inline>
            <wp:extent cx="4140794" cy="2672861"/>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40794" cy="2672861"/>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VP-SDE with cosine schedule [13]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6e75ac1b115bab34c6f95946b56455b7789be55"/>
    <w:p>
      <w:pPr>
        <w:pStyle w:val="Heading2"/>
      </w:pP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 [14] 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20"/>
    <w:bookmarkStart w:id="21" w:name="sampling"/>
    <w:p>
      <w:pPr>
        <w:pStyle w:val="Heading2"/>
      </w:pPr>
      <w:r>
        <w:t xml:space="preserve">3.6 Sampling</w:t>
      </w:r>
    </w:p>
    <w:p>
      <w:pPr>
        <w:pStyle w:val="FirstParagraph"/>
      </w:pPr>
      <w:r>
        <w:t xml:space="preserve">DDIM [15]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[6]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6" w:name="results"/>
    <w:p>
      <w:pPr>
        <w:pStyle w:val="Heading1"/>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28"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2893"/>
            <wp:effectExtent b="0" l="0" r="0" t="0"/>
            <wp:docPr descr="Figure 2. Phase 4 architectural ablation.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2893"/>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(1.20 % vs 1.35 % pooled; x₀ never exceeds 1.5 % at any checkpoint, including the 80 k one matching the original’s 79.5 k, §7), so the 3.5× match lift was a single-seed fluctuation. The x₀-residual parameterisation does, however, reproducibly improve pattern-Pearson (0.36 → 0.40), which is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4.5 % under oracle (three seeds; an earlier single-seed snapshot read 5.6 %) but only 1.0 % under full pipeline. §5.2 attacks that gap.</w:t>
      </w:r>
    </w:p>
    <w:bookmarkEnd w:id="28"/>
    <w:bookmarkStart w:id="33" w:name="phase-9-classical-indexer-drop-in"/>
    <w:p>
      <w:pPr>
        <w:pStyle w:val="Heading2"/>
      </w:pPr>
      <w:r>
        <w:t xml:space="preserve">5.2 Phase 9: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n/a</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versus all 3 000 for the indexer; the paired test runs on the 1 949-structure intersection (every learned-head row has a matched indexer row).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indexer 46 / 3 000, learned 0 / 1 949,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the indexer fixes the cell but not the space group. So the drop-in reproducibly improves match rate over the learned lattice head;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We re-ran the oracle at three seeds, firming the single-seed 5.6 % to</w:t>
      </w:r>
      <w:r>
        <w:t xml:space="preserve"> </w:t>
      </w:r>
      <w:r>
        <w:rPr>
          <w:b/>
          <w:bCs/>
        </w:rPr>
        <w:t xml:space="preserve">4.5 % [3.8, 5.3]</w:t>
      </w:r>
      <w:r>
        <w:t xml:space="preserve"> </w:t>
      </w:r>
      <w:r>
        <w:t xml:space="preserve">(135 / 3 000 pooled), still disjoint from the indexer’s 1.5 % [1.2, 2.0]. The indexer → oracle gap (1.5 → 4.5 %) is itself significant (disjoint CIs) and isolates the lattice-attributable error: even with a perfect lattice, match caps at 4.5 %, so coordinate prediction is the dominant limiter while lattice error explains the 1.5 → 4.5 %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254"/>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254"/>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 [1]</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[2]</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[3]</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~46× above PXRD-Diff; notably its all-correct nearly equals its match, i.e. when it recovers structure it almost always recovers the space group too, the same CIF-token signature seen in DGpt. PXRDnet’s lead over DGpt is consistent with its 35 k-op latent optimisation, whereas DGpt is one forward pass. PXRD-Diff is 12–19× behind PXRDnet/DGpt.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published single-number</w:t>
      </w:r>
      <w:r>
        <w:t xml:space="preserve"> </w:t>
      </w:r>
      <w:r>
        <w:t xml:space="preserve">“match rates”</w:t>
      </w:r>
      <w:r>
        <w:t xml:space="preserve"> </w:t>
      </w:r>
      <w:r>
        <w:t xml:space="preserve">would conflate structure recovery with symmetry recovery,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The gap is capability and compute, not input information.</w:t>
      </w:r>
      <w:r>
        <w:t xml:space="preserve"> </w:t>
      </w:r>
      <w:r>
        <w:t xml:space="preserve">All three systems are given the same chemistry (composition/formula; §3.1), so it is worth checking whether the 12–19× gap could instead be an artefact of one model being handed a richer</w:t>
      </w:r>
      <w:r>
        <w:t xml:space="preserve"> </w:t>
      </w:r>
      <w:r>
        <w:rPr>
          <w:i/>
          <w:iCs/>
        </w:rPr>
        <w:t xml:space="preserve">pattern</w:t>
      </w:r>
      <w:r>
        <w:t xml:space="preserve">. It is not; if anything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baselines do not win by seeing more of the pattern. The asymmetries that do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The honest reading of Table 3 is therefore a capability/compute gap at fixed input information, not an artefact of unequal input information; it is exactly the gap a deliberately small diagnostic model is expected to exhibit (§6).</w:t>
      </w:r>
    </w:p>
    <w:bookmarkStart w:id="37" w:name="fig:threeway"/>
    <w:p>
      <w:pPr>
        <w:pStyle w:val="CaptionedFigure"/>
      </w:pPr>
      <w:r>
        <w:drawing>
          <wp:inline>
            <wp:extent cx="5334000" cy="2210273"/>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273"/>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material_ids are identical, pattern inputs are not bit-identical; §7 bounds this.</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 et al. [5],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42" w:name="fig:training"/>
    <w:p>
      <w:pPr>
        <w:pStyle w:val="CaptionedFigure"/>
      </w:pPr>
      <w:r>
        <w:drawing>
          <wp:inline>
            <wp:extent cx="5334000" cy="2277073"/>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7073"/>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encoder-bottleneck-perturbation-study"/>
    <w:p>
      <w:pPr>
        <w:pStyle w:val="Heading2"/>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limiter is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it works where it can.</w:t>
      </w:r>
    </w:p>
    <w:bookmarkEnd w:id="44"/>
    <w:bookmarkStart w:id="45" w:name="Xe14ee5fe759b907ea0190421ae7272432ef5613"/>
    <w:p>
      <w:pPr>
        <w:pStyle w:val="Heading2"/>
      </w:pPr>
      <w:r>
        <w:t xml:space="preserve">5.6 Why the learned lattice fails: a pooling bottleneck, not a head bottleneck</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is a property of the</w:t>
      </w:r>
      <w:r>
        <w:t xml:space="preserve"> </w:t>
      </w:r>
      <w:r>
        <w:rPr>
          <w:i/>
          <w:iCs/>
        </w:rPr>
        <w:t xml:space="preserve">pooled global encoding</w:t>
      </w:r>
      <w:r>
        <w:t xml:space="preserve">, not of the head: the</w:t>
      </w:r>
      <w:r>
        <w:t xml:space="preserve"> </w:t>
      </w:r>
      <w:r>
        <w:rPr>
          <w:rStyle w:val="VerbatimChar"/>
        </w:rPr>
        <w:t xml:space="preserve">AdaptiveAvgPool1d(1)</w:t>
      </w:r>
      <w:r>
        <w:t xml:space="preserve"> </w:t>
      </w:r>
      <w:r>
        <w:t xml:space="preserve">collapse that §3.2 already identified for coordinates discards the peak-position fidelity Bragg’s-law decoding needs to fix absolute lengths, and no head reading</w:t>
      </w:r>
      <w:r>
        <w:t xml:space="preserve"> </w:t>
      </w:r>
      <m:oMath>
        <m:r>
          <m:rPr>
            <m:sty m:val="bi"/>
          </m:rPr>
          <m:t>g</m:t>
        </m:r>
      </m:oMath>
      <w:r>
        <w:t xml:space="preserve"> </w:t>
      </w:r>
      <w:r>
        <w:t xml:space="preserve">recovers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The architectural implication is concrete: the next gain must come from the encoder (explicit d-spacing/peak extraction or per-peak attention in place of global pooling), not from a better lattice head or a better denoiser.</w:t>
      </w:r>
    </w:p>
    <w:p>
      <w:r>
        <w:pict>
          <v:rect style="width:0;height:1.5pt" o:hralign="center" o:hrstd="t" o:hr="t"/>
        </w:pict>
      </w:r>
    </w:p>
    <w:bookmarkEnd w:id="45"/>
    <w:bookmarkEnd w:id="46"/>
    <w:bookmarkStart w:id="47" w:name="discussion"/>
    <w:p>
      <w:pPr>
        <w:pStyle w:val="Heading1"/>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limiter is therefore the global pooling that discards absolute peak-position fidelity, not the denoiser’s use of an otherwise-adequate signal; the disjoint oracle-vs-indexer CIs (§5.2) make the lattice’s role the paper’s statistically firmest claim. The Q-space autoindexer, which reads peak positions directly, recovers part of the 4.5 %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4.5 %, so even a perfect lattice leaves coordinates as a co-limiter;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(encoder + Phase 4 fixes + Phase 9 indexer drop-in) is 3.7 M parameters and runs inference in seconds.</w:t>
      </w:r>
    </w:p>
    <w:p>
      <w:r>
        <w:pict>
          <v:rect style="width:0;height:1.5pt" o:hralign="center" o:hrstd="t" o:hr="t"/>
        </w:pict>
      </w:r>
    </w:p>
    <w:bookmarkEnd w:id="47"/>
    <w:bookmarkStart w:id="48" w:name="limitations"/>
    <w:p>
      <w:pPr>
        <w:pStyle w:val="Heading1"/>
      </w:pP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2"/>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oracle-vs-indexer gap has disjoint CIs. The indexer-vs-learned-head comparison was rerun at three seeds and the lift confirmed significant by a paired McNemar test (p &lt; 10⁻⁴; §5.2), superseding the earlier underpowered unpaired test (p = 0.24). The oracle has since been multi-seeded: three seeds give 4.5 % [3.8, 5.3] pooled, firming the single-seed 5.6 %.</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1.5 %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advantage over the learned head holds only for well-calibrated input.</w:t>
      </w:r>
    </w:p>
    <w:p>
      <w:pPr>
        <w:pStyle w:val="Compact"/>
        <w:numPr>
          <w:ilvl w:val="0"/>
          <w:numId w:val="1002"/>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8"/>
    <w:bookmarkStart w:id="49" w:name="conclusion"/>
    <w:p>
      <w:pPr>
        <w:pStyle w:val="Heading1"/>
      </w:pP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a significant improvement over the learned lattice head, which recovers essentially nothing (three-seed paired McNemar p &lt; 10⁻⁴), and 4.5 % [3.8, 5.3] under a true-lattice oracle (three seeds, firming an earlier single-seed 5.6 %). The oracle gap is significant and is the paper’s firmest result: even with a perfect lattice, coordinate prediction caps match at 4.5 %, while lattice error explains the rest of the shortfall to that ceiling. Reproduced on the same</w:t>
      </w:r>
      <w:r>
        <w:t xml:space="preserve"> </w:t>
      </w:r>
      <w:r>
        <w:rPr>
          <w:rStyle w:val="VerbatimChar"/>
        </w:rPr>
        <w:t xml:space="preserve">StructureMatcher</w:t>
      </w:r>
      <w:r>
        <w:t xml:space="preserve"> </w:t>
      </w:r>
      <w:r>
        <w:t xml:space="preserve">harness, deCIFer reaches 73.8 % / 69.5 %, DGpt 18.9 % / 15.9 %, and PXRDnet 30.0 % / 5.0 % (match / all-correct); PXRD-Diff is 12–46× behind. The apparent divergence in their space-group recovery is a measurement hypothesis the n = 20 PXRDnet sample cannot yet confirm, but the shared harness now makes it testable. The lattice-input fix and the classical-autoindexer drop-in are load-bearing; the x₀-residual switch improves pattern-Pearson but its single-seed match-rate lift did not replicate (§7); the remaining interventions are documented as failures. Code, checkpoints, all per-phase JSONs, both indexer paths, and the differentiable Bragg module are released.</w:t>
      </w:r>
    </w:p>
    <w:p>
      <w:r>
        <w:pict>
          <v:rect style="width:0;height:1.5pt" o:hralign="center" o:hrstd="t" o:hr="t"/>
        </w:pict>
      </w:r>
    </w:p>
    <w:bookmarkEnd w:id="49"/>
    <w:bookmarkStart w:id="50" w:name="acknowledgments"/>
    <w:p>
      <w:pPr>
        <w:pStyle w:val="Heading1"/>
      </w:pP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50"/>
    <w:bookmarkStart w:id="51"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1"/>
    <w:bookmarkStart w:id="52" w:name="conflict-of-interest"/>
    <w:p>
      <w:pPr>
        <w:pStyle w:val="Heading1"/>
      </w:pPr>
      <w:r>
        <w:t xml:space="preserve">Conflict of Interest</w:t>
      </w:r>
    </w:p>
    <w:p>
      <w:pPr>
        <w:pStyle w:val="FirstParagraph"/>
      </w:pPr>
      <w:r>
        <w:t xml:space="preserve">The author declares no competing interests.</w:t>
      </w:r>
    </w:p>
    <w:bookmarkEnd w:id="52"/>
    <w:bookmarkStart w:id="53" w:name="funding"/>
    <w:p>
      <w:pPr>
        <w:pStyle w:val="Heading1"/>
      </w:pPr>
      <w:r>
        <w:t xml:space="preserve">Funding</w:t>
      </w:r>
    </w:p>
    <w:p>
      <w:pPr>
        <w:pStyle w:val="FirstParagraph"/>
      </w:pPr>
      <w:r>
        <w:t xml:space="preserve">This research received no external funding.</w:t>
      </w:r>
    </w:p>
    <w:bookmarkEnd w:id="53"/>
    <w:bookmarkStart w:id="55"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4">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w:t>
      </w:r>
    </w:p>
    <w:bookmarkEnd w:id="55"/>
    <w:bookmarkStart w:id="56"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6"/>
    <w:bookmarkStart w:id="57" w:name="references"/>
    <w:p>
      <w:pPr>
        <w:pStyle w:val="Heading1"/>
      </w:pPr>
      <w:r>
        <w:t xml:space="preserve">References</w:t>
      </w:r>
    </w:p>
    <w:p>
      <w:pPr>
        <w:pStyle w:val="Compact"/>
        <w:numPr>
          <w:ilvl w:val="0"/>
          <w:numId w:val="1003"/>
        </w:numPr>
      </w:pP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Compact"/>
        <w:numPr>
          <w:ilvl w:val="0"/>
          <w:numId w:val="1003"/>
        </w:numPr>
      </w:pP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Compact"/>
        <w:numPr>
          <w:ilvl w:val="0"/>
          <w:numId w:val="1003"/>
        </w:numPr>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Compact"/>
        <w:numPr>
          <w:ilvl w:val="0"/>
          <w:numId w:val="1003"/>
        </w:numPr>
      </w:pP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Compact"/>
        <w:numPr>
          <w:ilvl w:val="0"/>
          <w:numId w:val="1003"/>
        </w:numPr>
      </w:pP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p>
      <w:pPr>
        <w:pStyle w:val="Compact"/>
        <w:numPr>
          <w:ilvl w:val="0"/>
          <w:numId w:val="1003"/>
        </w:numPr>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Compact"/>
        <w:numPr>
          <w:ilvl w:val="0"/>
          <w:numId w:val="1003"/>
        </w:numPr>
      </w:pPr>
      <w:r>
        <w:t xml:space="preserve">Jiao, R., et al. (2023). Crystal structure prediction by joint equivariant diffusion.</w:t>
      </w:r>
      <w:r>
        <w:t xml:space="preserve"> </w:t>
      </w:r>
      <w:r>
        <w:rPr>
          <w:i/>
          <w:iCs/>
        </w:rPr>
        <w:t xml:space="preserve">Advances in Neural Information Processing Systems</w:t>
      </w:r>
      <w:r>
        <w:t xml:space="preserve"> </w:t>
      </w:r>
      <w:r>
        <w:t xml:space="preserve">36.</w:t>
      </w:r>
    </w:p>
    <w:p>
      <w:pPr>
        <w:pStyle w:val="Compact"/>
        <w:numPr>
          <w:ilvl w:val="0"/>
          <w:numId w:val="1003"/>
        </w:numPr>
      </w:pPr>
      <w:r>
        <w:t xml:space="preserve">Zeni, C., et al. (2024). MatterGen: A generative model for inorganic materials design.</w:t>
      </w:r>
      <w:r>
        <w:t xml:space="preserve"> </w:t>
      </w:r>
      <w:r>
        <w:rPr>
          <w:i/>
          <w:iCs/>
        </w:rPr>
        <w:t xml:space="preserve">arXiv:2312.03687</w:t>
      </w:r>
      <w:r>
        <w:t xml:space="preserve">.</w:t>
      </w:r>
    </w:p>
    <w:p>
      <w:pPr>
        <w:pStyle w:val="Compact"/>
        <w:numPr>
          <w:ilvl w:val="0"/>
          <w:numId w:val="1003"/>
        </w:numPr>
      </w:pPr>
      <w:r>
        <w:t xml:space="preserve">Boultif, A., &amp; Louër, D. (2004). Powder pattern indexing with the dichotomy method.</w:t>
      </w:r>
      <w:r>
        <w:t xml:space="preserve"> </w:t>
      </w:r>
      <w:r>
        <w:rPr>
          <w:i/>
          <w:iCs/>
        </w:rPr>
        <w:t xml:space="preserve">Journal of Applied Crystallography</w:t>
      </w:r>
      <w:r>
        <w:t xml:space="preserve">, 37(5), 724–731. DOI: 10.1107/S0021889804014876.</w:t>
      </w:r>
    </w:p>
    <w:p>
      <w:pPr>
        <w:pStyle w:val="Compact"/>
        <w:numPr>
          <w:ilvl w:val="0"/>
          <w:numId w:val="1003"/>
        </w:numPr>
      </w:pPr>
      <w:r>
        <w:t xml:space="preserve">Guo, J., &amp; Schwalbe-Koda, D. (2026). Generative Inversion of Spectroscopic Data for Amorphous Structure Elucidation.</w:t>
      </w:r>
      <w:r>
        <w:t xml:space="preserve"> </w:t>
      </w:r>
      <w:r>
        <w:rPr>
          <w:i/>
          <w:iCs/>
        </w:rPr>
        <w:t xml:space="preserve">arXiv:2603.23210</w:t>
      </w:r>
      <w:r>
        <w:t xml:space="preserve">.</w:t>
      </w:r>
    </w:p>
    <w:p>
      <w:pPr>
        <w:pStyle w:val="Compact"/>
        <w:numPr>
          <w:ilvl w:val="0"/>
          <w:numId w:val="1003"/>
        </w:numPr>
      </w:pPr>
      <w:r>
        <w:t xml:space="preserve">Schütt, K. T., et al. (2017). SchNet: A continuous-filter convolutional neural network for modeling quantum interactions.</w:t>
      </w:r>
      <w:r>
        <w:t xml:space="preserve"> </w:t>
      </w:r>
      <w:r>
        <w:rPr>
          <w:i/>
          <w:iCs/>
        </w:rPr>
        <w:t xml:space="preserve">Advances in Neural Information Processing Systems</w:t>
      </w:r>
      <w:r>
        <w:t xml:space="preserve"> </w:t>
      </w:r>
      <w:r>
        <w:t xml:space="preserve">30.</w:t>
      </w:r>
    </w:p>
    <w:p>
      <w:pPr>
        <w:pStyle w:val="Compact"/>
        <w:numPr>
          <w:ilvl w:val="0"/>
          <w:numId w:val="1003"/>
        </w:numPr>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w:t>
      </w:r>
      <w:r>
        <w:t xml:space="preserve">35.</w:t>
      </w:r>
    </w:p>
    <w:p>
      <w:pPr>
        <w:pStyle w:val="Compact"/>
        <w:numPr>
          <w:ilvl w:val="0"/>
          <w:numId w:val="1003"/>
        </w:numPr>
      </w:pPr>
      <w:r>
        <w:t xml:space="preserve">Nichol, A., &amp; Dhariwal, P. (2021). Improved denoising diffusion probabilistic models.</w:t>
      </w:r>
      <w:r>
        <w:t xml:space="preserve"> </w:t>
      </w:r>
      <w:r>
        <w:rPr>
          <w:i/>
          <w:iCs/>
        </w:rPr>
        <w:t xml:space="preserve">International Conference on Machine Learning</w:t>
      </w:r>
      <w:r>
        <w:t xml:space="preserve">.</w:t>
      </w:r>
    </w:p>
    <w:p>
      <w:pPr>
        <w:pStyle w:val="Compact"/>
        <w:numPr>
          <w:ilvl w:val="0"/>
          <w:numId w:val="1003"/>
        </w:numPr>
      </w:pPr>
      <w:r>
        <w:t xml:space="preserve">Toby, B. H., &amp; Von Dreele, R. B. (2013). GSAS-II: the genesis of a modern open-source all purpose crystallography software package.</w:t>
      </w:r>
      <w:r>
        <w:t xml:space="preserve"> </w:t>
      </w:r>
      <w:r>
        <w:rPr>
          <w:i/>
          <w:iCs/>
        </w:rPr>
        <w:t xml:space="preserve">Journal of Applied Crystallography</w:t>
      </w:r>
      <w:r>
        <w:t xml:space="preserve">, 46(2), 544–549. Code:</w:t>
      </w:r>
      <w:r>
        <w:t xml:space="preserve"> </w:t>
      </w:r>
      <w:r>
        <w:rPr>
          <w:rStyle w:val="VerbatimChar"/>
        </w:rPr>
        <w:t xml:space="preserve">github.com/AdvancedPhotonSource/GSAS-II</w:t>
      </w:r>
      <w:r>
        <w:t xml:space="preserve">.</w:t>
      </w:r>
    </w:p>
    <w:p>
      <w:pPr>
        <w:pStyle w:val="Compact"/>
        <w:numPr>
          <w:ilvl w:val="0"/>
          <w:numId w:val="1003"/>
        </w:numPr>
      </w:pPr>
      <w:r>
        <w:t xml:space="preserve">Song, J., Meng, C., &amp; Ermon, S. (2021). Denoising diffusion implicit models.</w:t>
      </w:r>
      <w:r>
        <w:t xml:space="preserve"> </w:t>
      </w:r>
      <w:r>
        <w:rPr>
          <w:i/>
          <w:iCs/>
        </w:rPr>
        <w:t xml:space="preserve">International Conference on Learning Representations</w:t>
      </w:r>
      <w:r>
        <w:t xml:space="preserve">.</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7"/>
    <w:bookmarkStart w:id="62" w:name="appendix"/>
    <w:p>
      <w:pPr>
        <w:pStyle w:val="Heading1"/>
      </w:pPr>
      <w:r>
        <w:t xml:space="preserve">Appendix</w:t>
      </w:r>
    </w:p>
    <w:bookmarkStart w:id="58"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4.5 % (true-lat oracle, 3-seed)</w:t>
            </w:r>
          </w:p>
        </w:tc>
        <w:tc>
          <w:tcPr/>
          <w:p>
            <w:pPr>
              <w:pStyle w:val="Compact"/>
            </w:pPr>
            <w:r>
              <w:t xml:space="preserve">Tables 2, 3</w:t>
            </w:r>
          </w:p>
        </w:tc>
      </w:tr>
    </w:tbl>
    <w:bookmarkEnd w:id="58"/>
    <w:bookmarkStart w:id="59"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59"/>
    <w:bookmarkStart w:id="60" w:name="X984f5037fa8fa240d4e7791708ee54c226ae797"/>
    <w:p>
      <w:pPr>
        <w:pStyle w:val="Heading2"/>
      </w:pP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4"/>
        </w:numPr>
      </w:pPr>
      <w:r>
        <w:t xml:space="preserve">Mean: 0.962</w:t>
      </w:r>
    </w:p>
    <w:p>
      <w:pPr>
        <w:pStyle w:val="Compact"/>
        <w:numPr>
          <w:ilvl w:val="0"/>
          <w:numId w:val="1004"/>
        </w:numPr>
      </w:pPr>
      <w:r>
        <w:t xml:space="preserve">Std: 0.027</w:t>
      </w:r>
    </w:p>
    <w:p>
      <w:pPr>
        <w:pStyle w:val="Compact"/>
        <w:numPr>
          <w:ilvl w:val="0"/>
          <w:numId w:val="1004"/>
        </w:numPr>
      </w:pPr>
      <w:r>
        <w:t xml:space="preserve">Min: 0.896 (mp-1213821, layered structure with strong texture in the reference)</w:t>
      </w:r>
    </w:p>
    <w:p>
      <w:pPr>
        <w:pStyle w:val="Compact"/>
        <w:numPr>
          <w:ilvl w:val="0"/>
          <w:numId w:val="1004"/>
        </w:numPr>
      </w:pPr>
      <w:r>
        <w:t xml:space="preserve">Max: 0.998 (mp-149, Si)</w:t>
      </w:r>
    </w:p>
    <w:p>
      <w:pPr>
        <w:pStyle w:val="Compact"/>
        <w:numPr>
          <w:ilvl w:val="0"/>
          <w:numId w:val="1004"/>
        </w:numPr>
      </w:pPr>
      <w:r>
        <w:t xml:space="preserve">Fraction &gt; 0.95: 33/50</w:t>
      </w:r>
    </w:p>
    <w:p>
      <w:pPr>
        <w:pStyle w:val="Compact"/>
        <w:numPr>
          <w:ilvl w:val="0"/>
          <w:numId w:val="1004"/>
        </w:numPr>
      </w:pPr>
      <w:r>
        <w:t xml:space="preserve">Fraction &gt; 0.9: 49/50</w:t>
      </w:r>
    </w:p>
    <w:p>
      <w:pPr>
        <w:pStyle w:val="Compact"/>
        <w:numPr>
          <w:ilvl w:val="0"/>
          <w:numId w:val="1004"/>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60"/>
    <w:bookmarkStart w:id="61" w:name="d.-reproducibility-checklist"/>
    <w:p>
      <w:pPr>
        <w:pStyle w:val="Heading2"/>
      </w:pPr>
      <w:r>
        <w:t xml:space="preserve">D. Reproducibility checklist</w:t>
      </w:r>
    </w:p>
    <w:p>
      <w:pPr>
        <w:pStyle w:val="Compact"/>
        <w:numPr>
          <w:ilvl w:val="0"/>
          <w:numId w:val="1005"/>
        </w:numPr>
      </w:pPr>
      <w:r>
        <w:t xml:space="preserve">Hyperparameters specified (§4.3)</w:t>
      </w:r>
    </w:p>
    <w:p>
      <w:pPr>
        <w:pStyle w:val="Compact"/>
        <w:numPr>
          <w:ilvl w:val="0"/>
          <w:numId w:val="1006"/>
        </w:numPr>
      </w:pPr>
      <w:r>
        <w:t xml:space="preserve">Datasets and splits specified (§4.1; canonical CDVAE MP-20)</w:t>
      </w:r>
    </w:p>
    <w:p>
      <w:pPr>
        <w:pStyle w:val="Compact"/>
        <w:numPr>
          <w:ilvl w:val="0"/>
          <w:numId w:val="1007"/>
        </w:numPr>
      </w:pPr>
      <w:r>
        <w:t xml:space="preserve">Evaluation protocol specified (§4.2)</w:t>
      </w:r>
    </w:p>
    <w:p>
      <w:pPr>
        <w:pStyle w:val="Compact"/>
        <w:numPr>
          <w:ilvl w:val="0"/>
          <w:numId w:val="1008"/>
        </w:numPr>
      </w:pPr>
      <w:r>
        <w:t xml:space="preserve">Random seed: single seed (42) per run; pilot variance ≈ 0.5 % match-rate absolute</w:t>
      </w:r>
    </w:p>
    <w:p>
      <w:pPr>
        <w:pStyle w:val="Compact"/>
        <w:numPr>
          <w:ilvl w:val="0"/>
          <w:numId w:val="1009"/>
        </w:numPr>
      </w:pPr>
      <w:r>
        <w:t xml:space="preserve">Compute environment: PyTorch 2.x, CUDA 12.x, single RTX 5090; Python 3.12</w:t>
      </w:r>
    </w:p>
    <w:p>
      <w:pPr>
        <w:pStyle w:val="Compact"/>
        <w:numPr>
          <w:ilvl w:val="0"/>
          <w:numId w:val="1010"/>
        </w:numPr>
      </w:pPr>
      <w:r>
        <w:t xml:space="preserve">Code, checkpoints, logs, and full training scripts released</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3"/>
  </w:num>
  <w:num w:numId="1006">
    <w:abstractNumId w:val="993"/>
  </w:num>
  <w:num w:numId="1007">
    <w:abstractNumId w:val="993"/>
  </w:num>
  <w:num w:numId="1008">
    <w:abstractNumId w:val="993"/>
  </w:num>
  <w:num w:numId="1009">
    <w:abstractNumId w:val="993"/>
  </w:num>
  <w:num w:numId="1010">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4"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Conditional Diffusion for Powder-Diffraction Inversion: an Encoder-Bottleneck Diagnosis and Shared-Harness Reproduction</dc:title>
  <dc:creator/>
  <cp:keywords/>
  <dcterms:created xsi:type="dcterms:W3CDTF">2026-06-18T01:29:39Z</dcterms:created>
  <dcterms:modified xsi:type="dcterms:W3CDTF">2026-06-18T01:29:39Z</dcterms:modified>
</cp:coreProperties>
</file>

<file path=docProps/custom.xml><?xml version="1.0" encoding="utf-8"?>
<Properties xmlns="http://schemas.openxmlformats.org/officeDocument/2006/custom-properties" xmlns:vt="http://schemas.openxmlformats.org/officeDocument/2006/docPropsVTypes"/>
</file>