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6.png" ContentType="image/png"/>
  <Override PartName="/word/media/rId33.png" ContentType="image/png"/>
  <Override PartName="/word/media/rId5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PXRD-Diff: Conditional Diffusion for Powder-Diffraction Inversion: an Encoder-Bottleneck Diagnosis and Shared-Harness Reproduction</w:t>
      </w:r>
    </w:p>
    <w:p>
      <w:pPr>
        <w:pStyle w:val="FirstParagraph"/>
      </w:pPr>
      <w:r>
        <w:rPr>
          <w:b/>
          <w:bCs/>
        </w:rPr>
        <w:t xml:space="preserve">Frank Cai</w:t>
      </w:r>
      <w:r>
        <w:t xml:space="preserve"> </w:t>
      </w:r>
      <w:r>
        <w:rPr>
          <w:rStyle w:val="VerbatimChar"/>
        </w:rPr>
        <w:t xml:space="preserve">frankyc11223@gmail.com</w:t>
      </w:r>
    </w:p>
    <w:p>
      <w:pPr>
        <w:pStyle w:val="BodyText"/>
      </w:pPr>
      <w:r>
        <w:rPr>
          <w:i/>
          <w:iCs/>
        </w:rPr>
        <w:t xml:space="preserve">Manuscript type: Article, a methodological study with reproduction and negative results.</w:t>
      </w:r>
    </w:p>
    <w:p>
      <w:r>
        <w:pict>
          <v:rect style="width:0;height:1.5pt" o:hralign="center" o:hrstd="t" o:hr="t"/>
        </w:pict>
      </w:r>
    </w:p>
    <w:bookmarkStart w:id="12" w:name="abstract"/>
    <w:p>
      <w:pPr>
        <w:pStyle w:val="Heading1"/>
      </w:pPr>
      <w:r>
        <w:t xml:space="preserve">Abstract</w:t>
      </w:r>
    </w:p>
    <w:p>
      <w:pPr>
        <w:pStyle w:val="FirstParagraph"/>
      </w:pPr>
      <w:r>
        <w:t xml:space="preserve">Inverting a 1D powder X-ray diffraction (PXRD) pattern to a 3D crystal structure remains open, and recent generative approaches report numbers under mutually incompatible protocols with failure modes seldom catalogued. We present</w:t>
      </w:r>
      <w:r>
        <w:t xml:space="preserve"> </w:t>
      </w:r>
      <w:r>
        <w:rPr>
          <w:b/>
          <w:bCs/>
        </w:rPr>
        <w:t xml:space="preserve">PXRD-Diff</w:t>
      </w:r>
      <w:r>
        <w:t xml:space="preserve">, a 3.7 M-parameter conditional diffusion model on the CDVAE MP-20 split, and reproduce DiffractGPT</w:t>
      </w:r>
      <w:r>
        <w:t xml:space="preserve"> </w:t>
      </w:r>
      <w:r>
        <w:rPr>
          <w:rStyle w:val="FootnoteReference"/>
        </w:rPr>
        <w:footnoteReference w:id="9"/>
      </w:r>
      <w:r>
        <w:t xml:space="preserve">, PXRDnet</w:t>
      </w:r>
      <w:r>
        <w:t xml:space="preserve"> </w:t>
      </w:r>
      <w:r>
        <w:rPr>
          <w:rStyle w:val="FootnoteReference"/>
        </w:rPr>
        <w:footnoteReference w:id="10"/>
      </w:r>
      <w:r>
        <w:t xml:space="preserve">, and deCIFer</w:t>
      </w:r>
      <w:r>
        <w:t xml:space="preserve"> </w:t>
      </w:r>
      <w:r>
        <w:rPr>
          <w:rStyle w:val="FootnoteReference"/>
        </w:rPr>
        <w:footnoteReference w:id="11"/>
      </w:r>
      <w:r>
        <w:t xml:space="preserve"> </w:t>
      </w:r>
      <w:r>
        <w:t xml:space="preserve">through the</w:t>
      </w:r>
      <w:r>
        <w:t xml:space="preserve"> </w:t>
      </w:r>
      <w:r>
        <w:rPr>
          <w:i/>
          <w:iCs/>
        </w:rPr>
        <w:t xml:space="preserve">same</w:t>
      </w:r>
      <w:r>
        <w:t xml:space="preserve"> </w:t>
      </w:r>
      <w:r>
        <w:rPr>
          <w:rStyle w:val="VerbatimChar"/>
        </w:rPr>
        <w:t xml:space="preserve">pymatgen.StructureMatcher</w:t>
      </w:r>
      <w:r>
        <w:t xml:space="preserve"> </w:t>
      </w:r>
      <w:r>
        <w:t xml:space="preserve">harness. Our central, statistically robust finding is a</w:t>
      </w:r>
      <w:r>
        <w:t xml:space="preserve"> </w:t>
      </w:r>
      <w:r>
        <w:rPr>
          <w:b/>
          <w:bCs/>
        </w:rPr>
        <w:t xml:space="preserve">mechanism</w:t>
      </w:r>
      <w:r>
        <w:t xml:space="preserve">: the learned PXRD encoder reaches a 0.007</w:t>
      </w:r>
      <w:r>
        <w:t xml:space="preserve"> </w:t>
      </w:r>
      <w:r>
        <w:rPr>
          <w:i/>
          <w:iCs/>
        </w:rPr>
        <w:t xml:space="preserve">normalised</w:t>
      </w:r>
      <w:r>
        <w:t xml:space="preserve"> </w:t>
      </w:r>
      <w:r>
        <w:t xml:space="preserve">auxiliary lattice-regression loss in isolation, but that relative fit does not survive conversion to absolute scale: substituting the auxiliary head’s own lattice into the sampler recovers only 1.2 %, because its ~1.1 Å length error shifts every Bragg peak by ~15 % and collapses pattern agreement. The bottleneck is the global pooling that discards absolute peak positions, not the denoiser alone: neither the pooled encoding nor the denoiser fixes the lattice from scratch. A perturbation study locates a sharp sensitivity knee at ~0.5 Å cell error, and a true-lattice oracle lifts match to</w:t>
      </w:r>
      <w:r>
        <w:t xml:space="preserve"> </w:t>
      </w:r>
      <w:r>
        <w:rPr>
          <w:b/>
          <w:bCs/>
        </w:rPr>
        <w:t xml:space="preserve">4.5 %</w:t>
      </w:r>
      <w:r>
        <w:t xml:space="preserve"> </w:t>
      </w:r>
      <w:r>
        <w:t xml:space="preserve">at n = 1000 (three seeds, 135 / 3 000 pooled, firming an earlier single-seed 5.6 %); its 95 % Wilson CI [3.8, 5.3] is disjoint from the no-true-lattice indexer’s 1.5 % [1.2, 2.0], so the gap is real. Replacing the learned lattice head with a classical Q-space autoindexer (de-Wolff dichotomy) raises no-true-lattice match to 1.5 % [1.2, 2.0] (three-seed pooled) from a learned-head baseline that recovers essentially nothing (0 / 1 949). A</w:t>
      </w:r>
      <w:r>
        <w:t xml:space="preserve"> </w:t>
      </w:r>
      <w:r>
        <w:rPr>
          <w:b/>
          <w:bCs/>
        </w:rPr>
        <w:t xml:space="preserve">paired McNemar test across three seeds confirms the improvement is significant</w:t>
      </w:r>
      <w:r>
        <w:t xml:space="preserve"> </w:t>
      </w:r>
      <w:r>
        <w:t xml:space="preserve">(p &lt; 10⁻⁴; 27 structures fixed, none broken); an earlier unpaired test (p = 0.24) was simply underpowered. The gain is concentrated in the high-symmetry systems where the indexer’s cell error sits below the 0.5 Å knee. Reproduced baselines on our harness:</w:t>
      </w:r>
      <w:r>
        <w:t xml:space="preserve"> </w:t>
      </w:r>
      <w:r>
        <w:rPr>
          <w:b/>
          <w:bCs/>
        </w:rPr>
        <w:t xml:space="preserve">deCIFer 73.8 %</w:t>
      </w:r>
      <w:r>
        <w:t xml:space="preserve"> </w:t>
      </w:r>
      <w:r>
        <w:t xml:space="preserve">match (69.5 % all-correct) at n = 300,</w:t>
      </w:r>
      <w:r>
        <w:t xml:space="preserve"> </w:t>
      </w:r>
      <w:r>
        <w:rPr>
          <w:b/>
          <w:bCs/>
        </w:rPr>
        <w:t xml:space="preserve">DiffractGPT 18.9 %</w:t>
      </w:r>
      <w:r>
        <w:t xml:space="preserve"> </w:t>
      </w:r>
      <w:r>
        <w:t xml:space="preserve">match (15.9 % all-correct) at n = 1000,</w:t>
      </w:r>
      <w:r>
        <w:t xml:space="preserve"> </w:t>
      </w:r>
      <w:r>
        <w:rPr>
          <w:b/>
          <w:bCs/>
        </w:rPr>
        <w:t xml:space="preserve">PXRDnet sinc100 30.0 %</w:t>
      </w:r>
      <w:r>
        <w:t xml:space="preserve"> </w:t>
      </w:r>
      <w:r>
        <w:t xml:space="preserve">match (5.0 % all-correct) at n = 20. PXRD-Diff is 12–19× behind DGpt and PXRDnet and ~46× behind deCIFer on raw match rate. We note a striking</w:t>
      </w:r>
      <w:r>
        <w:t xml:space="preserve"> </w:t>
      </w:r>
      <w:r>
        <w:rPr>
          <w:i/>
          <w:iCs/>
        </w:rPr>
        <w:t xml:space="preserve">candidate</w:t>
      </w:r>
      <w:r>
        <w:t xml:space="preserve"> </w:t>
      </w:r>
      <w:r>
        <w:t xml:space="preserve">discrepancy, in which DiffractGPT recovers far more space groups (all-correct) than PXRDnet despite a lower match rate, but flag it as a hypothesis rather than a result: at n = 20 the PXRDnet all-correct CI is [0.9, 23.6] and cannot support the comparison. The contributions that</w:t>
      </w:r>
      <w:r>
        <w:t xml:space="preserve"> </w:t>
      </w:r>
      <w:r>
        <w:rPr>
          <w:i/>
          <w:iCs/>
        </w:rPr>
        <w:t xml:space="preserve">do</w:t>
      </w:r>
      <w:r>
        <w:t xml:space="preserve"> </w:t>
      </w:r>
      <w:r>
        <w:t xml:space="preserve">hold are the encoder-bottleneck diagnosis, the indexer drop-in, the four-extension failure catalogue (top-K rerank, Debye guidance, Wyckoff embeddings, distance-aux), and the shared evaluation harness itself. Code, checkpoints, per-phase JSONs, and the differentiable Bragg simulator are released.</w:t>
      </w:r>
    </w:p>
    <w:p>
      <w:pPr>
        <w:pStyle w:val="BodyText"/>
      </w:pPr>
      <w:r>
        <w:rPr>
          <w:b/>
          <w:bCs/>
        </w:rPr>
        <w:t xml:space="preserve">Keywords:</w:t>
      </w:r>
      <w:r>
        <w:t xml:space="preserve"> </w:t>
      </w:r>
      <w:r>
        <w:t xml:space="preserve">machine learning for materials discovery; generative models; denoising diffusion; crystal structure prediction; powder X-ray diffraction; differentiable simulation; benchmarking and reproducibility</w:t>
      </w:r>
    </w:p>
    <w:p>
      <w:r>
        <w:pict>
          <v:rect style="width:0;height:1.5pt" o:hralign="center" o:hrstd="t" o:hr="t"/>
        </w:pict>
      </w:r>
    </w:p>
    <w:bookmarkEnd w:id="12"/>
    <w:bookmarkStart w:id="17" w:name="introduction"/>
    <w:p>
      <w:pPr>
        <w:pStyle w:val="Heading1"/>
      </w:pPr>
      <w:r>
        <w:t xml:space="preserve">1. Introduction</w:t>
      </w:r>
    </w:p>
    <w:p>
      <w:pPr>
        <w:pStyle w:val="FirstParagraph"/>
      </w:pPr>
      <w:r>
        <w:t xml:space="preserve">PXRD is the most common structural-characterization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(DiffractGPT</w:t>
      </w:r>
      <w:r>
        <w:t xml:space="preserve"> </w:t>
      </w:r>
      <w:r>
        <w:rPr>
          <w:rStyle w:val="FootnoteReference"/>
        </w:rPr>
        <w:footnoteReference w:id="13"/>
      </w:r>
      <w:r>
        <w:t xml:space="preserve">, Crystalyze</w:t>
      </w:r>
      <w:r>
        <w:t xml:space="preserve"> </w:t>
      </w:r>
      <w:r>
        <w:rPr>
          <w:rStyle w:val="FootnoteReference"/>
        </w:rPr>
        <w:footnoteReference w:id="14"/>
      </w:r>
      <w:r>
        <w:t xml:space="preserve">, PXRDnet</w:t>
      </w:r>
      <w:r>
        <w:t xml:space="preserve"> </w:t>
      </w:r>
      <w:r>
        <w:rPr>
          <w:rStyle w:val="FootnoteReference"/>
        </w:rPr>
        <w:footnoteReference w:id="15"/>
      </w:r>
      <w:r>
        <w:t xml:space="preserve">)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rPr>
          <w:b/>
          <w:bCs/>
        </w:rPr>
        <w:t xml:space="preserve">PXRD-Diff</w:t>
      </w:r>
      <w:r>
        <w:t xml:space="preserve">) and run it against two of the three baselines on a shared</w:t>
      </w:r>
      <w:r>
        <w:t xml:space="preserve"> </w:t>
      </w:r>
      <w:r>
        <w:rPr>
          <w:rStyle w:val="VerbatimChar"/>
        </w:rPr>
        <w:t xml:space="preserve">StructureMatcher</w:t>
      </w:r>
      <w:r>
        <w:t xml:space="preserve"> </w:t>
      </w:r>
      <w:r>
        <w:t xml:space="preserve">harness. Contributions:</w:t>
      </w:r>
    </w:p>
    <w:p>
      <w:pPr>
        <w:pStyle w:val="Compact"/>
        <w:numPr>
          <w:ilvl w:val="0"/>
          <w:numId w:val="1001"/>
        </w:numPr>
      </w:pPr>
      <w:r>
        <w:rPr>
          <w:b/>
          <w:bCs/>
        </w:rPr>
        <w:t xml:space="preserve">A clean small baseline.</w:t>
      </w:r>
      <w:r>
        <w:t xml:space="preserve"> </w:t>
      </w:r>
      <w:r>
        <w:t xml:space="preserve">3.7 M parameters, trains on a single RTX 5090 in ~1.5 h on CDVAE MP-20. A differentiable PyTorch Bragg simulator (Pearson 0.96 vs</w:t>
      </w:r>
      <w:r>
        <w:t xml:space="preserve"> </w:t>
      </w:r>
      <w:r>
        <w:rPr>
          <w:rStyle w:val="VerbatimChar"/>
        </w:rPr>
        <w:t xml:space="preserve">pymatgen</w:t>
      </w:r>
      <w:r>
        <w:t xml:space="preserve"> </w:t>
      </w:r>
      <w:r>
        <w:t xml:space="preserve">on 50 references) supplies an auxiliary pattern-matching loss.</w:t>
      </w:r>
    </w:p>
    <w:p>
      <w:pPr>
        <w:pStyle w:val="Compact"/>
        <w:numPr>
          <w:ilvl w:val="0"/>
          <w:numId w:val="1001"/>
        </w:numPr>
      </w:pPr>
      <w:r>
        <w:rPr>
          <w:b/>
          <w:bCs/>
        </w:rPr>
        <w:t xml:space="preserve">Encoder-bottleneck diagnosis (our primary contribution).</w:t>
      </w:r>
      <w:r>
        <w:t xml:space="preserve"> </w:t>
      </w:r>
      <w:r>
        <w:t xml:space="preserve">A perturbation study (§5.5) locates a sharp ~0.5 Å sensitivity knee; a true-lattice oracle lifts match to</w:t>
      </w:r>
      <w:r>
        <w:t xml:space="preserve"> </w:t>
      </w:r>
      <w:r>
        <w:rPr>
          <w:b/>
          <w:bCs/>
        </w:rPr>
        <w:t xml:space="preserve">4.5 %</w:t>
      </w:r>
      <w:r>
        <w:t xml:space="preserve"> </w:t>
      </w:r>
      <w:r>
        <w:t xml:space="preserve">at n = 1000 (three-seed firm-up of an earlier single-seed 5.6 %; Wilson 95 % CI [3.8, 5.3], disjoint from the indexer’s [1.2, 2.0]). The encoder reaches a 0.007</w:t>
      </w:r>
      <w:r>
        <w:t xml:space="preserve"> </w:t>
      </w:r>
      <w:r>
        <w:rPr>
          <w:i/>
          <w:iCs/>
        </w:rPr>
        <w:t xml:space="preserve">normalised</w:t>
      </w:r>
      <w:r>
        <w:t xml:space="preserve"> </w:t>
      </w:r>
      <w:r>
        <w:t xml:space="preserve">aux lattice loss in isolation, but substituting that head’s lattice into the sampler recovers only 1.2 % (§5.6). Its ~1.1 Å error sits well above the knee, so the pooled encoding, not merely the denoiser, fails to deliver absolute d-spacings. The lattice channel is the dominant</w:t>
      </w:r>
      <w:r>
        <w:t xml:space="preserve"> </w:t>
      </w:r>
      <w:r>
        <w:rPr>
          <w:i/>
          <w:iCs/>
        </w:rPr>
        <w:t xml:space="preserve">accessible</w:t>
      </w:r>
      <w:r>
        <w:t xml:space="preserve"> </w:t>
      </w:r>
      <w:r>
        <w:t xml:space="preserve">limiter; the 4.5 % oracle ceiling shows coordinates remain a co-bottleneck.</w:t>
      </w:r>
    </w:p>
    <w:p>
      <w:pPr>
        <w:pStyle w:val="Compact"/>
        <w:numPr>
          <w:ilvl w:val="0"/>
          <w:numId w:val="1001"/>
        </w:numPr>
      </w:pPr>
      <w:r>
        <w:rPr>
          <w:b/>
          <w:bCs/>
        </w:rPr>
        <w:t xml:space="preserve">Classical-indexer drop-in.</w:t>
      </w:r>
      <w:r>
        <w:t xml:space="preserve"> </w:t>
      </w:r>
      <w:r>
        <w:t xml:space="preserve">A Q-space autoindexer (de-Wolff) at sampling time raises no-true-lattice match to 1.5 % [1.2, 2.0] from a learned-head baseline of ~0 %. A three-seed paired McNemar test confirms the improvement is significant (p &lt; 10⁻⁴; 27 fixed, 0 broken); the gain appears exactly where the indexer’s MAE falls below the 0.5 Å knee, i.e. the high-symmetry systems (§5.2, §5.5), and nowhere else.</w:t>
      </w:r>
    </w:p>
    <w:p>
      <w:pPr>
        <w:pStyle w:val="Compact"/>
        <w:numPr>
          <w:ilvl w:val="0"/>
          <w:numId w:val="1001"/>
        </w:numPr>
      </w:pPr>
      <w:r>
        <w:rPr>
          <w:b/>
          <w:bCs/>
        </w:rPr>
        <w:t xml:space="preserve">Four-item failure catalogue.</w:t>
      </w:r>
      <w:r>
        <w:t xml:space="preserve"> </w:t>
      </w:r>
      <w:r>
        <w:t xml:space="preserve">Top-K Debye rerank, Debye-gradient DDIM guidance, Wyckoff-site embeddings, and distance-matrix aux loss all fail at n ≥ 200; the latter two combined (v14) underperform the bare ε baseline. The gradient-guidance failure is corroborated independently by concurrent work showing the PXRD loss landscape is too rough for gradient descent</w:t>
      </w:r>
      <w:r>
        <w:t xml:space="preserve"> </w:t>
      </w:r>
      <w:r>
        <w:rPr>
          <w:rStyle w:val="FootnoteReference"/>
        </w:rPr>
        <w:footnoteReference w:id="16"/>
      </w:r>
      <w:r>
        <w:t xml:space="preserve">.</w:t>
      </w:r>
    </w:p>
    <w:p>
      <w:pPr>
        <w:pStyle w:val="Compact"/>
        <w:numPr>
          <w:ilvl w:val="0"/>
          <w:numId w:val="1001"/>
        </w:numPr>
      </w:pPr>
      <w:r>
        <w:rPr>
          <w:b/>
          <w:bCs/>
        </w:rPr>
        <w:t xml:space="preserve">Reproduced baselines + shared harness.</w:t>
      </w:r>
      <w:r>
        <w:t xml:space="preserve"> </w:t>
      </w:r>
      <w:r>
        <w:t xml:space="preserve">DiffractGPT (Mistral-7B + LoRA) and PXRDnet (CDVAE + XRD encoder) re-scored on our harness:</w:t>
      </w:r>
      <w:r>
        <w:t xml:space="preserve"> </w:t>
      </w:r>
      <w:r>
        <w:rPr>
          <w:b/>
          <w:bCs/>
        </w:rPr>
        <w:t xml:space="preserve">18.9 %</w:t>
      </w:r>
      <w:r>
        <w:t xml:space="preserve"> </w:t>
      </w:r>
      <w:r>
        <w:t xml:space="preserve">match (DGpt n = 1000),</w:t>
      </w:r>
      <w:r>
        <w:t xml:space="preserve"> </w:t>
      </w:r>
      <w:r>
        <w:rPr>
          <w:b/>
          <w:bCs/>
        </w:rPr>
        <w:t xml:space="preserve">30.0 %</w:t>
      </w:r>
      <w:r>
        <w:t xml:space="preserve"> </w:t>
      </w:r>
      <w:r>
        <w:t xml:space="preserve">match (PXRDnet n = 20). PXRD-Diff at 1.6 % is 12–19× behind. We surface a</w:t>
      </w:r>
      <w:r>
        <w:t xml:space="preserve"> </w:t>
      </w:r>
      <w:r>
        <w:rPr>
          <w:i/>
          <w:iCs/>
        </w:rPr>
        <w:t xml:space="preserve">candidate</w:t>
      </w:r>
      <w:r>
        <w:t xml:space="preserve"> </w:t>
      </w:r>
      <w:r>
        <w:t xml:space="preserve">discrepancy in how match rate and space-group recovery diverge across the two baselines (§5.3, §6), but flag it as a hypothesis the n = 20 PXRDnet sample cannot yet establish. Crystalyze’s checkpoint download link is inactive; we cite but cannot reproduce.</w:t>
      </w:r>
    </w:p>
    <w:p>
      <w:r>
        <w:pict>
          <v:rect style="width:0;height:1.5pt" o:hralign="center" o:hrstd="t" o:hr="t"/>
        </w:pict>
      </w:r>
    </w:p>
    <w:bookmarkEnd w:id="17"/>
    <w:bookmarkStart w:id="30" w:name="related-work"/>
    <w:p>
      <w:pPr>
        <w:pStyle w:val="Heading1"/>
      </w:pPr>
      <w:r>
        <w:t xml:space="preserve">2. Related work</w:t>
      </w:r>
    </w:p>
    <w:p>
      <w:pPr>
        <w:pStyle w:val="FirstParagraph"/>
      </w:pPr>
      <w:r>
        <w:rPr>
          <w:b/>
          <w:bCs/>
        </w:rPr>
        <w:t xml:space="preserve">Diffusion for crystals.</w:t>
      </w:r>
      <w:r>
        <w:t xml:space="preserve"> </w:t>
      </w:r>
      <w:r>
        <w:t xml:space="preserve">CDVAE</w:t>
      </w:r>
      <w:r>
        <w:t xml:space="preserve"> </w:t>
      </w:r>
      <w:r>
        <w:rPr>
          <w:rStyle w:val="FootnoteReference"/>
        </w:rPr>
        <w:footnoteReference w:id="18"/>
      </w:r>
      <w:r>
        <w:t xml:space="preserve"> </w:t>
      </w:r>
      <w:r>
        <w:t xml:space="preserve">introduced the MP-20 protocol; DiffCSP</w:t>
      </w:r>
      <w:r>
        <w:t xml:space="preserve"> </w:t>
      </w:r>
      <w:r>
        <w:rPr>
          <w:rStyle w:val="FootnoteReference"/>
        </w:rPr>
        <w:footnoteReference w:id="19"/>
      </w:r>
      <w:r>
        <w:t xml:space="preserve"> </w:t>
      </w:r>
      <w:r>
        <w:t xml:space="preserve">used joint coord+lattice diffusion; MatterGen</w:t>
      </w:r>
      <w:r>
        <w:t xml:space="preserve"> </w:t>
      </w:r>
      <w:r>
        <w:rPr>
          <w:rStyle w:val="FootnoteReference"/>
        </w:rPr>
        <w:footnoteReference w:id="20"/>
      </w:r>
      <w:r>
        <w:t xml:space="preserve"> </w:t>
      </w:r>
      <w:r>
        <w:t xml:space="preserve">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w:t>
      </w:r>
      <w:r>
        <w:t xml:space="preserve"> </w:t>
      </w:r>
      <w:r>
        <w:rPr>
          <w:rStyle w:val="FootnoteReference"/>
        </w:rPr>
        <w:footnoteReference w:id="21"/>
      </w:r>
      <w:r>
        <w:t xml:space="preserve"> </w:t>
      </w:r>
      <w:r>
        <w:t xml:space="preserve">is a fine-tuned Mistral-7B that decodes peak list + formula → CIF tokens. Crystalyze</w:t>
      </w:r>
      <w:r>
        <w:t xml:space="preserve"> </w:t>
      </w:r>
      <w:r>
        <w:rPr>
          <w:rStyle w:val="FootnoteReference"/>
        </w:rPr>
        <w:footnoteReference w:id="22"/>
      </w:r>
      <w:r>
        <w:t xml:space="preserve"> </w:t>
      </w:r>
      <w:r>
        <w:t xml:space="preserve">uses CDVAE conditioned on an XRD transformer encoder with post-hoc symmetry filtering. PXRDnet</w:t>
      </w:r>
      <w:r>
        <w:t xml:space="preserve"> </w:t>
      </w:r>
      <w:r>
        <w:rPr>
          <w:rStyle w:val="FootnoteReference"/>
        </w:rPr>
        <w:footnoteReference w:id="23"/>
      </w:r>
      <w:r>
        <w:t xml:space="preserve"> </w:t>
      </w:r>
      <w:r>
        <w:t xml:space="preserve">is a CDVAE variant with</w:t>
      </w:r>
      <w:r>
        <w:t xml:space="preserve"> </w:t>
      </w:r>
      <w:r>
        <w:rPr>
          <w:i/>
          <w:iCs/>
        </w:rPr>
        <w:t xml:space="preserve">iterative latent-space gradient guidance</w:t>
      </w:r>
      <w:r>
        <w:t xml:space="preserve"> </w:t>
      </w:r>
      <w:r>
        <w:t xml:space="preserve">(~3.5 M decoder ops/material), published in</w:t>
      </w:r>
      <w:r>
        <w:t xml:space="preserve"> </w:t>
      </w:r>
      <w:r>
        <w:rPr>
          <w:i/>
          <w:iCs/>
        </w:rPr>
        <w:t xml:space="preserve">Nature Materials</w:t>
      </w:r>
      <w:r>
        <w:t xml:space="preserve"> </w:t>
      </w:r>
      <w:r>
        <w:t xml:space="preserve">in 2025. deCIFer</w:t>
      </w:r>
      <w:r>
        <w:t xml:space="preserve"> </w:t>
      </w:r>
      <w:r>
        <w:rPr>
          <w:rStyle w:val="FootnoteReference"/>
        </w:rPr>
        <w:footnoteReference w:id="24"/>
      </w:r>
      <w:r>
        <w:t xml:space="preserve"> </w:t>
      </w:r>
      <w:r>
        <w:t xml:space="preserve">is a concurrent autoregressive-language-model approach that, like DiffractGPT, emits CIF tokens. All four are larger than PXRD-Diff and report results under bespoke evaluation pipelines; §5.3 re-scores DiffractGPT, PXRDnet, and deCIFer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Classical autoindexing.</w:t>
      </w:r>
      <w:r>
        <w:t xml:space="preserve"> </w:t>
      </w:r>
      <w:r>
        <w:t xml:space="preserve">Recovering a unit cell from peak positions is a solved sub-problem with a fifty-year toolchain: the de-Wolff dichotomy method, ITO, TREOR, and DICVOL</w:t>
      </w:r>
      <w:r>
        <w:t xml:space="preserve"> </w:t>
      </w:r>
      <w:r>
        <w:rPr>
          <w:rStyle w:val="FootnoteReference"/>
        </w:rPr>
        <w:footnoteReference w:id="25"/>
      </w:r>
      <w:r>
        <w:t xml:space="preserve"> </w:t>
      </w:r>
      <w:r>
        <w:t xml:space="preserve">index high-symmetry powder patterns in CPU milliseconds, with the difficulty concentrated in low-symmetry (monoclinic/triclinic) cells. §3.5 reuses this machinery as a drop-in for the learned lattice head, and §5.2/§5.5 show the resulting lift tracks exactly the symmetry-dependent accuracy classical indexers have always had.</w:t>
      </w:r>
    </w:p>
    <w:p>
      <w:pPr>
        <w:pStyle w:val="BodyText"/>
      </w:pPr>
      <w:r>
        <w:rPr>
          <w:b/>
          <w:bCs/>
        </w:rPr>
        <w:t xml:space="preserve">Differentiable physics.</w:t>
      </w:r>
      <w:r>
        <w:t xml:space="preserve"> </w:t>
      </w:r>
      <w:r>
        <w:t xml:space="preserve">Scattering-pattern losses date to Rietveld; the contribution here is full differentiability w.r.t. coordinates and lattice in PyTorch, usable as a diffusion-training loss term. Concurrent generative-inversion work conditions on differentiable spectral targets for amorphous and nanostructured systems</w:t>
      </w:r>
      <w:r>
        <w:t xml:space="preserve"> </w:t>
      </w:r>
      <w:r>
        <w:rPr>
          <w:rStyle w:val="FootnoteReference"/>
        </w:rPr>
        <w:footnoteReference w:id="26"/>
      </w:r>
      <w:r>
        <w:t xml:space="preserve">. Relevant to our negative results, Segal et al.</w:t>
      </w:r>
      <w:r>
        <w:t xml:space="preserve"> </w:t>
      </w:r>
      <w:r>
        <w:rPr>
          <w:rStyle w:val="FootnoteReference"/>
        </w:rPr>
        <w:footnoteReference w:id="27"/>
      </w:r>
      <w:r>
        <w:t xml:space="preserve"> </w:t>
      </w:r>
      <w:r>
        <w:t xml:space="preserve">show the powder-XRD similarity loss landscape is</w:t>
      </w:r>
      <w:r>
        <w:t xml:space="preserve"> </w:t>
      </w:r>
      <w:r>
        <w:t xml:space="preserve">“too rough for gradient descent”</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we use periodic-distance RBFs (SchNet-style</w:t>
      </w:r>
      <w:r>
        <w:t xml:space="preserve"> </w:t>
      </w:r>
      <w:r>
        <w:rPr>
          <w:rStyle w:val="FootnoteReference"/>
        </w:rPr>
        <w:footnoteReference w:id="28"/>
      </w:r>
      <w:r>
        <w:t xml:space="preserve">). A frozen MACE</w:t>
      </w:r>
      <w:r>
        <w:t xml:space="preserve"> </w:t>
      </w:r>
      <w:r>
        <w:rPr>
          <w:rStyle w:val="FootnoteReference"/>
        </w:rPr>
        <w:footnoteReference w:id="29"/>
      </w:r>
      <w:r>
        <w:t xml:space="preserve"> </w:t>
      </w:r>
      <w:r>
        <w:t xml:space="preserve">encoder showed no measurable benefit at MP-20 scale in pilots and was deferred.</w:t>
      </w:r>
    </w:p>
    <w:p>
      <w:r>
        <w:pict>
          <v:rect style="width:0;height:1.5pt" o:hralign="center" o:hrstd="t" o:hr="t"/>
        </w:pict>
      </w:r>
    </w:p>
    <w:bookmarkEnd w:id="30"/>
    <w:bookmarkStart w:id="44" w:name="method"/>
    <w:p>
      <w:pPr>
        <w:pStyle w:val="Heading1"/>
      </w:pPr>
      <w:r>
        <w:t xml:space="preserve">3. Method</w:t>
      </w:r>
    </w:p>
    <w:bookmarkStart w:id="31" w:name="problem-formulation"/>
    <w:p>
      <w:pPr>
        <w:pStyle w:val="Heading2"/>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(in practice one usually knows the chemistry from synthesis), but it is consistent with prior work on the same task.</w:t>
      </w:r>
    </w:p>
    <w:bookmarkEnd w:id="31"/>
    <w:bookmarkStart w:id="32" w:name="architecture-overview"/>
    <w:p>
      <w:pPr>
        <w:pStyle w:val="Heading2"/>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to expose whether the encoder is learning any lattice-relevant representation, and its loss does not flow back into the denoiser.</w:t>
      </w:r>
    </w:p>
    <w:bookmarkEnd w:id="32"/>
    <w:bookmarkStart w:id="37" w:name="Xc917a453586cc10256448f63d6af218d81ba9bb"/>
    <w:p>
      <w:pPr>
        <w:pStyle w:val="Heading2"/>
      </w:pPr>
      <w:r>
        <w:t xml:space="preserve">3.3 Differentiable Bragg structure-factor loss</w:t>
      </w:r>
    </w:p>
    <w:p>
      <w:pPr>
        <w:pStyle w:val="FirstParagraph"/>
      </w:pPr>
      <w:r>
        <w:t xml:space="preserve">The core physics-informed contribution. We implement, in PyTorch,</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where</w:t>
      </w:r>
      <w:r>
        <w:t xml:space="preserve"> </w:t>
      </w:r>
      <m:oMath>
        <m:sSub>
          <m:e>
            <m:r>
              <m:t>f</m:t>
            </m:r>
          </m:e>
          <m:sub>
            <m:r>
              <m:t>j</m:t>
            </m:r>
          </m:sub>
        </m:sSub>
        <m:r>
          <m:rPr>
            <m:sty m:val="p"/>
          </m:rPr>
          <m:t>(</m:t>
        </m:r>
        <m:r>
          <m:t>s</m:t>
        </m:r>
        <m:r>
          <m:rPr>
            <m:sty m:val="p"/>
          </m:rPr>
          <m:t>)</m:t>
        </m:r>
        <m:r>
          <m:rPr>
            <m:sty m:val="p"/>
          </m:rPr>
          <m:t>=</m:t>
        </m:r>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is the four-Gaussian atomic form factor (coefficients pulled directly from</w:t>
      </w:r>
      <w:r>
        <w:t xml:space="preserve"> </w:t>
      </w:r>
      <w:r>
        <w:rPr>
          <w:rStyle w:val="VerbatimChar"/>
        </w:rPr>
        <w:t xml:space="preserve">pymatgen.analysis.diffraction.xrd.ATOMIC_SCATTERING_PARAMS</w:t>
      </w:r>
      <w:r>
        <w:t xml:space="preserve">),</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PXRD pattern on a 256-bin coarse grid. The whole module is a single</w:t>
      </w:r>
      <w:r>
        <w:t xml:space="preserve"> </w:t>
      </w:r>
      <w:r>
        <w:rPr>
          <w:rStyle w:val="VerbatimChar"/>
        </w:rPr>
        <w:t xml:space="preserve">nn.Module</w:t>
      </w:r>
      <w:r>
        <w:t xml:space="preserve">, fully vectorised over the batch dimension.</w:t>
      </w:r>
    </w:p>
    <w:p>
      <w:pPr>
        <w:pStyle w:val="BodyText"/>
      </w:pPr>
      <w:r>
        <w:rPr>
          <w:b/>
          <w:bCs/>
        </w:rPr>
        <w:t xml:space="preserve">Validation.</w:t>
      </w:r>
      <w:r>
        <w:t xml:space="preserve"> </w:t>
      </w:r>
      <w:r>
        <w:t xml:space="preserve">On 50 random MP-20 test structures we compute the Pearson correlation between our differentiable pattern and the</w:t>
      </w:r>
      <w:r>
        <w:t xml:space="preserve"> </w:t>
      </w:r>
      <w:r>
        <w:rPr>
          <w:rStyle w:val="VerbatimChar"/>
        </w:rPr>
        <w:t xml:space="preserve">pymatgen.XRDCalculator</w:t>
      </w:r>
      <w:r>
        <w:t xml:space="preserve"> </w:t>
      </w:r>
      <w:r>
        <w:t xml:space="preserve">reference: mean 0.962, std 0.027, min 0.896, max 0.998. All 50/50 correlations exceed 0.7 and we verified non-zero gradients through the structure factor with respect to fractional coordinates.</w:t>
      </w:r>
    </w:p>
    <w:bookmarkStart w:id="36" w:name="fig:validation"/>
    <w:p>
      <w:pPr>
        <w:pStyle w:val="CaptionedFigure"/>
      </w:pPr>
      <w:r>
        <w:drawing>
          <wp:inline>
            <wp:extent cx="4140794" cy="2672861"/>
            <wp:effectExtent b="0" l="0" r="0" t="0"/>
            <wp:docPr descr="Figure 1. Differentiable-simulator validation. Distribution of Pearson correlation between the PyTorch DiffPXRD module and pymatgen.XRDCalculator over 50 random MP-20 test structures (mean 0.962). All 50 exceed 0.7; the lower tail is dominated by layered structures with strong texture in the reference." title="" id="34" name="Picture"/>
            <a:graphic>
              <a:graphicData uri="http://schemas.openxmlformats.org/drawingml/2006/picture">
                <pic:pic>
                  <pic:nvPicPr>
                    <pic:cNvPr descr="fig3_diffpxrd_validation.png" id="35" name="Picture"/>
                    <pic:cNvPicPr>
                      <a:picLocks noChangeArrowheads="1" noChangeAspect="1"/>
                    </pic:cNvPicPr>
                  </pic:nvPicPr>
                  <pic:blipFill>
                    <a:blip r:embed="rId33"/>
                    <a:stretch>
                      <a:fillRect/>
                    </a:stretch>
                  </pic:blipFill>
                  <pic:spPr bwMode="auto">
                    <a:xfrm>
                      <a:off x="0" y="0"/>
                      <a:ext cx="4140794" cy="2672861"/>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50 random MP-20 test structures (mean 0.962). All 50 exceed 0.7; the lower tail is dominated by layered structures with strong texture in the reference.</w:t>
      </w:r>
    </w:p>
    <w:bookmarkEnd w:id="36"/>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37"/>
    <w:bookmarkStart w:id="39" w:name="training-objective"/>
    <w:p>
      <w:pPr>
        <w:pStyle w:val="Heading2"/>
      </w:pPr>
      <w:r>
        <w:t xml:space="preserve">3.4 Training objective</w:t>
      </w:r>
    </w:p>
    <w:p>
      <w:pPr>
        <w:pStyle w:val="FirstParagraph"/>
      </w:pPr>
      <w:r>
        <w:t xml:space="preserve">We use a VP-SDE with cosine schedule</w:t>
      </w:r>
      <w:r>
        <w:t xml:space="preserve"> </w:t>
      </w:r>
      <w:r>
        <w:rPr>
          <w:rStyle w:val="FootnoteReference"/>
        </w:rPr>
        <w:footnoteReference w:id="38"/>
      </w:r>
      <w:r>
        <w:t xml:space="preserve"> </w:t>
      </w:r>
      <w:r>
        <w:t xml:space="preserve">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At single seed this change appeared to lift the headline match metric 3.5×; a multi-seed checkpoint sweep (§7) shows that match-rate lift does not replicate, but the parameterisation does reproducibly improve the pattern-Pearson (≈ 0.36 → 0.40, see §5.1).</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i.e. if the head only sees the (clean) lattice that is also passed to the denoiser as the geometry context,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Wyckoff-site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39"/>
    <w:bookmarkStart w:id="41" w:name="X6e75ac1b115bab34c6f95946b56455b7789be55"/>
    <w:p>
      <w:pPr>
        <w:pStyle w:val="Heading2"/>
      </w:pPr>
      <w:r>
        <w:t xml:space="preserve">3.5 Classical indexing as a drop-in for the learned lattice head</w:t>
      </w:r>
    </w:p>
    <w:p>
      <w:pPr>
        <w:pStyle w:val="FirstParagraph"/>
      </w:pPr>
      <w:r>
        <w:t xml:space="preserve">The lattice head described in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against which all peak positions in the input pattern must be interpreted. As §5.5 shows, the encoder + denoiser learns</w:t>
      </w:r>
      <w:r>
        <w:t xml:space="preserve"> </w:t>
      </w:r>
      <w:r>
        <w:rPr>
          <w:i/>
          <w:iCs/>
        </w:rPr>
        <w:t xml:space="preserve">relative</w:t>
      </w:r>
      <w:r>
        <w:t xml:space="preserve"> </w:t>
      </w:r>
      <w:r>
        <w:t xml:space="preserve">d-spacing structure (Pearson 0.43 between predicted and target patterns at evaluation time, vs 0.97 between target and ground truth) but not the absolute scale. Classical autoindexing, which extracts peak positions, maps them to Q-space (Q = 4π sinθ/λ), and fits a unit cell by enumeration of (h,k,l) → Q²(h,k,l), has solved this sub-problem since the 1970s and runs on a CPU in milliseconds per pattern.</w:t>
      </w:r>
    </w:p>
    <w:p>
      <w:pPr>
        <w:pStyle w:val="BodyText"/>
      </w:pPr>
      <w:r>
        <w:t xml:space="preserve">We implement a from-scratch Q-space autoindexer that takes (i) the same simulated PXRD pattern fed to the encoder, (ii) the known crystal system (input as Bravais code, exposed as a sampling-time hyperparameter), and returns a candidate (a, b, c, α, β, γ).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DDIM only on the coordinate channel.</w:t>
      </w:r>
    </w:p>
    <w:p>
      <w:pPr>
        <w:pStyle w:val="BodyText"/>
      </w:pPr>
      <w:r>
        <w:rPr>
          <w:b/>
          <w:bCs/>
        </w:rPr>
        <w:t xml:space="preserve">Per-system accuracy (n = 1000 MP-20 test).</w:t>
      </w:r>
      <w:r>
        <w:t xml:space="preserve"> </w:t>
      </w:r>
      <w:r>
        <w:t xml:space="preserve">Native indexer overall: 48.8 % strict cell match, 1.45 Å mean cell-length MAE. Per crystal system: hexagonal 77.9 % / 0.53 Å, orthorhombic 59.8 % / 0.96 Å, trigonal 43.3 % / 4.62 Å, monoclinic 18.9 % / 1.76 Å, triclinic 0 %. The low-symmetry blowup (monoclinic and triclinic each have ≥ 4 free cell parameters and the de-Wolff search becomes hypothesis-capped) is the dominant remaining error. We ship a GSAS-II</w:t>
      </w:r>
      <w:r>
        <w:t xml:space="preserve"> </w:t>
      </w:r>
      <w:r>
        <w:rPr>
          <w:rStyle w:val="FootnoteReference"/>
        </w:rPr>
        <w:footnoteReference w:id="40"/>
      </w:r>
      <w:r>
        <w:t xml:space="preserve"> </w:t>
      </w:r>
      <w:r>
        <w:t xml:space="preserve">adapter (</w:t>
      </w:r>
      <w:r>
        <w:rPr>
          <w:rStyle w:val="VerbatimChar"/>
        </w:rPr>
        <w:t xml:space="preserve">src/pxrd_diff/indexer_gsas.py</w:t>
      </w:r>
      <w:r>
        <w:t xml:space="preserve">) for the low-symmetry path behind a</w:t>
      </w:r>
      <w:r>
        <w:t xml:space="preserve"> </w:t>
      </w:r>
      <w:r>
        <w:rPr>
          <w:rStyle w:val="VerbatimChar"/>
        </w:rPr>
        <w:t xml:space="preserve">--use-gsas</w:t>
      </w:r>
      <w:r>
        <w:t xml:space="preserve"> </w:t>
      </w:r>
      <w:r>
        <w:t xml:space="preserve">opt-in flag; in practice</w:t>
      </w:r>
      <w:r>
        <w:t xml:space="preserve"> </w:t>
      </w:r>
      <w:r>
        <w:rPr>
          <w:rStyle w:val="VerbatimChar"/>
        </w:rPr>
        <w:t xml:space="preserve">DoIndexPeaks</w:t>
      </w:r>
      <w:r>
        <w:t xml:space="preserve"> </w:t>
      </w:r>
      <w:r>
        <w:t xml:space="preserve">hangs on real MP-20 monoclinic/triclinic patterns inside</w:t>
      </w:r>
      <w:r>
        <w:t xml:space="preserve"> </w:t>
      </w:r>
      <w:r>
        <w:rPr>
          <w:rStyle w:val="VerbatimChar"/>
        </w:rPr>
        <w:t xml:space="preserve">findBestCell</w:t>
      </w:r>
      <w:r>
        <w:t xml:space="preserve"> </w:t>
      </w:r>
      <w:r>
        <w:t xml:space="preserve">and is documented experimental rather than headline.</w:t>
      </w:r>
    </w:p>
    <w:p>
      <w:pPr>
        <w:pStyle w:val="BodyText"/>
      </w:pPr>
      <w:r>
        <w:t xml:space="preserve">The indexer is a</w:t>
      </w:r>
      <w:r>
        <w:t xml:space="preserve"> </w:t>
      </w:r>
      <w:r>
        <w:rPr>
          <w:i/>
          <w:iCs/>
        </w:rPr>
        <w:t xml:space="preserve">drop-in</w:t>
      </w:r>
      <w:r>
        <w:t xml:space="preserve"> </w:t>
      </w:r>
      <w:r>
        <w:t xml:space="preserve">in the strongest sense: training is unchanged, the diffusion sampler is unchanged except for the lattice-channel substitution at t = T, and the headline metric (§5.2) reports both with and without the indexer for direct comparison.</w:t>
      </w:r>
    </w:p>
    <w:bookmarkEnd w:id="41"/>
    <w:bookmarkStart w:id="43" w:name="sampling"/>
    <w:p>
      <w:pPr>
        <w:pStyle w:val="Heading2"/>
      </w:pPr>
      <w:r>
        <w:t xml:space="preserve">3.6 Sampling</w:t>
      </w:r>
    </w:p>
    <w:p>
      <w:pPr>
        <w:pStyle w:val="FirstParagraph"/>
      </w:pPr>
      <w:r>
        <w:t xml:space="preserve">DDIM</w:t>
      </w:r>
      <w:r>
        <w:t xml:space="preserve"> </w:t>
      </w:r>
      <w:r>
        <w:rPr>
          <w:rStyle w:val="FootnoteReference"/>
        </w:rPr>
        <w:footnoteReference w:id="42"/>
      </w:r>
      <w:r>
        <w:t xml:space="preserve"> </w:t>
      </w:r>
      <w:r>
        <w:t xml:space="preserve">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43"/>
    <w:bookmarkEnd w:id="44"/>
    <w:bookmarkStart w:id="46" w:name="experiments"/>
    <w:p>
      <w:pPr>
        <w:pStyle w:val="Heading1"/>
      </w:pPr>
      <w:r>
        <w:t xml:space="preserve">4. Experiments</w:t>
      </w:r>
    </w:p>
    <w:p>
      <w:pPr>
        <w:pStyle w:val="FirstParagraph"/>
      </w:pPr>
      <w:r>
        <w:rPr>
          <w:b/>
          <w:bCs/>
        </w:rPr>
        <w:t xml:space="preserve">Dataset.</w:t>
      </w:r>
      <w:r>
        <w:t xml:space="preserve"> </w:t>
      </w:r>
      <w:r>
        <w:t xml:space="preserve">Canonical CDVAE</w:t>
      </w:r>
      <w:r>
        <w:t xml:space="preserve"> </w:t>
      </w:r>
      <w:r>
        <w:rPr>
          <w:rStyle w:val="FootnoteReference"/>
        </w:rPr>
        <w:footnoteReference w:id="45"/>
      </w:r>
      <w:r>
        <w:t xml:space="preserve"> </w:t>
      </w:r>
      <w:r>
        <w:t xml:space="preserve">MP-20 split: 27 136 / 9 047 / 9 046 train/val/test, ≤ 20 atoms/conventional cell. Patterns simulated with</w:t>
      </w:r>
      <w:r>
        <w:t xml:space="preserve"> </w:t>
      </w:r>
      <w:r>
        <w:rPr>
          <w:rStyle w:val="VerbatimChar"/>
        </w:rPr>
        <w:t xml:space="preserve">pymatgen.XRDCalculator</w:t>
      </w:r>
      <w:r>
        <w:t xml:space="preserve"> </w:t>
      </w:r>
      <w:r>
        <w:t xml:space="preserve">(Cu Kα₁, λ = 1.54184 Å), max-normalised, 4 251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the headline</w:t>
      </w:r>
      <w:r>
        <w:t xml:space="preserve"> </w:t>
      </w:r>
      <w:r>
        <w:t xml:space="preserve">“match rate”</w:t>
      </w:r>
      <w:r>
        <w:t xml:space="preserve">; (3)</w:t>
      </w:r>
      <w:r>
        <w:t xml:space="preserve"> </w:t>
      </w:r>
      <w:r>
        <w:rPr>
          <w:b/>
          <w:bCs/>
        </w:rPr>
        <w:t xml:space="preserve">coordinate RMSD</w:t>
      </w:r>
      <w:r>
        <w:t xml:space="preserve"> </w:t>
      </w:r>
      <w:r>
        <w:t xml:space="preserve">on aligned, permuted atoms when matched.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w:t>
      </w:r>
    </w:p>
    <w:p>
      <w:pPr>
        <w:pStyle w:val="BodyText"/>
      </w:pPr>
      <w:r>
        <w:rPr>
          <w:b/>
          <w:bCs/>
        </w:rPr>
        <w:t xml:space="preserve">Implementation.</w:t>
      </w:r>
      <w:r>
        <w:t xml:space="preserve"> </w:t>
      </w:r>
      <w:r>
        <w:t xml:space="preserve">AdamW, LR</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~24 epochs, single RTX 5090 (~1.5–1.7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(§5.2). VP-SDE with</w:t>
      </w:r>
      <w:r>
        <w:t xml:space="preserve"> </w:t>
      </w:r>
      <m:oMath>
        <m:r>
          <m:t>t</m:t>
        </m:r>
        <m:r>
          <m:rPr>
            <m:sty m:val="p"/>
          </m:rPr>
          <m:t>∼</m:t>
        </m:r>
        <m:r>
          <m:t>U</m:t>
        </m:r>
        <m:r>
          <m:rPr>
            <m:sty m:val="p"/>
          </m:rPr>
          <m:t>(</m:t>
        </m:r>
        <m:r>
          <m:t>0</m:t>
        </m:r>
        <m:r>
          <m:rPr>
            <m:sty m:val="p"/>
          </m:rPr>
          <m:t>,</m:t>
        </m:r>
        <m:r>
          <m:t>1</m:t>
        </m:r>
        <m:r>
          <m:rPr>
            <m:sty m:val="p"/>
          </m:rPr>
          <m:t>)</m:t>
        </m:r>
      </m:oMath>
      <w:r>
        <w:t xml:space="preserve">. Total compute: ~35 GPU-hours, ~USD 25 on Vast.ai (Phase 4 ablation + Phase 9 v21 retrain + indexer/perturbation sweeps + DGpt n=1000 + PXRDnet n=20 + evaluation).</w:t>
      </w:r>
    </w:p>
    <w:p>
      <w:r>
        <w:pict>
          <v:rect style="width:0;height:1.5pt" o:hralign="center" o:hrstd="t" o:hr="t"/>
        </w:pict>
      </w:r>
    </w:p>
    <w:bookmarkEnd w:id="46"/>
    <w:bookmarkStart w:id="73" w:name="results"/>
    <w:p>
      <w:pPr>
        <w:pStyle w:val="Heading1"/>
      </w:pPr>
      <w:r>
        <w:t xml:space="preserve">5. Results</w:t>
      </w:r>
    </w:p>
    <w:p>
      <w:pPr>
        <w:pStyle w:val="FirstParagraph"/>
      </w:pPr>
      <w:r>
        <w:t xml:space="preserve">Order: Phase 4 architectural ablation (§5.1) → Phase 9 indexer drop-in (§5.2) → reproduced baselines (§5.3) → failure catalogue (§5.4) → encoder-bottleneck perturbation study (§5.5).</w:t>
      </w:r>
    </w:p>
    <w:bookmarkStart w:id="51" w:name="Xadaaeed9a4d3d9b8a4dfaf721f122e0603fe773"/>
    <w:p>
      <w:pPr>
        <w:pStyle w:val="Heading2"/>
      </w:pPr>
      <w:r>
        <w:t xml:space="preserve">5.1 Phase 4: architectural ablation (true-lattice setting)</w:t>
      </w:r>
    </w:p>
    <w:p>
      <w:pPr>
        <w:pStyle w:val="FirstParagraph"/>
      </w:pPr>
      <w:r>
        <w:t xml:space="preserve">Table 1: seven runs sweeping the Debye loss, the lattice-input fix, x₀-residual, and two extensions (Wyckoff, distance loss), all on n = 1 000 MP-20 test with true lattice substituted.</w:t>
      </w:r>
    </w:p>
    <w:p>
      <w:pPr>
        <w:pStyle w:val="BodyText"/>
      </w:pPr>
      <w:r>
        <w:rPr>
          <w:b/>
          <w:bCs/>
        </w:rPr>
        <w:t xml:space="preserve">Table 1.</w:t>
      </w:r>
      <w:r>
        <w:t xml:space="preserve"> </w:t>
      </w:r>
      <w:r>
        <w:t xml:space="preserve">Phase 4 coordinate-only ablation, MP-20 test (n = 1 000, true lattice substituted).</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50" w:name="fig:ablation"/>
    <w:p>
      <w:pPr>
        <w:pStyle w:val="CaptionedFigure"/>
      </w:pPr>
      <w:r>
        <w:drawing>
          <wp:inline>
            <wp:extent cx="5334000" cy="2222893"/>
            <wp:effectExtent b="0" l="0" r="0" t="0"/>
            <wp:docPr descr="Figure 2. Phase 4 architectural ablation. 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 title="" id="48" name="Picture"/>
            <a:graphic>
              <a:graphicData uri="http://schemas.openxmlformats.org/drawingml/2006/picture">
                <pic:pic>
                  <pic:nvPicPr>
                    <pic:cNvPr descr="fig1_ablation.png" id="49" name="Picture"/>
                    <pic:cNvPicPr>
                      <a:picLocks noChangeArrowheads="1" noChangeAspect="1"/>
                    </pic:cNvPicPr>
                  </pic:nvPicPr>
                  <pic:blipFill>
                    <a:blip r:embed="rId47"/>
                    <a:stretch>
                      <a:fillRect/>
                    </a:stretch>
                  </pic:blipFill>
                  <pic:spPr bwMode="auto">
                    <a:xfrm>
                      <a:off x="0" y="0"/>
                      <a:ext cx="5334000" cy="2222893"/>
                    </a:xfrm>
                    <a:prstGeom prst="rect">
                      <a:avLst/>
                    </a:prstGeom>
                    <a:noFill/>
                    <a:ln w="9525">
                      <a:noFill/>
                      <a:headEnd/>
                      <a:tailEnd/>
                    </a:ln>
                  </pic:spPr>
                </pic:pic>
              </a:graphicData>
            </a:graphic>
          </wp:inline>
        </w:drawing>
      </w:r>
    </w:p>
    <w:p>
      <w:pPr>
        <w:pStyle w:val="ImageCaption"/>
      </w:pPr>
      <w:r>
        <w:rPr>
          <w:b/>
          <w:bCs/>
        </w:rPr>
        <w:t xml:space="preserve">Figure 2. Phase 4 architectural ablation.</w:t>
      </w:r>
      <w:r>
        <w:t xml:space="preserve"> </w:t>
      </w:r>
      <w:r>
        <w:t xml:space="preserve">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w:t>
      </w:r>
    </w:p>
    <w:bookmarkEnd w:id="50"/>
    <w:p>
      <w:pPr>
        <w:pStyle w:val="BodyText"/>
      </w:pPr>
      <w:r>
        <w:t xml:space="preserve">The</w:t>
      </w:r>
      <w:r>
        <w:t xml:space="preserve"> </w:t>
      </w:r>
      <w:r>
        <w:rPr>
          <w:b/>
          <w:bCs/>
        </w:rPr>
        <w:t xml:space="preserve">lattice-input fix</w:t>
      </w:r>
      <w:r>
        <w:t xml:space="preserve"> </w:t>
      </w:r>
      <w:r>
        <w:t xml:space="preserve">(§3.4) is load-bearing: it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A second, apparent lift did</w:t>
      </w:r>
      <w:r>
        <w:t xml:space="preserve"> </w:t>
      </w:r>
      <w:r>
        <w:rPr>
          <w:b/>
          <w:bCs/>
        </w:rPr>
        <w:t xml:space="preserve">not</w:t>
      </w:r>
      <w:r>
        <w:t xml:space="preserve"> </w:t>
      </w:r>
      <w:r>
        <w:t xml:space="preserve">survive replication: switching from</w:t>
      </w:r>
      <w:r>
        <w:t xml:space="preserve"> </w:t>
      </w:r>
      <w:r>
        <w:rPr>
          <w:b/>
          <w:bCs/>
        </w:rPr>
        <w:t xml:space="preserve">ε to x₀-residual</w:t>
      </w:r>
      <w:r>
        <w:t xml:space="preserve"> </w:t>
      </w:r>
      <w:r>
        <w:t xml:space="preserve">at fixed Debye λ = 1 (v11 → v13) lifted single-seed match 0.9 % → 2.5 %, but a multi-seed checkpoint sweep (two seeds × five checkpoints, 20k–100k) found ε and x₀-residual indistinguishable on match rate (1.20 % vs 1.35 % pooled; x₀ never exceeds 1.5 % at any checkpoint, including the 80 k one matching the original’s 79.5 k, §7), so the 3.5× match lift was a single-seed fluctuation. The x₀-residual parameterisation does, however, reproducibly improve pattern-Pearson (0.36 → 0.40), which is the part of the Phase-4 signal that survives. Capacity is not the bottleneck: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stayed at the same ~1.0 coord-loss plateau as v10. Under the full pipeline (sampled lattice), v13 drops to 1.2 % at n = 256; the Phase 9 v21 checkpoint reaches 4.5 % under oracle (three seeds; an earlier single-seed snapshot read 5.6 %) but only 1.0 % under full pipeline. §5.2 attacks that gap.</w:t>
      </w:r>
    </w:p>
    <w:bookmarkEnd w:id="51"/>
    <w:bookmarkStart w:id="56" w:name="phase-9-classical-indexer-drop-in"/>
    <w:p>
      <w:pPr>
        <w:pStyle w:val="Heading2"/>
      </w:pPr>
      <w:r>
        <w:t xml:space="preserve">5.2 Phase 9: classical indexer drop-in</w:t>
      </w:r>
    </w:p>
    <w:p>
      <w:pPr>
        <w:pStyle w:val="FirstParagraph"/>
      </w:pPr>
      <w:r>
        <w:t xml:space="preserve">Table 2: three rows on the same n = 1 000 with the v21 checkpoint (Phase 9 retrain, Phase 4 fixes + retuned encoder); they differ only in which lattice the sampler conditions on.</w:t>
      </w:r>
    </w:p>
    <w:p>
      <w:pPr>
        <w:pStyle w:val="BodyText"/>
      </w:pPr>
      <w:r>
        <w:rPr>
          <w:b/>
          <w:bCs/>
        </w:rPr>
        <w:t xml:space="preserve">Table 2.</w:t>
      </w:r>
      <w:r>
        <w:t xml:space="preserve"> </w:t>
      </w:r>
      <w:r>
        <w:t xml:space="preserve">Phase 9 lattice-source comparison (n = 1 000 MP-20 test, v21 checkpoint, single-seed snapshot). Match % with 95 % Wilson CI; the three-seed paired analysis follows below.</w:t>
      </w:r>
    </w:p>
    <w:tbl>
      <w:tblPr>
        <w:tblStyle w:val="Table"/>
        <w:tblW w:type="pct" w:w="5000"/>
        <w:tblLayout w:type="fixed"/>
        <w:tblLook w:firstRow="1" w:lastRow="0" w:firstColumn="0" w:lastColumn="0" w:noHBand="0" w:noVBand="0" w:val="0020"/>
      </w:tblPr>
      <w:tblGrid>
        <w:gridCol w:w="3353"/>
        <w:gridCol w:w="1355"/>
        <w:gridCol w:w="1070"/>
        <w:gridCol w:w="713"/>
        <w:gridCol w:w="998"/>
        <w:gridCol w:w="428"/>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r>
      <w:tr>
        <w:tc>
          <w:tcPr/>
          <w:p>
            <w:pPr>
              <w:pStyle w:val="Compact"/>
            </w:pPr>
            <w:r>
              <w:t xml:space="preserve">Learned head only (full pipeline)</w:t>
            </w:r>
          </w:p>
        </w:tc>
        <w:tc>
          <w:tcPr/>
          <w:p>
            <w:pPr>
              <w:pStyle w:val="Compact"/>
            </w:pPr>
            <w:r>
              <w:t xml:space="preserve">1.0 [0.5, 1.8]</w:t>
            </w:r>
          </w:p>
        </w:tc>
        <w:tc>
          <w:tcPr/>
          <w:p>
            <w:pPr>
              <w:pStyle w:val="Compact"/>
            </w:pPr>
            <w:r>
              <w:t xml:space="preserve">0.0</w:t>
            </w:r>
          </w:p>
        </w:tc>
        <w:tc>
          <w:tcPr/>
          <w:p>
            <w:pPr>
              <w:pStyle w:val="Compact"/>
            </w:pPr>
            <w:r>
              <w:t xml:space="preserve">1.4</w:t>
            </w:r>
          </w:p>
        </w:tc>
        <w:tc>
          <w:tcPr/>
          <w:p>
            <w:pPr>
              <w:pStyle w:val="Compact"/>
            </w:pPr>
            <w:r>
              <w:t xml:space="preserve">n/a</w:t>
            </w:r>
          </w:p>
        </w:tc>
        <w:tc>
          <w:tcPr/>
          <w:p>
            <w:pPr>
              <w:pStyle w:val="Compact"/>
            </w:pPr>
            <w:r>
              <w:t xml:space="preserve">11.7</w:t>
            </w:r>
          </w:p>
        </w:tc>
      </w:tr>
      <w:tr>
        <w:tc>
          <w:tcPr/>
          <w:p>
            <w:pPr>
              <w:pStyle w:val="Compact"/>
            </w:pPr>
            <w:r>
              <w:rPr>
                <w:b/>
                <w:bCs/>
              </w:rPr>
              <w:t xml:space="preserve">Classical Q-space autoindexer (§3.5) drop-in</w:t>
            </w:r>
          </w:p>
        </w:tc>
        <w:tc>
          <w:tcPr/>
          <w:p>
            <w:pPr>
              <w:pStyle w:val="Compact"/>
            </w:pPr>
            <w:r>
              <w:rPr>
                <w:b/>
                <w:bCs/>
              </w:rPr>
              <w:t xml:space="preserve">1.6 [1.0, 2.6]</w:t>
            </w:r>
          </w:p>
        </w:tc>
        <w:tc>
          <w:tcPr/>
          <w:p>
            <w:pPr>
              <w:pStyle w:val="Compact"/>
            </w:pPr>
            <w:r>
              <w:rPr>
                <w:b/>
                <w:bCs/>
              </w:rPr>
              <w:t xml:space="preserve">0.1</w:t>
            </w:r>
          </w:p>
        </w:tc>
        <w:tc>
          <w:tcPr/>
          <w:p>
            <w:pPr>
              <w:pStyle w:val="Compact"/>
            </w:pPr>
            <w:r>
              <w:rPr>
                <w:b/>
                <w:bCs/>
              </w:rPr>
              <w:t xml:space="preserve">1.4</w:t>
            </w:r>
          </w:p>
        </w:tc>
        <w:tc>
          <w:tcPr/>
          <w:p>
            <w:pPr>
              <w:pStyle w:val="Compact"/>
            </w:pPr>
            <w:r>
              <w:rPr>
                <w:b/>
                <w:bCs/>
              </w:rPr>
              <w:t xml:space="preserve">0.125</w:t>
            </w:r>
          </w:p>
        </w:tc>
        <w:tc>
          <w:tcPr/>
          <w:p>
            <w:pPr>
              <w:pStyle w:val="Compact"/>
            </w:pPr>
            <w:r>
              <w:t xml:space="preserve">11.5</w:t>
            </w:r>
          </w:p>
        </w:tc>
      </w:tr>
      <w:tr>
        <w:tc>
          <w:tcPr/>
          <w:p>
            <w:pPr>
              <w:pStyle w:val="Compact"/>
            </w:pPr>
            <w:r>
              <w:t xml:space="preserve">Ground-truth lattice (oracle)</w:t>
            </w:r>
          </w:p>
        </w:tc>
        <w:tc>
          <w:tcPr/>
          <w:p>
            <w:pPr>
              <w:pStyle w:val="Compact"/>
            </w:pPr>
            <w:r>
              <w:t xml:space="preserve">5.6 [4.3, 7.2]</w:t>
            </w:r>
          </w:p>
        </w:tc>
        <w:tc>
          <w:tcPr/>
          <w:p>
            <w:pPr>
              <w:pStyle w:val="Compact"/>
            </w:pPr>
            <w:r>
              <w:t xml:space="preserve">0.6</w:t>
            </w:r>
          </w:p>
        </w:tc>
        <w:tc>
          <w:tcPr/>
          <w:p>
            <w:pPr>
              <w:pStyle w:val="Compact"/>
            </w:pPr>
            <w:r>
              <w:t xml:space="preserve">1.7</w:t>
            </w:r>
          </w:p>
        </w:tc>
        <w:tc>
          <w:tcPr/>
          <w:p>
            <w:pPr>
              <w:pStyle w:val="Compact"/>
            </w:pPr>
            <w:r>
              <w:t xml:space="preserve">0.106</w:t>
            </w:r>
          </w:p>
        </w:tc>
        <w:tc>
          <w:tcPr/>
          <w:p>
            <w:pPr>
              <w:pStyle w:val="Compact"/>
            </w:pPr>
            <w:r>
              <w:t xml:space="preserve">5.6</w:t>
            </w:r>
          </w:p>
        </w:tc>
      </w:tr>
    </w:tbl>
    <w:p>
      <w:pPr>
        <w:pStyle w:val="BodyText"/>
      </w:pPr>
      <w:r>
        <w:rPr>
          <w:b/>
          <w:bCs/>
        </w:rPr>
        <w:t xml:space="preserve">The lift is real: a three-seed paired test.</w:t>
      </w:r>
      <w:r>
        <w:t xml:space="preserve"> </w:t>
      </w:r>
      <w:r>
        <w:t xml:space="preserve">The single-seed snapshot alone does not establish a genuine improvement: its Wilson CIs overlap and an unpaired two-proportion test gives p = 0.24. To resolve it we reran</w:t>
      </w:r>
      <w:r>
        <w:t xml:space="preserve"> </w:t>
      </w:r>
      <w:r>
        <w:rPr>
          <w:i/>
          <w:iCs/>
        </w:rPr>
        <w:t xml:space="preserve">both</w:t>
      </w:r>
      <w:r>
        <w:t xml:space="preserve"> </w:t>
      </w:r>
      <w:r>
        <w:t xml:space="preserve">lattice sources at three seeds (n = 1 000 each), differing only in the lattice channel, and applied a paired McNemar test on the per-structure outcomes, the correct test, because the two arms see the same materials. The result is unambiguous. The two arms are scored on the same materials per seed, but the learned-head arm yields fewer</w:t>
      </w:r>
      <w:r>
        <w:t xml:space="preserve"> </w:t>
      </w:r>
      <w:r>
        <w:rPr>
          <w:i/>
          <w:iCs/>
        </w:rPr>
        <w:t xml:space="preserve">evaluable</w:t>
      </w:r>
      <w:r>
        <w:t xml:space="preserve"> </w:t>
      </w:r>
      <w:r>
        <w:t xml:space="preserve">cells: its diffusion-sampled lattices are frequently degenerate and hang</w:t>
      </w:r>
      <w:r>
        <w:t xml:space="preserve"> </w:t>
      </w:r>
      <w:r>
        <w:rPr>
          <w:rStyle w:val="VerbatimChar"/>
        </w:rPr>
        <w:t xml:space="preserve">StructureMatcher</w:t>
      </w:r>
      <w:r>
        <w:t xml:space="preserve">/</w:t>
      </w:r>
      <w:r>
        <w:rPr>
          <w:rStyle w:val="VerbatimChar"/>
        </w:rPr>
        <w:t xml:space="preserve">spglib</w:t>
      </w:r>
      <w:r>
        <w:t xml:space="preserve"> </w:t>
      </w:r>
      <w:r>
        <w:t xml:space="preserve">(C calls that a Python signal cannot interrupt), so we run structure-domain scoring in a spawn worker hard-killed at 30 s and count overruns as misses. This leaves</w:t>
      </w:r>
      <w:r>
        <w:t xml:space="preserve"> </w:t>
      </w:r>
      <w:r>
        <w:rPr>
          <w:b/>
          <w:bCs/>
        </w:rPr>
        <w:t xml:space="preserve">1 949</w:t>
      </w:r>
      <w:r>
        <w:t xml:space="preserve"> </w:t>
      </w:r>
      <w:r>
        <w:t xml:space="preserve">learned-head structures scored across the three seeds versus all 3 000 for the indexer; the paired test runs on the 1 949-structure intersection (every learned-head row has a matched indexer row). On that paired set the indexer recovers</w:t>
      </w:r>
      <w:r>
        <w:t xml:space="preserve"> </w:t>
      </w:r>
      <w:r>
        <w:rPr>
          <w:b/>
          <w:bCs/>
        </w:rPr>
        <w:t xml:space="preserve">27</w:t>
      </w:r>
      <w:r>
        <w:t xml:space="preserve"> </w:t>
      </w:r>
      <w:r>
        <w:t xml:space="preserve">structures the learned head misses and the learned head recovers</w:t>
      </w:r>
      <w:r>
        <w:t xml:space="preserve"> </w:t>
      </w:r>
      <w:r>
        <w:rPr>
          <w:b/>
          <w:bCs/>
        </w:rPr>
        <w:t xml:space="preserve">none</w:t>
      </w:r>
      <w:r>
        <w:t xml:space="preserve"> </w:t>
      </w:r>
      <w:r>
        <w:t xml:space="preserve">the indexer misses (the explicit 2×2 below).</w:t>
      </w:r>
    </w:p>
    <w:p>
      <w:pPr>
        <w:pStyle w:val="BodyText"/>
      </w:pPr>
      <w:r>
        <w:rPr>
          <w:b/>
          <w:bCs/>
        </w:rPr>
        <w:t xml:space="preserve">Table 2a.</w:t>
      </w:r>
      <w:r>
        <w:t xml:space="preserve"> </w:t>
      </w:r>
      <w:r>
        <w:t xml:space="preserve">Paired per-structure outcomes, learned head vs indexer drop-in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rPr>
                <w:b/>
                <w:bCs/>
              </w:rPr>
              <w:t xml:space="preserve">learned miss</w:t>
            </w:r>
          </w:p>
        </w:tc>
        <w:tc>
          <w:tcPr/>
          <w:p>
            <w:pPr>
              <w:pStyle w:val="Compact"/>
            </w:pPr>
            <w:r>
              <w:t xml:space="preserve">27</w:t>
            </w:r>
          </w:p>
        </w:tc>
        <w:tc>
          <w:tcPr/>
          <w:p>
            <w:pPr>
              <w:pStyle w:val="Compact"/>
            </w:pPr>
            <w:r>
              <w:t xml:space="preserve">1 922</w:t>
            </w:r>
          </w:p>
        </w:tc>
        <w:tc>
          <w:tcPr/>
          <w:p>
            <w:pPr>
              <w:pStyle w:val="Compact"/>
            </w:pPr>
            <w:r>
              <w:t xml:space="preserve">1 949</w:t>
            </w:r>
          </w:p>
        </w:tc>
      </w:tr>
      <w:tr>
        <w:tc>
          <w:tcPr/>
          <w:p>
            <w:pPr>
              <w:pStyle w:val="Compact"/>
            </w:pPr>
            <w:r>
              <w:rPr>
                <w:b/>
                <w:bCs/>
              </w:rPr>
              <w:t xml:space="preserve">col total</w:t>
            </w:r>
          </w:p>
        </w:tc>
        <w:tc>
          <w:tcPr/>
          <w:p>
            <w:pPr>
              <w:pStyle w:val="Compact"/>
            </w:pPr>
            <w:r>
              <w:t xml:space="preserve">27</w:t>
            </w:r>
          </w:p>
        </w:tc>
        <w:tc>
          <w:tcPr/>
          <w:p>
            <w:pPr>
              <w:pStyle w:val="Compact"/>
            </w:pPr>
            <w:r>
              <w:t xml:space="preserve">1 922</w:t>
            </w:r>
          </w:p>
        </w:tc>
        <w:tc>
          <w:tcPr/>
          <w:p>
            <w:pPr>
              <w:pStyle w:val="Compact"/>
            </w:pPr>
            <w:r>
              <w:t xml:space="preserve">1 949</w:t>
            </w:r>
          </w:p>
        </w:tc>
      </w:tr>
    </w:tbl>
    <w:p>
      <w:pPr>
        <w:pStyle w:val="BodyText"/>
      </w:pPr>
      <w:r>
        <w:t xml:space="preserve">The discordant cells are</w:t>
      </w:r>
      <w:r>
        <w:t xml:space="preserve"> </w:t>
      </w:r>
      <w:r>
        <w:rPr>
          <w:i/>
          <w:iCs/>
        </w:rPr>
        <w:t xml:space="preserve">b</w:t>
      </w:r>
      <w:r>
        <w:t xml:space="preserve"> </w:t>
      </w:r>
      <w:r>
        <w:t xml:space="preserve">= 27 (indexer fixes),</w:t>
      </w:r>
      <w:r>
        <w:t xml:space="preserve"> </w:t>
      </w:r>
      <w:r>
        <w:rPr>
          <w:i/>
          <w:iCs/>
        </w:rPr>
        <w:t xml:space="preserve">c</w:t>
      </w:r>
      <w:r>
        <w:t xml:space="preserve"> </w:t>
      </w:r>
      <w:r>
        <w:t xml:space="preserve">= 0 (indexer breaks); an exact two-sided McNemar test gives</w:t>
      </w:r>
      <w:r>
        <w:t xml:space="preserve"> </w:t>
      </w:r>
      <w:r>
        <w:rPr>
          <w:b/>
          <w:bCs/>
        </w:rPr>
        <w:t xml:space="preserve">p = 1.5 × 10⁻⁸</w:t>
      </w:r>
      <w:r>
        <w:t xml:space="preserve">. (Marginal match counts differ: indexer 46 / 3 000, learned 0 / 1 949, because 19 further indexer matches fall on structures the learned arm could not score; these do not enter the paired test.) The single-seed 1.0 % learned-head figure in Table 2 is within run-to-run noise of zero; across three fresh seeds the learned lattice head matched nothing. The gain does</w:t>
      </w:r>
      <w:r>
        <w:t xml:space="preserve"> </w:t>
      </w:r>
      <w:r>
        <w:rPr>
          <w:b/>
          <w:bCs/>
        </w:rPr>
        <w:t xml:space="preserve">not</w:t>
      </w:r>
      <w:r>
        <w:t xml:space="preserve"> </w:t>
      </w:r>
      <w:r>
        <w:t xml:space="preserve">carry to the stricter all-correct metric: there the discordant cells are</w:t>
      </w:r>
      <w:r>
        <w:t xml:space="preserve"> </w:t>
      </w:r>
      <w:r>
        <w:rPr>
          <w:i/>
          <w:iCs/>
        </w:rPr>
        <w:t xml:space="preserve">b</w:t>
      </w:r>
      <w:r>
        <w:t xml:space="preserve"> </w:t>
      </w:r>
      <w:r>
        <w:t xml:space="preserve">= 4,</w:t>
      </w:r>
      <w:r>
        <w:t xml:space="preserve"> </w:t>
      </w:r>
      <w:r>
        <w:rPr>
          <w:i/>
          <w:iCs/>
        </w:rPr>
        <w:t xml:space="preserve">c</w:t>
      </w:r>
      <w:r>
        <w:t xml:space="preserve"> </w:t>
      </w:r>
      <w:r>
        <w:t xml:space="preserve">= 0 (exact McNemar</w:t>
      </w:r>
      <w:r>
        <w:t xml:space="preserve"> </w:t>
      </w:r>
      <w:r>
        <w:rPr>
          <w:b/>
          <w:bCs/>
        </w:rPr>
        <w:t xml:space="preserve">p = 0.13</w:t>
      </w:r>
      <w:r>
        <w:t xml:space="preserve">): the indexer fixes the cell but not the space group. So the drop-in reproducibly improves match rate over the learned lattice head; the</w:t>
      </w:r>
      <w:r>
        <w:t xml:space="preserve"> </w:t>
      </w:r>
      <w:r>
        <w:rPr>
          <w:i/>
          <w:iCs/>
        </w:rPr>
        <w:t xml:space="preserve">mechanism</w:t>
      </w:r>
      <w:r>
        <w:t xml:space="preserve"> </w:t>
      </w:r>
      <w:r>
        <w:t xml:space="preserve">(§5.5, §5.6) is that its gains come entirely from high-symmetry systems where the indexer’s cell error falls below the 0.5 Å sensitivity knee, with low-symmetry contributing nothing.</w:t>
      </w:r>
    </w:p>
    <w:p>
      <w:pPr>
        <w:pStyle w:val="BodyText"/>
      </w:pPr>
      <w:r>
        <w:t xml:space="preserve">What the indexer does</w:t>
      </w:r>
      <w:r>
        <w:t xml:space="preserve"> </w:t>
      </w:r>
      <w:r>
        <w:rPr>
          <w:i/>
          <w:iCs/>
        </w:rPr>
        <w:t xml:space="preserve">not</w:t>
      </w:r>
      <w:r>
        <w:t xml:space="preserve"> </w:t>
      </w:r>
      <w:r>
        <w:t xml:space="preserve">do is close the gap to the oracle. We re-ran the oracle at three seeds, firming the single-seed 5.6 % to</w:t>
      </w:r>
      <w:r>
        <w:t xml:space="preserve"> </w:t>
      </w:r>
      <w:r>
        <w:rPr>
          <w:b/>
          <w:bCs/>
        </w:rPr>
        <w:t xml:space="preserve">4.5 % [3.8, 5.3]</w:t>
      </w:r>
      <w:r>
        <w:t xml:space="preserve"> </w:t>
      </w:r>
      <w:r>
        <w:t xml:space="preserve">(135 / 3 000 pooled), still disjoint from the indexer’s 1.5 % [1.2, 2.0]. The indexer → oracle gap (1.5 → 4.5 %) is itself significant (disjoint CIs) and isolates the lattice-attributable error: even with a perfect lattice, match caps at 4.5 %, so coordinate prediction is the dominant limiter while lattice error explains the 1.5 → 4.5 % shortfall. The indexer’s per-system MAE (1.45 Å overall, dominated by mono 1.76 Å and triclinic NaN) sits above the 0.5 Å knee; closing the rest requires fixing the low-symmetry path (GSAS-II remains experimental).</w:t>
      </w:r>
    </w:p>
    <w:bookmarkStart w:id="55" w:name="fig:indexer"/>
    <w:p>
      <w:pPr>
        <w:pStyle w:val="CaptionedFigure"/>
      </w:pPr>
      <w:r>
        <w:drawing>
          <wp:inline>
            <wp:extent cx="5334000" cy="2423254"/>
            <wp:effectExtent b="0" l="0" r="0" t="0"/>
            <wp:docPr descr="Figure 3. Per-system indexer performance. 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 title="" id="53" name="Picture"/>
            <a:graphic>
              <a:graphicData uri="http://schemas.openxmlformats.org/drawingml/2006/picture">
                <pic:pic>
                  <pic:nvPicPr>
                    <pic:cNvPr descr="fig4_indexer_bench.png" id="54" name="Picture"/>
                    <pic:cNvPicPr>
                      <a:picLocks noChangeArrowheads="1" noChangeAspect="1"/>
                    </pic:cNvPicPr>
                  </pic:nvPicPr>
                  <pic:blipFill>
                    <a:blip r:embed="rId52"/>
                    <a:stretch>
                      <a:fillRect/>
                    </a:stretch>
                  </pic:blipFill>
                  <pic:spPr bwMode="auto">
                    <a:xfrm>
                      <a:off x="0" y="0"/>
                      <a:ext cx="5334000" cy="2423254"/>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w:t>
      </w:r>
    </w:p>
    <w:bookmarkEnd w:id="55"/>
    <w:bookmarkEnd w:id="56"/>
    <w:bookmarkStart w:id="64" w:name="head-to-head-with-external-baselines"/>
    <w:p>
      <w:pPr>
        <w:pStyle w:val="Heading2"/>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1 000, PXRDnet (</w:t>
      </w:r>
      <w:r>
        <w:rPr>
          <w:rStyle w:val="VerbatimChar"/>
        </w:rPr>
        <w:t xml:space="preserve">therealgabeguo/cdvae_xrd_sinc100</w:t>
      </w:r>
      <w:r>
        <w:t xml:space="preserve">) at n = 20 (limited by ~4 GPU-hr/material), and deCIFer (deCIFer_v1, conditioned on XRD + composition) at n = 300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w:t>
      </w:r>
    </w:p>
    <w:p>
      <w:pPr>
        <w:pStyle w:val="BodyText"/>
      </w:pPr>
      <w:r>
        <w:rPr>
          <w:b/>
          <w:bCs/>
        </w:rPr>
        <w:t xml:space="preserve">Table 3.</w:t>
      </w:r>
      <w:r>
        <w:t xml:space="preserve"> </w:t>
      </w:r>
      <w:r>
        <w:t xml:space="preserve">Reproduced head-to-head on MP-20 test (StructureMatcher ltol 0.2, stol 0.3, angle_tol 5°).</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(v21 + indexer drop-in)</w:t>
            </w:r>
          </w:p>
        </w:tc>
        <w:tc>
          <w:tcPr/>
          <w:p>
            <w:pPr>
              <w:pStyle w:val="Compact"/>
            </w:pPr>
            <w:r>
              <w:t xml:space="preserve">1 000</w:t>
            </w:r>
          </w:p>
        </w:tc>
        <w:tc>
          <w:tcPr/>
          <w:p>
            <w:pPr>
              <w:pStyle w:val="Compact"/>
            </w:pPr>
            <w:r>
              <w:t xml:space="preserve">1.6 [1.0, 2.6]</w:t>
            </w:r>
          </w:p>
        </w:tc>
        <w:tc>
          <w:tcPr/>
          <w:p>
            <w:pPr>
              <w:pStyle w:val="Compact"/>
            </w:pPr>
            <w:r>
              <w:t xml:space="preserve">0.1 [0.0, 0.6]</w:t>
            </w:r>
          </w:p>
        </w:tc>
        <w:tc>
          <w:tcPr/>
          <w:p>
            <w:pPr>
              <w:pStyle w:val="Compact"/>
            </w:pPr>
            <w:r>
              <w:t xml:space="preserve">1.4</w:t>
            </w:r>
          </w:p>
        </w:tc>
        <w:tc>
          <w:tcPr/>
          <w:p>
            <w:pPr>
              <w:pStyle w:val="Compact"/>
            </w:pPr>
            <w:r>
              <w:t xml:space="preserve">0.125</w:t>
            </w:r>
          </w:p>
        </w:tc>
      </w:tr>
      <w:tr>
        <w:tc>
          <w:tcPr/>
          <w:p>
            <w:pPr>
              <w:pStyle w:val="Compact"/>
            </w:pPr>
            <w:r>
              <w:t xml:space="preserve">DiffractGPT</w:t>
            </w:r>
            <w:r>
              <w:t xml:space="preserve"> </w:t>
            </w:r>
            <w:r>
              <w:rPr>
                <w:rStyle w:val="FootnoteReference"/>
              </w:rPr>
              <w:footnoteReference w:id="57"/>
            </w:r>
          </w:p>
        </w:tc>
        <w:tc>
          <w:tcPr/>
          <w:p>
            <w:pPr>
              <w:pStyle w:val="Compact"/>
            </w:pPr>
            <w:r>
              <w:t xml:space="preserve">1 000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w:t>
            </w:r>
            <w:r>
              <w:t xml:space="preserve"> </w:t>
            </w:r>
            <w:r>
              <w:rPr>
                <w:rStyle w:val="FootnoteReference"/>
              </w:rPr>
              <w:footnoteReference w:id="58"/>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r>
        <w:tc>
          <w:tcPr/>
          <w:p>
            <w:pPr>
              <w:pStyle w:val="Compact"/>
            </w:pPr>
            <w:r>
              <w:t xml:space="preserve">deCIFer</w:t>
            </w:r>
            <w:r>
              <w:t xml:space="preserve"> </w:t>
            </w:r>
            <w:r>
              <w:rPr>
                <w:rStyle w:val="FootnoteReference"/>
              </w:rPr>
              <w:footnoteReference w:id="59"/>
            </w:r>
          </w:p>
        </w:tc>
        <w:tc>
          <w:tcPr/>
          <w:p>
            <w:pPr>
              <w:pStyle w:val="Compact"/>
            </w:pPr>
            <w:r>
              <w:t xml:space="preserve">298</w:t>
            </w:r>
          </w:p>
        </w:tc>
        <w:tc>
          <w:tcPr/>
          <w:p>
            <w:pPr>
              <w:pStyle w:val="Compact"/>
            </w:pPr>
            <w:r>
              <w:t xml:space="preserve">73.8 [68.6, 78.5]</w:t>
            </w:r>
          </w:p>
        </w:tc>
        <w:tc>
          <w:tcPr/>
          <w:p>
            <w:pPr>
              <w:pStyle w:val="Compact"/>
            </w:pPr>
            <w:r>
              <w:t xml:space="preserve">69.5 [64.0, 74.4]</w:t>
            </w:r>
          </w:p>
        </w:tc>
        <w:tc>
          <w:tcPr/>
          <w:p>
            <w:pPr>
              <w:pStyle w:val="Compact"/>
            </w:pPr>
            <w:r>
              <w:t xml:space="preserve">83.6</w:t>
            </w:r>
          </w:p>
        </w:tc>
        <w:tc>
          <w:tcPr/>
          <w:p>
            <w:pPr>
              <w:pStyle w:val="Compact"/>
            </w:pPr>
            <w:r>
              <w:t xml:space="preserve">0.009</w:t>
            </w:r>
          </w:p>
        </w:tc>
      </w:tr>
    </w:tbl>
    <w:p>
      <w:pPr>
        <w:pStyle w:val="BodyText"/>
      </w:pPr>
      <w:r>
        <w:rPr>
          <w:b/>
          <w:bCs/>
        </w:rPr>
        <w:t xml:space="preserve">Match rate</w:t>
      </w:r>
      <w:r>
        <w:t xml:space="preserve"> </w:t>
      </w:r>
      <w:r>
        <w:t xml:space="preserve">ranks deCIFer ≫ PXRDnet &gt; DGpt &gt; PXRD-Diff. deCIFer, a concurrent autoregressive CIF-token model conditioned on XRD + composition, is the strongest external reference at 73.8 % match / 69.5 % all-correct (n = 300), ~46× above PXRD-Diff; notably its all-correct nearly equals its match, i.e. when it recovers structure it almost always recovers the space group too, the same CIF-token signature seen in DGpt. PXRDnet’s lead over DGpt is consistent with its 35 k-op latent optimisation, whereas DGpt is one forward pass. PXRD-Diff is 12–19× behind PXRDnet/DGpt. A more interesting pattern is that the</w:t>
      </w:r>
      <w:r>
        <w:t xml:space="preserve"> </w:t>
      </w:r>
      <w:r>
        <w:rPr>
          <w:i/>
          <w:iCs/>
        </w:rPr>
        <w:t xml:space="preserve">all-correct</w:t>
      </w:r>
      <w:r>
        <w:t xml:space="preserve"> </w:t>
      </w:r>
      <w:r>
        <w:t xml:space="preserve">ordering need not follow match rate: DGpt’s all-correct (15.9 % [13.8, 18.3]) exceeds its space-group-loose match by little, while PXRDnet’s drops from 30 % match to 5 % all-correct,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the apparent</w:t>
      </w:r>
      <w:r>
        <w:t xml:space="preserve"> </w:t>
      </w:r>
      <w:r>
        <w:t xml:space="preserve">“reversal”</w:t>
      </w:r>
      <w:r>
        <w:t xml:space="preserve"> </w:t>
      </w:r>
      <w:r>
        <w:t xml:space="preserve">is</w:t>
      </w:r>
      <w:r>
        <w:t xml:space="preserve"> </w:t>
      </w:r>
      <w:r>
        <w:rPr>
          <w:i/>
          <w:iCs/>
        </w:rPr>
        <w:t xml:space="preserve">not</w:t>
      </w:r>
      <w:r>
        <w:t xml:space="preserve"> </w:t>
      </w:r>
      <w:r>
        <w:t xml:space="preserve">statistically established and would require n ≈ 100–200 to confirm. If it holds, the implication is consequential: published single-number</w:t>
      </w:r>
      <w:r>
        <w:t xml:space="preserve"> </w:t>
      </w:r>
      <w:r>
        <w:t xml:space="preserve">“match rates”</w:t>
      </w:r>
      <w:r>
        <w:t xml:space="preserve"> </w:t>
      </w:r>
      <w:r>
        <w:t xml:space="preserve">would conflate structure recovery with symmetry recovery, which is precisely why we surface it despite the underpowered sample, and why §6 frames it as motivation for future measurement rather than a claim.</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The gap is capability and compute, not input information.</w:t>
      </w:r>
      <w:r>
        <w:t xml:space="preserve"> </w:t>
      </w:r>
      <w:r>
        <w:t xml:space="preserve">All three systems are given the same chemistry (composition/formula; §3.1), so it is worth checking whether the 12–19× gap could instead be an artefact of one model being handed a richer</w:t>
      </w:r>
      <w:r>
        <w:t xml:space="preserve"> </w:t>
      </w:r>
      <w:r>
        <w:rPr>
          <w:i/>
          <w:iCs/>
        </w:rPr>
        <w:t xml:space="preserve">pattern</w:t>
      </w:r>
      <w:r>
        <w:t xml:space="preserve">. It is not; if anything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an order of magnitude lower resolution than PXRD-Diff’s 4 251-bin 0.02° input, yet it still reaches 18.9 %. So the baselines do not win by seeing more of the pattern. The asymmetries that do matter are</w:t>
      </w:r>
      <w:r>
        <w:t xml:space="preserve"> </w:t>
      </w:r>
      <w:r>
        <w:rPr>
          <w:b/>
          <w:bCs/>
        </w:rPr>
        <w:t xml:space="preserve">capacity</w:t>
      </w:r>
      <w:r>
        <w:t xml:space="preserve"> </w:t>
      </w:r>
      <w:r>
        <w:t xml:space="preserve">(DiffractGPT is a 7 B-parameter LLM; PXRD-Diff is 3.7 M, three orders of magnitude) and</w:t>
      </w:r>
      <w:r>
        <w:t xml:space="preserve"> </w:t>
      </w:r>
      <w:r>
        <w:rPr>
          <w:b/>
          <w:bCs/>
        </w:rPr>
        <w:t xml:space="preserve">inference compute</w:t>
      </w:r>
      <w:r>
        <w:t xml:space="preserve"> </w:t>
      </w:r>
      <w:r>
        <w:t xml:space="preserve">(PXRDnet’s ~35 k-op latent optimisation vs our single DDIM pass). The honest reading of Table 3 is therefore a capability/compute gap at fixed input information, not an input-handicap artefact; it is exactly the gap a deliberately small diagnostic model is expected to exhibit (§6).</w:t>
      </w:r>
    </w:p>
    <w:bookmarkStart w:id="63" w:name="fig:threeway"/>
    <w:p>
      <w:pPr>
        <w:pStyle w:val="CaptionedFigure"/>
      </w:pPr>
      <w:r>
        <w:drawing>
          <wp:inline>
            <wp:extent cx="5334000" cy="2210273"/>
            <wp:effectExtent b="0" l="0" r="0" t="0"/>
            <wp:docPr descr="Figure 4. Three-way headline comparison. Match rate, all-correct, and pattern-Pearson on the same MP-20 test materials scored through our StructureMatcher harness, with 95 % Wilson CIs. PXRD-Diff loses on match rate by 12–19× but wins on per-pattern Pearson. Note the wide PXRDnet (n = 20) intervals: the DGpt &gt; PXRDnet all-correct ordering is a hypothesis, not an established result (§5.3, §6)." title="" id="61" name="Picture"/>
            <a:graphic>
              <a:graphicData uri="http://schemas.openxmlformats.org/drawingml/2006/picture">
                <pic:pic>
                  <pic:nvPicPr>
                    <pic:cNvPr descr="fig5_threeway_headline.png" id="62" name="Picture"/>
                    <pic:cNvPicPr>
                      <a:picLocks noChangeArrowheads="1" noChangeAspect="1"/>
                    </pic:cNvPicPr>
                  </pic:nvPicPr>
                  <pic:blipFill>
                    <a:blip r:embed="rId60"/>
                    <a:stretch>
                      <a:fillRect/>
                    </a:stretch>
                  </pic:blipFill>
                  <pic:spPr bwMode="auto">
                    <a:xfrm>
                      <a:off x="0" y="0"/>
                      <a:ext cx="5334000" cy="2210273"/>
                    </a:xfrm>
                    <a:prstGeom prst="rect">
                      <a:avLst/>
                    </a:prstGeom>
                    <a:noFill/>
                    <a:ln w="9525">
                      <a:noFill/>
                      <a:headEnd/>
                      <a:tailEnd/>
                    </a:ln>
                  </pic:spPr>
                </pic:pic>
              </a:graphicData>
            </a:graphic>
          </wp:inline>
        </w:drawing>
      </w:r>
    </w:p>
    <w:p>
      <w:pPr>
        <w:pStyle w:val="ImageCaption"/>
      </w:pPr>
      <w:r>
        <w:rPr>
          <w:b/>
          <w:bCs/>
        </w:rPr>
        <w:t xml:space="preserve">Figure 4. Three-way headline comparison.</w:t>
      </w:r>
      <w:r>
        <w:t xml:space="preserve"> </w:t>
      </w:r>
      <w:r>
        <w:t xml:space="preserve">Match rate, all-correct, and pattern-Pearson on the same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with 95 % Wilson CIs. PXRD-Diff loses on match rate by 12–19× but wins on per-pattern Pearson. Note the wide PXRDnet (n = 20) intervals: the DGpt &gt; PXRDnet all-correct ordering is a hypothesis, not an established result (§5.3, §6).</w:t>
      </w:r>
    </w:p>
    <w:bookmarkEnd w:id="63"/>
    <w:p>
      <w:pPr>
        <w:pStyle w:val="BodyText"/>
      </w:pPr>
      <w:r>
        <w:rPr>
          <w:i/>
          <w:iCs/>
        </w:rPr>
        <w:t xml:space="preserve">Caveats.</w:t>
      </w:r>
      <w:r>
        <w:t xml:space="preserve"> </w:t>
      </w:r>
      <w:r>
        <w:t xml:space="preserve">PXRDnet n = 20 has a 95 % Wilson CI of roughly ±20 pp on every rate; n = 200 would need ~33 days of RTX 5090 rental at ~4 GPU-hr/material. Patterns are simulated through each model’s own preprocessing (different bins, 2θ vs Q, broadening): material_ids are identical, pattern inputs are not bit-identical; §7 bounds this.</w:t>
      </w:r>
    </w:p>
    <w:bookmarkEnd w:id="64"/>
    <w:bookmarkStart w:id="70" w:name="what-did-not-work"/>
    <w:p>
      <w:pPr>
        <w:pStyle w:val="Heading2"/>
      </w:pPr>
      <w:r>
        <w:t xml:space="preserve">5.4 What did</w:t>
      </w:r>
      <w:r>
        <w:t xml:space="preserve"> </w:t>
      </w:r>
      <w:r>
        <w:rPr>
          <w:i/>
          <w:iCs/>
        </w:rPr>
        <w:t xml:space="preserve">not</w:t>
      </w:r>
      <w:r>
        <w:t xml:space="preserve"> </w:t>
      </w:r>
      <w:r>
        <w:t xml:space="preserve">work</w:t>
      </w:r>
    </w:p>
    <w:p>
      <w:pPr>
        <w:pStyle w:val="FirstParagraph"/>
      </w:pPr>
      <w:r>
        <w:t xml:space="preserve">Four interventions failed at n ≥ 200; one paragraph each.</w:t>
      </w:r>
    </w:p>
    <w:p>
      <w:pPr>
        <w:pStyle w:val="BodyText"/>
      </w:pPr>
      <w:r>
        <w:rPr>
          <w:b/>
          <w:bCs/>
        </w:rPr>
        <w:t xml:space="preserve">Top-K Debye rerank (Phase 9.1.4).</w:t>
      </w:r>
      <w:r>
        <w:t xml:space="preserve"> </w:t>
      </w:r>
      <w:r>
        <w:t xml:space="preserve">Top-5 indexer candidates reranked by Debye loss: match 1.6 % → 1.0 %, all-correct 0.1 % → 0.0 % at n = 1 000.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consistent with Segal et al.</w:t>
      </w:r>
      <w:r>
        <w:t xml:space="preserve"> </w:t>
      </w:r>
      <w:r>
        <w:rPr>
          <w:rStyle w:val="FootnoteReference"/>
        </w:rPr>
        <w:footnoteReference w:id="65"/>
      </w:r>
      <w:r>
        <w:t xml:space="preserve">, who show the powder-XRD similarity loss landscape is too non-convex for direct gradient descent.</w:t>
      </w:r>
    </w:p>
    <w:p>
      <w:pPr>
        <w:pStyle w:val="BodyText"/>
      </w:pPr>
      <w:r>
        <w:rPr>
          <w:b/>
          <w:bCs/>
        </w:rPr>
        <w:t xml:space="preserve">Wyckoff-site embeddings (v15, n = 1 000).</w:t>
      </w:r>
      <w:r>
        <w:t xml:space="preserve"> </w:t>
      </w:r>
      <w:r>
        <w:rPr>
          <w:rStyle w:val="VerbatimChar"/>
        </w:rPr>
        <w:t xml:space="preserve">spglib</w:t>
      </w:r>
      <w:r>
        <w:t xml:space="preserve">-computed,</w:t>
      </w:r>
      <w:r>
        <w:t xml:space="preserve"> </w:t>
      </w:r>
      <w:r>
        <w:rPr>
          <w:rStyle w:val="VerbatimChar"/>
        </w:rPr>
        <w:t xml:space="preserve">nn.Embedding(27, 256)</w:t>
      </w:r>
      <w:r>
        <w:t xml:space="preserve"> </w:t>
      </w:r>
      <w:r>
        <w:t xml:space="preserve">added to atom features. The embedding learns (5 404/6 912 entries non-zero) but match drops 2.5 % → 2.1 % and destabilises lattice prediction (lat loss ~0.6 vs ~0.02; Figure 5). We suspect inflated atom-feature norm shifts the lattice-pool input distribution.</w:t>
      </w:r>
    </w:p>
    <w:bookmarkStart w:id="69" w:name="fig:training"/>
    <w:p>
      <w:pPr>
        <w:pStyle w:val="CaptionedFigure"/>
      </w:pPr>
      <w:r>
        <w:drawing>
          <wp:inline>
            <wp:extent cx="5334000" cy="2277073"/>
            <wp:effectExtent b="0" l="0" r="0" t="0"/>
            <wp:docPr descr="Figure 5. Wyckoff embedding destabilises lattice prediction. 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 title="" id="67" name="Picture"/>
            <a:graphic>
              <a:graphicData uri="http://schemas.openxmlformats.org/drawingml/2006/picture">
                <pic:pic>
                  <pic:nvPicPr>
                    <pic:cNvPr descr="fig2_training_curves.png" id="68" name="Picture"/>
                    <pic:cNvPicPr>
                      <a:picLocks noChangeArrowheads="1" noChangeAspect="1"/>
                    </pic:cNvPicPr>
                  </pic:nvPicPr>
                  <pic:blipFill>
                    <a:blip r:embed="rId66"/>
                    <a:stretch>
                      <a:fillRect/>
                    </a:stretch>
                  </pic:blipFill>
                  <pic:spPr bwMode="auto">
                    <a:xfrm>
                      <a:off x="0" y="0"/>
                      <a:ext cx="5334000" cy="2277073"/>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w:t>
      </w:r>
    </w:p>
    <w:bookmarkEnd w:id="69"/>
    <w:p>
      <w:pPr>
        <w:pStyle w:val="BodyText"/>
      </w:pPr>
      <w:r>
        <w:rPr>
          <w:b/>
          <w:bCs/>
        </w:rPr>
        <w:t xml:space="preserve">Distance-matrix aux loss (v16, n = 1 000).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 absolute-distance reconstruction rather than the relative updates diffusion needs.</w:t>
      </w:r>
    </w:p>
    <w:p>
      <w:pPr>
        <w:pStyle w:val="BodyText"/>
      </w:pPr>
      <w:r>
        <w:rPr>
          <w:b/>
          <w:bCs/>
        </w:rPr>
        <w:t xml:space="preserve">Combination (v14).</w:t>
      </w:r>
      <w:r>
        <w:t xml:space="preserve"> </w:t>
      </w:r>
      <w:r>
        <w:t xml:space="preserve">Wyckoff + distance loss together collapses to 0.8 %, below the bare ε baseline; the two interact destructively, no clean theoretical explanation.</w:t>
      </w:r>
    </w:p>
    <w:bookmarkEnd w:id="70"/>
    <w:bookmarkStart w:id="71" w:name="encoder-bottleneck-perturbation-study"/>
    <w:p>
      <w:pPr>
        <w:pStyle w:val="Heading2"/>
      </w:pPr>
      <w:r>
        <w:t xml:space="preserve">5.5 Encoder-bottleneck perturbation study</w:t>
      </w:r>
    </w:p>
    <w:p>
      <w:pPr>
        <w:pStyle w:val="FirstParagraph"/>
      </w:pPr>
      <w:r>
        <w:t xml:space="preserve">Best predicted-vs-target Pearson is 0.43; the same model with</w:t>
      </w:r>
      <w:r>
        <w:t xml:space="preserve"> </w:t>
      </w:r>
      <w:r>
        <w:rPr>
          <w:i/>
          <w:iCs/>
        </w:rPr>
        <w:t xml:space="preserve">correct</w:t>
      </w:r>
      <w:r>
        <w:t xml:space="preserve"> </w:t>
      </w:r>
      <w:r>
        <w:t xml:space="preserve">coordinates plugged into the differentiable simulator hits 0.97; the encoder + denoiser leaves ~0.5 of pattern-space agreement on the table. The aux head (sees</w:t>
      </w:r>
      <w:r>
        <w:t xml:space="preserve"> </w:t>
      </w:r>
      <m:oMath>
        <m:r>
          <m:rPr>
            <m:sty m:val="bi"/>
          </m:rPr>
          <m:t>g</m:t>
        </m:r>
      </m:oMath>
      <w:r>
        <w:t xml:space="preserve"> </w:t>
      </w:r>
      <w:r>
        <w:t xml:space="preserve">only) reaches a 0.007</w:t>
      </w:r>
      <w:r>
        <w:t xml:space="preserve"> </w:t>
      </w:r>
      <w:r>
        <w:rPr>
          <w:i/>
          <w:iCs/>
        </w:rPr>
        <w:t xml:space="preserve">normalised</w:t>
      </w:r>
      <w:r>
        <w:t xml:space="preserve"> </w:t>
      </w:r>
      <w:r>
        <w:t xml:space="preserve">lattice-regression loss, but that figure is a relative fit that does</w:t>
      </w:r>
      <w:r>
        <w:t xml:space="preserve"> </w:t>
      </w:r>
      <w:r>
        <w:rPr>
          <w:b/>
          <w:bCs/>
        </w:rPr>
        <w:t xml:space="preserve">not</w:t>
      </w:r>
      <w:r>
        <w:t xml:space="preserve"> </w:t>
      </w:r>
      <w:r>
        <w:t xml:space="preserve">survive conversion to absolute scale: when the aux head’s own lattice is substituted into the sampler it recovers only 1.2 % (§5.6), because its 1.1 Å length MAE shifts every Bragg reflection by ~15 %. So the global encoding carries crystal-system and relative-spacing structure but not absolute d-spacings at the &lt;0.5 Å precision the knee demands; the limiter is the pooled encoding, not merely the denoiser’s use of it.</w:t>
      </w:r>
    </w:p>
    <w:p>
      <w:pPr>
        <w:pStyle w:val="BodyText"/>
      </w:pPr>
      <w:r>
        <w:t xml:space="preserve">Perturbing the sampler-supplied lattice by Å of cell-length error, v21 at n = 200: match decays 5.6 % (Δ=0) → 2.0 % (0.5 Å) → 0.5 % (1.0 Å) → 0 % (≥1.5 Å), steeper than linear with a knee at ~0.5 Å. This matches the indexer’s per-system MAE: high-symmetry systems (hex, ortho; MAE ≤ 1.0 Å) lift; low-symmetry (mono, tri; MAE ≥ 1.5 Å) do not. §5.2’s indexer lift is</w:t>
      </w:r>
      <w:r>
        <w:t xml:space="preserve"> </w:t>
      </w:r>
      <w:r>
        <w:rPr>
          <w:i/>
          <w:iCs/>
        </w:rPr>
        <w:t xml:space="preserve">predictable</w:t>
      </w:r>
      <w:r>
        <w:t xml:space="preserve">: it works where it can.</w:t>
      </w:r>
    </w:p>
    <w:bookmarkEnd w:id="71"/>
    <w:bookmarkStart w:id="72" w:name="Xe14ee5fe759b907ea0190421ae7272432ef5613"/>
    <w:p>
      <w:pPr>
        <w:pStyle w:val="Heading2"/>
      </w:pPr>
      <w:r>
        <w:t xml:space="preserve">5.6 Why the learned lattice fails: a pooling bottleneck, not a head bottleneck</w:t>
      </w:r>
    </w:p>
    <w:p>
      <w:pPr>
        <w:pStyle w:val="FirstParagraph"/>
      </w:pPr>
      <w:r>
        <w:t xml:space="preserve">The natural reading of the 0.007 aux loss, that the lattice is already recoverable from the encoder and only the denoiser is at fault, is testable, and it is wrong.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1 000 gives a length MAE of (1.12, 1.02, 1.38) Å and an angle MAE of (13.0°, 11.9°, 17.6°) at</w:t>
      </w:r>
      <w:r>
        <w:t xml:space="preserve"> </w:t>
      </w:r>
      <w:r>
        <w:rPr>
          <w:b/>
          <w:bCs/>
        </w:rPr>
        <w:t xml:space="preserve">99.8 %</w:t>
      </w:r>
      <w:r>
        <w:t xml:space="preserve"> </w:t>
      </w:r>
      <w:r>
        <w:t xml:space="preserve">cell validity, far better conditioned than the diffusion sampler, whose predicted cells are near-0 % valid, but still ~15 % relative length error. End-to-end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The error is a property of the</w:t>
      </w:r>
      <w:r>
        <w:t xml:space="preserve"> </w:t>
      </w:r>
      <w:r>
        <w:rPr>
          <w:i/>
          <w:iCs/>
        </w:rPr>
        <w:t xml:space="preserve">pooled global encoding</w:t>
      </w:r>
      <w:r>
        <w:t xml:space="preserve">, not of the head: the</w:t>
      </w:r>
      <w:r>
        <w:t xml:space="preserve"> </w:t>
      </w:r>
      <w:r>
        <w:rPr>
          <w:rStyle w:val="VerbatimChar"/>
        </w:rPr>
        <w:t xml:space="preserve">AdaptiveAvgPool1d(1)</w:t>
      </w:r>
      <w:r>
        <w:t xml:space="preserve"> </w:t>
      </w:r>
      <w:r>
        <w:t xml:space="preserve">collapse that §3.2 already identified for coordinates discards the peak-position fidelity Bragg’s-law decoding needs to fix absolute lengths, and no head reading</w:t>
      </w:r>
      <w:r>
        <w:t xml:space="preserve"> </w:t>
      </w:r>
      <m:oMath>
        <m:r>
          <m:rPr>
            <m:sty m:val="bi"/>
          </m:rPr>
          <m:t>g</m:t>
        </m:r>
      </m:oMath>
      <w:r>
        <w:t xml:space="preserve"> </w:t>
      </w:r>
      <w:r>
        <w:t xml:space="preserve">recovers it.</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classical autoindexer succeeds exactly where the encoder fails because it reads peak</w:t>
      </w:r>
      <w:r>
        <w:t xml:space="preserve"> </w:t>
      </w:r>
      <w:r>
        <w:rPr>
          <w:i/>
          <w:iCs/>
        </w:rPr>
        <w:t xml:space="preserve">positions</w:t>
      </w:r>
      <w:r>
        <w:t xml:space="preserve"> </w:t>
      </w:r>
      <w:r>
        <w:t xml:space="preserve">directly rather than a pooled summary; this is why §5.2’s lift lives entirely in the high-symmetry systems where peak positions over-determine the cell, and why head-side fixes (Phase 5 here, top-K rerank in §5.4) cannot substitute for it. The architectural implication is concrete: the next gain must come from the encoder (explicit d-spacing/peak extraction or per-peak attention in place of global pooling), not from a better lattice head or a better denoiser.</w:t>
      </w:r>
    </w:p>
    <w:p>
      <w:r>
        <w:pict>
          <v:rect style="width:0;height:1.5pt" o:hralign="center" o:hrstd="t" o:hr="t"/>
        </w:pict>
      </w:r>
    </w:p>
    <w:bookmarkEnd w:id="72"/>
    <w:bookmarkEnd w:id="73"/>
    <w:bookmarkStart w:id="74" w:name="discussion"/>
    <w:p>
      <w:pPr>
        <w:pStyle w:val="Heading1"/>
      </w:pPr>
      <w:r>
        <w:t xml:space="preserve">6. Discussion</w:t>
      </w:r>
    </w:p>
    <w:p>
      <w:pPr>
        <w:pStyle w:val="FirstParagraph"/>
      </w:pPr>
      <w:r>
        <w:rPr>
          <w:b/>
          <w:bCs/>
        </w:rPr>
        <w:t xml:space="preserve">Encoder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relative fit: feeding the aux head’s own lattice to the sampler recovers only 1.2 % (§5.6), and stronger constrained-head supervision does not move its ~1.1 Å error. The limiter is therefore the global pooling that discards absolute peak-position fidelity, not the denoiser’s use of an otherwise-adequate signal; the disjoint oracle-vs-indexer CIs (§5.2) make the lattice’s role the paper’s statistically firmest claim. The Q-space autoindexer, which reads peak positions directly, recovers part of the 4.5 % oracle ceiling on the high-symmetry subset; top-K rerank and gradient guidance fail because they operate</w:t>
      </w:r>
      <w:r>
        <w:t xml:space="preserve"> </w:t>
      </w:r>
      <w:r>
        <w:rPr>
          <w:i/>
          <w:iCs/>
        </w:rPr>
        <w:t xml:space="preserve">after</w:t>
      </w:r>
      <w:r>
        <w:t xml:space="preserve"> </w:t>
      </w:r>
      <w:r>
        <w:t xml:space="preserve">the encoder commits to a bad lattice prior, while the indexer bypasses that decision. (The oracle ceiling is itself only 4.5 %, so even a perfect lattice leaves coordinates as a co-limiter; see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 embedding tried to break symmetry at the input and failed. A promising untried direction: break symmetry at the</w:t>
      </w:r>
      <w:r>
        <w:t xml:space="preserve"> </w:t>
      </w:r>
      <w:r>
        <w:rPr>
          <w:i/>
          <w:iCs/>
        </w:rPr>
        <w:t xml:space="preserve">output</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DGpt’s CIF-token output appears to encode space group in a way PXRDnet’s coordinate decode does not. We stress that the underlying numbers cannot yet support this: PXRDnet’s all-correct CI [0.9, 23.6] at n = 20 overlaps DGpt’s, so the ordering is unconfirmed. We raise it as a</w:t>
      </w:r>
      <w:r>
        <w:t xml:space="preserve"> </w:t>
      </w:r>
      <w:r>
        <w:rPr>
          <w:i/>
          <w:iCs/>
        </w:rPr>
        <w:t xml:space="preserve">measurement hypothesis</w:t>
      </w:r>
      <w:r>
        <w:t xml:space="preserve"> </w:t>
      </w:r>
      <w:r>
        <w:t xml:space="preserve">worth testing at adequate n, because if true it has a concrete consequence for the field: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1.6 % we are 12–19× behind much larger systems, but small models make the encoder bottleneck visible (capacity hides it) and the indexer drop-in trivial to integrate (larger models would need architecture-level surgery). The recipe (encoder + Phase 4 fixes + Phase 9 indexer drop-in) is 3.7 M parameters and runs inference in seconds.</w:t>
      </w:r>
    </w:p>
    <w:p>
      <w:r>
        <w:pict>
          <v:rect style="width:0;height:1.5pt" o:hralign="center" o:hrstd="t" o:hr="t"/>
        </w:pict>
      </w:r>
    </w:p>
    <w:bookmarkEnd w:id="74"/>
    <w:bookmarkStart w:id="75" w:name="limitations"/>
    <w:p>
      <w:pPr>
        <w:pStyle w:val="Heading1"/>
      </w:pPr>
      <w:r>
        <w:t xml:space="preserve">7. Limitations</w:t>
      </w:r>
    </w:p>
    <w:p>
      <w:pPr>
        <w:pStyle w:val="Compact"/>
        <w:numPr>
          <w:ilvl w:val="0"/>
          <w:numId w:val="1002"/>
        </w:numPr>
      </w:pPr>
      <w:r>
        <w:rPr>
          <w:b/>
          <w:bCs/>
        </w:rPr>
        <w:t xml:space="preserve">Scope.</w:t>
      </w:r>
      <w:r>
        <w:t xml:space="preserve"> </w:t>
      </w:r>
      <w:r>
        <w:t xml:space="preserve">Composition given; simulated PXRD only (no instrument response, preferred orientation, asymmetry, background); MP-20 only, with no larger cells, organics, or higher-Z.</w:t>
      </w:r>
    </w:p>
    <w:p>
      <w:pPr>
        <w:pStyle w:val="Compact"/>
        <w:numPr>
          <w:ilvl w:val="0"/>
          <w:numId w:val="1002"/>
        </w:numPr>
      </w:pPr>
      <w:r>
        <w:rPr>
          <w:b/>
          <w:bCs/>
        </w:rPr>
        <w:t xml:space="preserve">Statistics.</w:t>
      </w:r>
      <w:r>
        <w:t xml:space="preserve"> </w:t>
      </w:r>
      <w:r>
        <w:t xml:space="preserve">The Phase 4 ablations in Table 1 are single-seed. A multi-seed checkpoint sweep of the ε-vs-x₀-residual contrast (two seeds × five checkpoints, 20k–100k, true-lattice n = 1000) shows the reported 3.5×</w:t>
      </w:r>
      <w:r>
        <w:t xml:space="preserve"> </w:t>
      </w:r>
      <w:r>
        <w:rPr>
          <w:i/>
          <w:iCs/>
        </w:rPr>
        <w:t xml:space="preserve">match-rate</w:t>
      </w:r>
      <w:r>
        <w:t xml:space="preserve"> </w:t>
      </w:r>
      <w:r>
        <w:t xml:space="preserve">lift does</w:t>
      </w:r>
      <w:r>
        <w:t xml:space="preserve"> </w:t>
      </w:r>
      <w:r>
        <w:rPr>
          <w:b/>
          <w:bCs/>
        </w:rPr>
        <w:t xml:space="preserve">not</w:t>
      </w:r>
      <w:r>
        <w:t xml:space="preserve"> </w:t>
      </w:r>
      <w:r>
        <w:t xml:space="preserve">replicate: pooled match is 1.20 % (ε) vs 1.35 % (x₀-residual), and x₀ never exceeds 1.5 % at any checkpoint, including the 80 k checkpoint that matches the original v13’s 79.5 k, so the single-seed 2.51 % was a high draw, not a checkpoint-selection effect. We therefore demote the</w:t>
      </w:r>
      <w:r>
        <w:t xml:space="preserve"> </w:t>
      </w:r>
      <w:r>
        <w:rPr>
          <w:i/>
          <w:iCs/>
        </w:rPr>
        <w:t xml:space="preserve">match-rate</w:t>
      </w:r>
      <w:r>
        <w:t xml:space="preserve"> </w:t>
      </w:r>
      <w:r>
        <w:t xml:space="preserve">lift to a single-seed artifact. What does reproduce is the pattern-Pearson improvement (ε 0.359 vs x₀ 0.403, with disjoint ranges across both seeds), consistent with Table 1. The lattice-input fix remains load-bearing as a training-dynamics result (lattice loss 1.0 → 0.02), and the oracle-vs-indexer gap has disjoint CIs. The indexer-vs-learned-head comparison was rerun at three seeds and the lift confirmed significant by a paired McNemar test (p &lt; 10⁻⁴; §5.2), superseding the earlier underpowered unpaired test (p = 0.24). The oracle has since been multi-seeded: three seeds give 4.5 % [3.8, 5.3] pooled, firming the single-seed 5.6 %.</w:t>
      </w:r>
    </w:p>
    <w:p>
      <w:pPr>
        <w:pStyle w:val="Compact"/>
        <w:numPr>
          <w:ilvl w:val="0"/>
          <w:numId w:val="1002"/>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4 251-bin 2θ, DGpt 300-bin 2θ, PXRDnet 4 096-bin Q with sinc² broadening): structures match, patterns do not; we did not quantify the residual preprocessing effect on match rate, and a matched-vs-native re-scoring on a structure subset is the natural check.</w:t>
      </w:r>
    </w:p>
    <w:p>
      <w:pPr>
        <w:pStyle w:val="Compact"/>
        <w:numPr>
          <w:ilvl w:val="0"/>
          <w:numId w:val="1002"/>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 is given.</w:t>
      </w:r>
      <w:r>
        <w:t xml:space="preserve"> </w:t>
      </w:r>
      <w:r>
        <w:t xml:space="preserve">The de-Wolff fit (§3.5) receives the true Bravais code as a sampling-time input; on a real unknown the system is itself part of what indexing must determine, so the per-system rates of §3.5 are conditional on knowing the system.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precisely the perturbations that drive real-world indexing failure. The 48.8 % native-indexer match and the downstream 1.5 % should be read as upper bounds under ideal peak positions. A zero-shift/displacement robustness sweep (n = 300) confirms the concern: the indexer’s length-MAE rises from 1.24 Å on clean patterns past the v20 learned head’s 1.37 Å once displacement or zero-shift exceeds ~0.10°, so the indexer’s advantage over the learned head holds only for well-calibrated input.</w:t>
      </w:r>
    </w:p>
    <w:p>
      <w:pPr>
        <w:pStyle w:val="Compact"/>
        <w:numPr>
          <w:ilvl w:val="0"/>
          <w:numId w:val="1002"/>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2"/>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75"/>
    <w:bookmarkStart w:id="76" w:name="conclusion"/>
    <w:p>
      <w:pPr>
        <w:pStyle w:val="Heading1"/>
      </w:pPr>
      <w:r>
        <w:t xml:space="preserve">8. Conclusion</w:t>
      </w:r>
    </w:p>
    <w:p>
      <w:pPr>
        <w:pStyle w:val="FirstParagraph"/>
      </w:pPr>
      <w:r>
        <w:t xml:space="preserve">A 3.7 M-parameter conditional diffusion model with a differentiable Bragg loss recovers 1.5 % [1.2, 2.0] of MP-20 test structures with a classical Q-space autoindexer supplying the lattice, a significant improvement over the learned lattice head, which recovers essentially nothing (three-seed paired McNemar p &lt; 10⁻⁴), and 4.5 % [3.8, 5.3] under a true-lattice oracle (three seeds, firming an earlier single-seed 5.6 %). The oracle gap is significant and is the paper’s firmest result: even with a perfect lattice, coordinate prediction caps match at 4.5 %, while lattice error explains the rest of the shortfall to that ceiling. Reproduced on the same</w:t>
      </w:r>
      <w:r>
        <w:t xml:space="preserve"> </w:t>
      </w:r>
      <w:r>
        <w:rPr>
          <w:rStyle w:val="VerbatimChar"/>
        </w:rPr>
        <w:t xml:space="preserve">StructureMatcher</w:t>
      </w:r>
      <w:r>
        <w:t xml:space="preserve"> </w:t>
      </w:r>
      <w:r>
        <w:t xml:space="preserve">harness, deCIFer reaches 73.8 % / 69.5 %, DGpt 18.9 % / 15.9 %, and PXRDnet 30.0 % / 5.0 % (match / all-correct); PXRD-Diff is 12–46× behind. The apparent divergence in their space-group recovery is a measurement hypothesis the n = 20 PXRDnet sample cannot yet confirm, but the shared harness now makes it testable. The lattice-input fix and the classical-autoindexer drop-in are load-bearing; the x₀-residual switch improves pattern-Pearson but its single-seed match-rate lift did not replicate (§7); the remaining interventions are documented as failures. Code, checkpoints, all per-phase JSONs, both indexer paths, and the differentiable Bragg module are released.</w:t>
      </w:r>
    </w:p>
    <w:p>
      <w:r>
        <w:pict>
          <v:rect style="width:0;height:1.5pt" o:hralign="center" o:hrstd="t" o:hr="t"/>
        </w:pict>
      </w:r>
    </w:p>
    <w:bookmarkEnd w:id="76"/>
    <w:bookmarkStart w:id="77" w:name="acknowledgments"/>
    <w:p>
      <w:pPr>
        <w:pStyle w:val="Heading1"/>
      </w:pPr>
      <w:r>
        <w:t xml:space="preserve">Acknowledgments</w:t>
      </w:r>
    </w:p>
    <w:p>
      <w:pPr>
        <w:pStyle w:val="FirstParagraph"/>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and PXRDnet (</w:t>
      </w:r>
      <w:r>
        <w:rPr>
          <w:rStyle w:val="VerbatimChar"/>
        </w:rPr>
        <w:t xml:space="preserve">gabeguo/cdvae_xrd</w:t>
      </w:r>
      <w:r>
        <w:t xml:space="preserve">) for releasing checkpoints and code that made the head-to-head reproduction in §5.3 possible. Compute was rented from Vast.ai; total spend was approximately USD 25 across roughly 30 GPU-hours on RTX 5090 instances (Phase 4 ablation, Phase 9 retrain + indexer sweeps, DiffractGPT n = 1 000 inference, and PXRDnet n = 20 inference).</w:t>
      </w:r>
    </w:p>
    <w:bookmarkEnd w:id="77"/>
    <w:bookmarkStart w:id="78" w:name="author-contributions-credit"/>
    <w:p>
      <w:pPr>
        <w:pStyle w:val="Heading1"/>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78"/>
    <w:bookmarkStart w:id="79" w:name="conflict-of-interest"/>
    <w:p>
      <w:pPr>
        <w:pStyle w:val="Heading1"/>
      </w:pPr>
      <w:r>
        <w:t xml:space="preserve">Conflict of Interest</w:t>
      </w:r>
    </w:p>
    <w:p>
      <w:pPr>
        <w:pStyle w:val="FirstParagraph"/>
      </w:pPr>
      <w:r>
        <w:t xml:space="preserve">The author declares no competing interests.</w:t>
      </w:r>
    </w:p>
    <w:bookmarkEnd w:id="79"/>
    <w:bookmarkStart w:id="80" w:name="funding"/>
    <w:p>
      <w:pPr>
        <w:pStyle w:val="Heading1"/>
      </w:pPr>
      <w:r>
        <w:t xml:space="preserve">Funding</w:t>
      </w:r>
    </w:p>
    <w:p>
      <w:pPr>
        <w:pStyle w:val="FirstParagraph"/>
      </w:pPr>
      <w:r>
        <w:t xml:space="preserve">This research received no external funding.</w:t>
      </w:r>
    </w:p>
    <w:bookmarkEnd w:id="80"/>
    <w:bookmarkStart w:id="81" w:name="data-and-code-availability"/>
    <w:p>
      <w:pPr>
        <w:pStyle w:val="Heading1"/>
      </w:pPr>
      <w:r>
        <w:t xml:space="preserve">Data and Code Availability</w:t>
      </w:r>
    </w:p>
    <w:p>
      <w:pPr>
        <w:pStyle w:val="FirstParagraph"/>
      </w:pPr>
      <w:r>
        <w:t xml:space="preserve">Source code, trained checkpoints, and all per-phase training/evaluation logs are available at</w:t>
      </w:r>
      <w:r>
        <w:t xml:space="preserve"> </w:t>
      </w:r>
      <w:r>
        <w:rPr>
          <w:rStyle w:val="VerbatimChar"/>
        </w:rPr>
        <w:t xml:space="preserve">https://github.com/fronkt/pxrd-diff</w:t>
      </w:r>
      <w:r>
        <w:t xml:space="preserve"> </w:t>
      </w:r>
      <w:r>
        <w:t xml:space="preserve">and archived at Zenodo (DOI: 10.5281/zenodo.20738994). The MP-20 dataset is publicly available via the CDVAE benchmark. All experiments reproduce from a single</w:t>
      </w:r>
      <w:r>
        <w:t xml:space="preserve"> </w:t>
      </w:r>
      <w:r>
        <w:rPr>
          <w:rStyle w:val="VerbatimChar"/>
        </w:rPr>
        <w:t xml:space="preserve">requirements.txt</w:t>
      </w:r>
      <w:r>
        <w:t xml:space="preserve"> </w:t>
      </w:r>
      <w:r>
        <w:t xml:space="preserve">and the</w:t>
      </w:r>
      <w:r>
        <w:t xml:space="preserve"> </w:t>
      </w:r>
      <w:r>
        <w:rPr>
          <w:rStyle w:val="VerbatimChar"/>
        </w:rPr>
        <w:t xml:space="preserve">scripts/</w:t>
      </w:r>
      <w:r>
        <w:t xml:space="preserve"> </w:t>
      </w:r>
      <w:r>
        <w:t xml:space="preserve">pipeline; per-structure evaluation flags are released to support paired re-analysis.</w:t>
      </w:r>
    </w:p>
    <w:bookmarkEnd w:id="81"/>
    <w:bookmarkStart w:id="82" w:name="ethics-declaration"/>
    <w:p>
      <w:pPr>
        <w:pStyle w:val="Heading1"/>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82"/>
    <w:bookmarkStart w:id="83" w:name="references"/>
    <w:p>
      <w:pPr>
        <w:pStyle w:val="Heading1"/>
      </w:pPr>
      <w:r>
        <w:t xml:space="preserve">References</w:t>
      </w:r>
    </w:p>
    <w:p>
      <w:pPr>
        <w:pStyle w:val="BlockText"/>
      </w:pPr>
      <w:r>
        <w:rPr>
          <w:b/>
          <w:bCs/>
        </w:rPr>
        <w:t xml:space="preserve">Author note on reproduced numbers.</w:t>
      </w:r>
      <w:r>
        <w:t xml:space="preserve"> </w:t>
      </w:r>
      <w:r>
        <w:t xml:space="preserve">The reproduced PXRDnet and DiffractGPT numbers in §5.3 are computed by the author on the released checkpoints through our shared</w:t>
      </w:r>
      <w:r>
        <w:t xml:space="preserve"> </w:t>
      </w:r>
      <w:r>
        <w:rPr>
          <w:rStyle w:val="VerbatimChar"/>
        </w:rPr>
        <w:t xml:space="preserve">StructureMatcher</w:t>
      </w:r>
      <w:r>
        <w:t xml:space="preserve"> </w:t>
      </w:r>
      <w:r>
        <w:t xml:space="preserve">harness, not transcribed from the cited papers. The central claims depend only on these reproduced numbers under one common evaluation protocol, with confidence intervals stated throughout.</w:t>
      </w:r>
    </w:p>
    <w:p>
      <w:r>
        <w:pict>
          <v:rect style="width:0;height:1.5pt" o:hralign="center" o:hrstd="t" o:hr="t"/>
        </w:pict>
      </w:r>
    </w:p>
    <w:bookmarkEnd w:id="83"/>
    <w:bookmarkStart w:id="88" w:name="appendix"/>
    <w:p>
      <w:pPr>
        <w:pStyle w:val="Heading1"/>
      </w:pPr>
      <w:r>
        <w:t xml:space="preserve">Appendix</w:t>
      </w:r>
    </w:p>
    <w:bookmarkStart w:id="84" w:name="a.-full-ablation-history"/>
    <w:p>
      <w:pPr>
        <w:pStyle w:val="Heading2"/>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§5.2</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§5.2</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(d=384, L=5), ε-prediction</w:t>
            </w:r>
          </w:p>
        </w:tc>
        <w:tc>
          <w:tcPr/>
          <w:p>
            <w:pPr>
              <w:pStyle w:val="Compact"/>
            </w:pPr>
            <w:r>
              <w:t xml:space="preserve">Killed at 18 k; same plateau</w:t>
            </w:r>
          </w:p>
        </w:tc>
        <w:tc>
          <w:tcPr/>
          <w:p>
            <w:pPr>
              <w:pStyle w:val="Compact"/>
            </w:pPr>
            <w:r>
              <w:t xml:space="preserve">§5.2</w:t>
            </w:r>
          </w:p>
        </w:tc>
      </w:tr>
      <w:tr>
        <w:tc>
          <w:tcPr/>
          <w:p>
            <w:pPr>
              <w:pStyle w:val="Compact"/>
            </w:pPr>
            <w:r>
              <w:t xml:space="preserve">v13</w:t>
            </w:r>
          </w:p>
        </w:tc>
        <w:tc>
          <w:tcPr/>
          <w:p>
            <w:pPr>
              <w:pStyle w:val="Compact"/>
            </w:pPr>
            <w:r>
              <w:t xml:space="preserve">3.7 M</w:t>
            </w:r>
          </w:p>
        </w:tc>
        <w:tc>
          <w:tcPr/>
          <w:p>
            <w:pPr>
              <w:pStyle w:val="Compact"/>
            </w:pPr>
            <w:r>
              <w:t xml:space="preserve">x₀-residual + lat-fix + Debye λ=1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§5.1</w:t>
            </w:r>
          </w:p>
        </w:tc>
      </w:tr>
      <w:tr>
        <w:tc>
          <w:tcPr/>
          <w:p>
            <w:pPr>
              <w:pStyle w:val="Compact"/>
            </w:pPr>
            <w:r>
              <w:rPr>
                <w:b/>
                <w:bCs/>
              </w:rPr>
              <w:t xml:space="preserve">v21</w:t>
            </w:r>
          </w:p>
        </w:tc>
        <w:tc>
          <w:tcPr/>
          <w:p>
            <w:pPr>
              <w:pStyle w:val="Compact"/>
            </w:pPr>
            <w:r>
              <w:rPr>
                <w:b/>
                <w:bCs/>
              </w:rPr>
              <w:t xml:space="preserve">3.7 M</w:t>
            </w:r>
          </w:p>
        </w:tc>
        <w:tc>
          <w:tcPr/>
          <w:p>
            <w:pPr>
              <w:pStyle w:val="Compact"/>
            </w:pPr>
            <w:r>
              <w:t xml:space="preserve">Phase 9 final: v13 architecture + Phase 9 retrain + indexer drop-in support</w:t>
            </w:r>
          </w:p>
        </w:tc>
        <w:tc>
          <w:tcPr/>
          <w:p>
            <w:pPr>
              <w:pStyle w:val="Compact"/>
            </w:pPr>
            <w:r>
              <w:rPr>
                <w:b/>
                <w:bCs/>
              </w:rPr>
              <w:t xml:space="preserve">1.6 % match (no-true-lat, indexer); 4.5 % (true-lat oracle, 3-seed)</w:t>
            </w:r>
          </w:p>
        </w:tc>
        <w:tc>
          <w:tcPr/>
          <w:p>
            <w:pPr>
              <w:pStyle w:val="Compact"/>
            </w:pPr>
            <w:r>
              <w:t xml:space="preserve">Tables 2, 3</w:t>
            </w:r>
          </w:p>
        </w:tc>
      </w:tr>
    </w:tbl>
    <w:bookmarkEnd w:id="84"/>
    <w:bookmarkStart w:id="85" w:name="b.-hyperparameter-sensitivity"/>
    <w:p>
      <w:pPr>
        <w:pStyle w:val="Heading2"/>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85"/>
    <w:bookmarkStart w:id="86" w:name="X984f5037fa8fa240d4e7791708ee54c226ae797"/>
    <w:p>
      <w:pPr>
        <w:pStyle w:val="Heading2"/>
      </w:pPr>
      <w:r>
        <w:t xml:space="preserve">C. Differentiable simulator validation details</w:t>
      </w:r>
    </w:p>
    <w:p>
      <w:pPr>
        <w:pStyle w:val="FirstParagraph"/>
      </w:pPr>
      <w:r>
        <w:t xml:space="preserve">Pearson correlations between our DiffPXRD module and</w:t>
      </w:r>
      <w:r>
        <w:t xml:space="preserve"> </w:t>
      </w:r>
      <w:r>
        <w:rPr>
          <w:rStyle w:val="VerbatimChar"/>
        </w:rPr>
        <w:t xml:space="preserve">pymatgen.XRDCalculator</w:t>
      </w:r>
      <w:r>
        <w:t xml:space="preserve"> </w:t>
      </w:r>
      <w:r>
        <w:t xml:space="preserve">over a random 50-structure MP-20 test subset:</w:t>
      </w:r>
    </w:p>
    <w:p>
      <w:pPr>
        <w:pStyle w:val="Compact"/>
        <w:numPr>
          <w:ilvl w:val="0"/>
          <w:numId w:val="1003"/>
        </w:numPr>
      </w:pPr>
      <w:r>
        <w:t xml:space="preserve">Mean: 0.962</w:t>
      </w:r>
    </w:p>
    <w:p>
      <w:pPr>
        <w:pStyle w:val="Compact"/>
        <w:numPr>
          <w:ilvl w:val="0"/>
          <w:numId w:val="1003"/>
        </w:numPr>
      </w:pPr>
      <w:r>
        <w:t xml:space="preserve">Std: 0.027</w:t>
      </w:r>
    </w:p>
    <w:p>
      <w:pPr>
        <w:pStyle w:val="Compact"/>
        <w:numPr>
          <w:ilvl w:val="0"/>
          <w:numId w:val="1003"/>
        </w:numPr>
      </w:pPr>
      <w:r>
        <w:t xml:space="preserve">Min: 0.896 (mp-1213821, layered structure with strong texture in the reference)</w:t>
      </w:r>
    </w:p>
    <w:p>
      <w:pPr>
        <w:pStyle w:val="Compact"/>
        <w:numPr>
          <w:ilvl w:val="0"/>
          <w:numId w:val="1003"/>
        </w:numPr>
      </w:pPr>
      <w:r>
        <w:t xml:space="preserve">Max: 0.998 (mp-149, Si)</w:t>
      </w:r>
    </w:p>
    <w:p>
      <w:pPr>
        <w:pStyle w:val="Compact"/>
        <w:numPr>
          <w:ilvl w:val="0"/>
          <w:numId w:val="1003"/>
        </w:numPr>
      </w:pPr>
      <w:r>
        <w:t xml:space="preserve">Fraction &gt; 0.95: 33/50</w:t>
      </w:r>
    </w:p>
    <w:p>
      <w:pPr>
        <w:pStyle w:val="Compact"/>
        <w:numPr>
          <w:ilvl w:val="0"/>
          <w:numId w:val="1003"/>
        </w:numPr>
      </w:pPr>
      <w:r>
        <w:t xml:space="preserve">Fraction &gt; 0.9: 49/50</w:t>
      </w:r>
    </w:p>
    <w:p>
      <w:pPr>
        <w:pStyle w:val="Compact"/>
        <w:numPr>
          <w:ilvl w:val="0"/>
          <w:numId w:val="1003"/>
        </w:numPr>
      </w:pPr>
      <w:r>
        <w:t xml:space="preserve">Fraction &gt; 0.7: 50/50</w:t>
      </w:r>
    </w:p>
    <w:p>
      <w:pPr>
        <w:pStyle w:val="FirstParagraph"/>
      </w:pPr>
      <w:r>
        <w:t xml:space="preserve">Gradient sanity: for all 50 structures we confirmed</w:t>
      </w:r>
      <w:r>
        <w:t xml:space="preserve"> </w:t>
      </w:r>
      <w:r>
        <w:rPr>
          <w:rStyle w:val="VerbatimChar"/>
        </w:rPr>
        <w:t xml:space="preserve">∂L/∂F</w:t>
      </w:r>
      <w:r>
        <w:t xml:space="preserve"> </w:t>
      </w:r>
      <w:r>
        <w:t xml:space="preserve">and</w:t>
      </w:r>
      <w:r>
        <w:t xml:space="preserve"> </w:t>
      </w:r>
      <w:r>
        <w:rPr>
          <w:rStyle w:val="VerbatimChar"/>
        </w:rPr>
        <w:t xml:space="preserve">∂L/∂L</w:t>
      </w:r>
      <w:r>
        <w:t xml:space="preserve"> </w:t>
      </w:r>
      <w:r>
        <w:t xml:space="preserve">are non-zero and finite via</w:t>
      </w:r>
      <w:r>
        <w:t xml:space="preserve"> </w:t>
      </w:r>
      <w:r>
        <w:rPr>
          <w:rStyle w:val="VerbatimChar"/>
        </w:rPr>
        <w:t xml:space="preserve">torch.autograd.gradcheck</w:t>
      </w:r>
      <w:r>
        <w:t xml:space="preserve"> </w:t>
      </w:r>
      <w:r>
        <w:t xml:space="preserve">on a 4-atom subset.</w:t>
      </w:r>
    </w:p>
    <w:bookmarkEnd w:id="86"/>
    <w:bookmarkStart w:id="87" w:name="d.-reproducibility-checklist"/>
    <w:p>
      <w:pPr>
        <w:pStyle w:val="Heading2"/>
      </w:pPr>
      <w:r>
        <w:t xml:space="preserve">D. Reproducibility checklist</w:t>
      </w:r>
    </w:p>
    <w:p>
      <w:pPr>
        <w:pStyle w:val="Compact"/>
        <w:numPr>
          <w:ilvl w:val="0"/>
          <w:numId w:val="1004"/>
        </w:numPr>
      </w:pPr>
      <w:r>
        <w:t xml:space="preserve">Hyperparameters specified (§4.3)</w:t>
      </w:r>
    </w:p>
    <w:p>
      <w:pPr>
        <w:pStyle w:val="Compact"/>
        <w:numPr>
          <w:ilvl w:val="0"/>
          <w:numId w:val="1005"/>
        </w:numPr>
      </w:pPr>
      <w:r>
        <w:t xml:space="preserve">Datasets and splits specified (§4.1; canonical CDVAE MP-20)</w:t>
      </w:r>
    </w:p>
    <w:p>
      <w:pPr>
        <w:pStyle w:val="Compact"/>
        <w:numPr>
          <w:ilvl w:val="0"/>
          <w:numId w:val="1006"/>
        </w:numPr>
      </w:pPr>
      <w:r>
        <w:t xml:space="preserve">Evaluation protocol specified (§4.2)</w:t>
      </w:r>
    </w:p>
    <w:p>
      <w:pPr>
        <w:pStyle w:val="Compact"/>
        <w:numPr>
          <w:ilvl w:val="0"/>
          <w:numId w:val="1007"/>
        </w:numPr>
      </w:pPr>
      <w:r>
        <w:t xml:space="preserve">Random seed: single seed (42) per run; pilot variance ≈ 0.5 % match-rate absolute</w:t>
      </w:r>
    </w:p>
    <w:p>
      <w:pPr>
        <w:pStyle w:val="Compact"/>
        <w:numPr>
          <w:ilvl w:val="0"/>
          <w:numId w:val="1008"/>
        </w:numPr>
      </w:pPr>
      <w:r>
        <w:t xml:space="preserve">Compute environment: PyTorch 2.x, CUDA 12.x, single RTX 5090; Python 3.12</w:t>
      </w:r>
    </w:p>
    <w:p>
      <w:pPr>
        <w:pStyle w:val="Compact"/>
        <w:numPr>
          <w:ilvl w:val="0"/>
          <w:numId w:val="1009"/>
        </w:numPr>
      </w:pPr>
      <w:r>
        <w:t xml:space="preserve">Code, checkpoints, logs, and full training scripts released</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10">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11">
    <w:p>
      <w:pPr>
        <w:pStyle w:val="FootnoteText"/>
      </w:pPr>
      <w:r>
        <w:rPr>
          <w:rStyle w:val="FootnoteReference"/>
        </w:rPr>
        <w:footnoteRef/>
      </w:r>
      <w:r>
        <w:t xml:space="preserve"> </w:t>
      </w: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footnote>
  <w:footnote w:id="13">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14">
    <w:p>
      <w:pPr>
        <w:pStyle w:val="FootnoteText"/>
      </w:pPr>
      <w:r>
        <w:rPr>
          <w:rStyle w:val="FootnoteReference"/>
        </w:rPr>
        <w:footnoteRef/>
      </w:r>
      <w:r>
        <w:t xml:space="preserve"> </w:t>
      </w:r>
      <w:r>
        <w:t xml:space="preserve">Riesel, E. A., Mackey, T., Nilforoshan, H., Xu, M., Badding, C. K., Altman, A. B., Leskovec, J., &amp; Freedman, D. E. (2024). Crystal Structure Determination from Powder Diffraction Patterns with Generative Machine Learning.</w:t>
      </w:r>
      <w:r>
        <w:t xml:space="preserve"> </w:t>
      </w:r>
      <w:r>
        <w:rPr>
          <w:i/>
          <w:iCs/>
        </w:rPr>
        <w:t xml:space="preserve">Journal of the American Chemical Society</w:t>
      </w:r>
      <w:r>
        <w:t xml:space="preserve">, 146(44),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footnote>
  <w:footnote w:id="15">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16">
    <w:p>
      <w:pPr>
        <w:pStyle w:val="FootnoteText"/>
      </w:pPr>
      <w:r>
        <w:rPr>
          <w:rStyle w:val="FootnoteReference"/>
        </w:rPr>
        <w:footnoteRef/>
      </w:r>
      <w:r>
        <w:t xml:space="preserve"> </w:t>
      </w: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footnote>
  <w:footnote w:id="18">
    <w:p>
      <w:pPr>
        <w:pStyle w:val="FootnoteText"/>
      </w:pPr>
      <w:r>
        <w:rPr>
          <w:rStyle w:val="FootnoteReference"/>
        </w:rPr>
        <w:footnoteRef/>
      </w:r>
      <w:r>
        <w:t xml:space="preserve"> </w:t>
      </w: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footnote>
  <w:footnote w:id="19">
    <w:p>
      <w:pPr>
        <w:pStyle w:val="FootnoteText"/>
      </w:pPr>
      <w:r>
        <w:rPr>
          <w:rStyle w:val="FootnoteReference"/>
        </w:rPr>
        <w:footnoteRef/>
      </w:r>
      <w:r>
        <w:t xml:space="preserve"> </w:t>
      </w:r>
      <w:r>
        <w:t xml:space="preserve">Jiao, R., et al. (2023). Crystal structure prediction by joint equivariant diffusion.</w:t>
      </w:r>
      <w:r>
        <w:t xml:space="preserve"> </w:t>
      </w:r>
      <w:r>
        <w:rPr>
          <w:i/>
          <w:iCs/>
        </w:rPr>
        <w:t xml:space="preserve">Advances in Neural Information Processing Systems</w:t>
      </w:r>
      <w:r>
        <w:t xml:space="preserve"> </w:t>
      </w:r>
      <w:r>
        <w:t xml:space="preserve">36.</w:t>
      </w:r>
    </w:p>
  </w:footnote>
  <w:footnote w:id="20">
    <w:p>
      <w:pPr>
        <w:pStyle w:val="FootnoteText"/>
      </w:pPr>
      <w:r>
        <w:rPr>
          <w:rStyle w:val="FootnoteReference"/>
        </w:rPr>
        <w:footnoteRef/>
      </w:r>
      <w:r>
        <w:t xml:space="preserve"> </w:t>
      </w:r>
      <w:r>
        <w:t xml:space="preserve">Zeni, C., et al. (2024). MatterGen: A generative model for inorganic materials design.</w:t>
      </w:r>
      <w:r>
        <w:t xml:space="preserve"> </w:t>
      </w:r>
      <w:r>
        <w:rPr>
          <w:i/>
          <w:iCs/>
        </w:rPr>
        <w:t xml:space="preserve">arXiv:2312.03687</w:t>
      </w:r>
      <w:r>
        <w:t xml:space="preserve">.</w:t>
      </w:r>
    </w:p>
  </w:footnote>
  <w:footnote w:id="21">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22">
    <w:p>
      <w:pPr>
        <w:pStyle w:val="FootnoteText"/>
      </w:pPr>
      <w:r>
        <w:rPr>
          <w:rStyle w:val="FootnoteReference"/>
        </w:rPr>
        <w:footnoteRef/>
      </w:r>
      <w:r>
        <w:t xml:space="preserve"> </w:t>
      </w:r>
      <w:r>
        <w:t xml:space="preserve">Riesel, E. A., Mackey, T., Nilforoshan, H., Xu, M., Badding, C. K., Altman, A. B., Leskovec, J., &amp; Freedman, D. E. (2024). Crystal Structure Determination from Powder Diffraction Patterns with Generative Machine Learning.</w:t>
      </w:r>
      <w:r>
        <w:t xml:space="preserve"> </w:t>
      </w:r>
      <w:r>
        <w:rPr>
          <w:i/>
          <w:iCs/>
        </w:rPr>
        <w:t xml:space="preserve">Journal of the American Chemical Society</w:t>
      </w:r>
      <w:r>
        <w:t xml:space="preserve">, 146(44),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footnote>
  <w:footnote w:id="23">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24">
    <w:p>
      <w:pPr>
        <w:pStyle w:val="FootnoteText"/>
      </w:pPr>
      <w:r>
        <w:rPr>
          <w:rStyle w:val="FootnoteReference"/>
        </w:rPr>
        <w:footnoteRef/>
      </w:r>
      <w:r>
        <w:t xml:space="preserve"> </w:t>
      </w: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footnote>
  <w:footnote w:id="25">
    <w:p>
      <w:pPr>
        <w:pStyle w:val="FootnoteText"/>
      </w:pPr>
      <w:r>
        <w:rPr>
          <w:rStyle w:val="FootnoteReference"/>
        </w:rPr>
        <w:footnoteRef/>
      </w:r>
      <w:r>
        <w:t xml:space="preserve"> </w:t>
      </w:r>
      <w:r>
        <w:t xml:space="preserve">Boultif, A., &amp; Louër, D. (2004). Powder pattern indexing with the dichotomy method.</w:t>
      </w:r>
      <w:r>
        <w:t xml:space="preserve"> </w:t>
      </w:r>
      <w:r>
        <w:rPr>
          <w:i/>
          <w:iCs/>
        </w:rPr>
        <w:t xml:space="preserve">Journal of Applied Crystallography</w:t>
      </w:r>
      <w:r>
        <w:t xml:space="preserve">, 37(5), 724–731. DOI: 10.1107/S0021889804014876.</w:t>
      </w:r>
    </w:p>
  </w:footnote>
  <w:footnote w:id="26">
    <w:p>
      <w:pPr>
        <w:pStyle w:val="FootnoteText"/>
      </w:pPr>
      <w:r>
        <w:rPr>
          <w:rStyle w:val="FootnoteReference"/>
        </w:rPr>
        <w:footnoteRef/>
      </w:r>
      <w:r>
        <w:t xml:space="preserve"> </w:t>
      </w:r>
      <w:r>
        <w:t xml:space="preserve">Guo, J., &amp; Schwalbe-Koda, D. (2026). Generative Inversion of Spectroscopic Data for Amorphous Structure Elucidation.</w:t>
      </w:r>
      <w:r>
        <w:t xml:space="preserve"> </w:t>
      </w:r>
      <w:r>
        <w:rPr>
          <w:i/>
          <w:iCs/>
        </w:rPr>
        <w:t xml:space="preserve">arXiv:2603.23210</w:t>
      </w:r>
      <w:r>
        <w:t xml:space="preserve">.</w:t>
      </w:r>
    </w:p>
  </w:footnote>
  <w:footnote w:id="27">
    <w:p>
      <w:pPr>
        <w:pStyle w:val="FootnoteText"/>
      </w:pPr>
      <w:r>
        <w:rPr>
          <w:rStyle w:val="FootnoteReference"/>
        </w:rPr>
        <w:footnoteRef/>
      </w:r>
      <w:r>
        <w:t xml:space="preserve"> </w:t>
      </w: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footnote>
  <w:footnote w:id="28">
    <w:p>
      <w:pPr>
        <w:pStyle w:val="FootnoteText"/>
      </w:pPr>
      <w:r>
        <w:rPr>
          <w:rStyle w:val="FootnoteReference"/>
        </w:rPr>
        <w:footnoteRef/>
      </w:r>
      <w:r>
        <w:t xml:space="preserve"> </w:t>
      </w:r>
      <w:r>
        <w:t xml:space="preserve">Schütt, K. T., et al. (2017). SchNet: A continuous-filter convolutional neural network for modeling quantum interactions.</w:t>
      </w:r>
      <w:r>
        <w:t xml:space="preserve"> </w:t>
      </w:r>
      <w:r>
        <w:rPr>
          <w:i/>
          <w:iCs/>
        </w:rPr>
        <w:t xml:space="preserve">Advances in Neural Information Processing Systems</w:t>
      </w:r>
      <w:r>
        <w:t xml:space="preserve"> </w:t>
      </w:r>
      <w:r>
        <w:t xml:space="preserve">30.</w:t>
      </w:r>
    </w:p>
  </w:footnote>
  <w:footnote w:id="29">
    <w:p>
      <w:pPr>
        <w:pStyle w:val="FootnoteText"/>
      </w:pPr>
      <w:r>
        <w:rPr>
          <w:rStyle w:val="FootnoteReference"/>
        </w:rPr>
        <w:footnoteRef/>
      </w:r>
      <w:r>
        <w:t xml:space="preserve"> </w:t>
      </w: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w:t>
      </w:r>
      <w:r>
        <w:t xml:space="preserve">35.</w:t>
      </w:r>
    </w:p>
  </w:footnote>
  <w:footnote w:id="38">
    <w:p>
      <w:pPr>
        <w:pStyle w:val="FootnoteText"/>
      </w:pPr>
      <w:r>
        <w:rPr>
          <w:rStyle w:val="FootnoteReference"/>
        </w:rPr>
        <w:footnoteRef/>
      </w:r>
      <w:r>
        <w:t xml:space="preserve"> </w:t>
      </w:r>
      <w:r>
        <w:t xml:space="preserve">Nichol, A., &amp; Dhariwal, P. (2021). Improved denoising diffusion probabilistic models.</w:t>
      </w:r>
      <w:r>
        <w:t xml:space="preserve"> </w:t>
      </w:r>
      <w:r>
        <w:rPr>
          <w:i/>
          <w:iCs/>
        </w:rPr>
        <w:t xml:space="preserve">International Conference on Machine Learning</w:t>
      </w:r>
      <w:r>
        <w:t xml:space="preserve">.</w:t>
      </w:r>
    </w:p>
  </w:footnote>
  <w:footnote w:id="40">
    <w:p>
      <w:pPr>
        <w:pStyle w:val="FootnoteText"/>
      </w:pPr>
      <w:r>
        <w:rPr>
          <w:rStyle w:val="FootnoteReference"/>
        </w:rPr>
        <w:footnoteRef/>
      </w:r>
      <w:r>
        <w:t xml:space="preserve"> </w:t>
      </w:r>
      <w:r>
        <w:t xml:space="preserve">Toby, B. H., &amp; Von Dreele, R. B. (2013). GSAS-II: the genesis of a modern open-source all purpose crystallography software package.</w:t>
      </w:r>
      <w:r>
        <w:t xml:space="preserve"> </w:t>
      </w:r>
      <w:r>
        <w:rPr>
          <w:i/>
          <w:iCs/>
        </w:rPr>
        <w:t xml:space="preserve">Journal of Applied Crystallography</w:t>
      </w:r>
      <w:r>
        <w:t xml:space="preserve">, 46(2), 544–549. Code:</w:t>
      </w:r>
      <w:r>
        <w:t xml:space="preserve"> </w:t>
      </w:r>
      <w:r>
        <w:rPr>
          <w:rStyle w:val="VerbatimChar"/>
        </w:rPr>
        <w:t xml:space="preserve">github.com/AdvancedPhotonSource/GSAS-II</w:t>
      </w:r>
      <w:r>
        <w:t xml:space="preserve">.</w:t>
      </w:r>
    </w:p>
  </w:footnote>
  <w:footnote w:id="42">
    <w:p>
      <w:pPr>
        <w:pStyle w:val="FootnoteText"/>
      </w:pPr>
      <w:r>
        <w:rPr>
          <w:rStyle w:val="FootnoteReference"/>
        </w:rPr>
        <w:footnoteRef/>
      </w:r>
      <w:r>
        <w:t xml:space="preserve"> </w:t>
      </w:r>
      <w:r>
        <w:t xml:space="preserve">Song, J., Meng, C., &amp; Ermon, S. (2021). Denoising diffusion implicit models.</w:t>
      </w:r>
      <w:r>
        <w:t xml:space="preserve"> </w:t>
      </w:r>
      <w:r>
        <w:rPr>
          <w:i/>
          <w:iCs/>
        </w:rPr>
        <w:t xml:space="preserve">International Conference on Learning Representations</w:t>
      </w:r>
      <w:r>
        <w:t xml:space="preserve">.</w:t>
      </w:r>
    </w:p>
  </w:footnote>
  <w:footnote w:id="45">
    <w:p>
      <w:pPr>
        <w:pStyle w:val="FootnoteText"/>
      </w:pPr>
      <w:r>
        <w:rPr>
          <w:rStyle w:val="FootnoteReference"/>
        </w:rPr>
        <w:footnoteRef/>
      </w:r>
      <w:r>
        <w:t xml:space="preserve"> </w:t>
      </w: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footnote>
  <w:footnote w:id="57">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58">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59">
    <w:p>
      <w:pPr>
        <w:pStyle w:val="FootnoteText"/>
      </w:pPr>
      <w:r>
        <w:rPr>
          <w:rStyle w:val="FootnoteReference"/>
        </w:rPr>
        <w:footnoteRef/>
      </w:r>
      <w:r>
        <w:t xml:space="preserve"> </w:t>
      </w: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footnote>
  <w:footnote w:id="65">
    <w:p>
      <w:pPr>
        <w:pStyle w:val="FootnoteText"/>
      </w:pPr>
      <w:r>
        <w:rPr>
          <w:rStyle w:val="FootnoteReference"/>
        </w:rPr>
        <w:footnoteRef/>
      </w:r>
      <w:r>
        <w:t xml:space="preserve"> </w:t>
      </w: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66" Target="media/rId66.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PXRD-Diff: Conditional Diffusion for Powder-Diffraction Inversion: an Encoder-Bottleneck Diagnosis and Shared-Harness Reproduction</dc:title>
  <dc:creator/>
  <cp:keywords/>
  <dcterms:created xsi:type="dcterms:W3CDTF">2026-06-18T01:06:33Z</dcterms:created>
  <dcterms:modified xsi:type="dcterms:W3CDTF">2026-06-18T01:06:33Z</dcterms:modified>
</cp:coreProperties>
</file>

<file path=docProps/custom.xml><?xml version="1.0" encoding="utf-8"?>
<Properties xmlns="http://schemas.openxmlformats.org/officeDocument/2006/custom-properties" xmlns:vt="http://schemas.openxmlformats.org/officeDocument/2006/docPropsVTypes"/>
</file>