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lattice-recovery bottleneck in diffusion-based powder-diffraction structure inversion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deliberately small conditional diffusion model for powder-diffraction structure inversion is used as a diagnostic instrument. A controlled ablation shows that restoring absolute peak positions to the lattice head, by position-aware pooling or by explicit d-spacings, does not reduce its ~1.3 Å cell error; the evidence points to the regression formulation of lattice recovery, not to the pooling stage. A classical autoindexer, supplied with the true crystal system, serves as a control; three external generative models are re-scored on one shared evaluation harness; and a code audit prompted by review corrects three implementation errors. Retraining with the corrected loss lifts the learned head from 0 to 1.9 %, level with the control, while the true-lattice oracle stays at 5.5 %, so the gap to the oracle is the effect that replicates.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three-dimensional crystal structure remains an open problem. Recent generative approaches report results under mutually incompatible protocols, and their failure modes are seldom catalogued. This paper is a diagnostic study. PXRD-Diff, a 3.7 M-parameter conditional diffusion model trained on the CDVAE MP-20 split, is kept deliberately small so that its failure modes are visible; it is not proposed as a competitive inversion tool. DiffractGPT, PXRDnet and deCIFer are re-scored through the same pymatgen StructureMatcher harness and reach 18.9 %, 30.0 % and 73.8 % match respectively; PXRD-Diff reaches 1.9 %. The central finding is mechanistic. The learned PXRD encoder reaches a 0.007 normalised auxiliary lattice-regression loss in isolation, yet substituting that head’s own lattice into the sampler recovers only 1.2 % of structures, because its ~1.1 Å length error shifts every Bragg peak by ~15 %. Stronger, constrained supervision of the head does not reduce that error. A controlled ablation on the frozen encoder shows that restoring absolute peak positions to the head, by position-aware attention pooling or by explicit d-spacing features, leaves the error unchanged (1.28–1.31 Å across three arms, against 1.32 Å for the checkpoint’s own head), so the earlier reading that global pooling discards the d-spacings is withdrawn. The evidence now points to the regression formulation itself: a head handed the same d-spacings the autoindexer reads does not perform the peak-to-index assignment that turns them into a cell. A perturbation study locates a sharp sensitivity knee at ~0.5 Å cell error. A true-lattice oracle lifts match to 5.5 % at n = 1000 (three seeds; 95 % Wilson confidence interval [4.7, 6.4]), against 1.9 % [1.5, 2.5] for the learned head (paired McNemar p &lt; 10⁻¹⁷). As a classical control, a Q-space autoindexer that is supplied with the true crystal system replaces the learned lattice head and reaches 1.6 % [1.2, 2.1] (1.4 % without the crystal system); its cells are far closer to the truth (pattern Pearson 0.41 against 0.18), yet at three seeds it ties the learned head on match rate (42 fixed, 52 broken, p = 0.35), fixing hexagonal and tetragonal structures and losing cubic ones. A code audit prompted by review found and corrected three implementation errors, including an atomic form factor evaluated in the wrong convention and a Debye loss evaluated on the wrong tensor. The corrected simulator agrees with pymatgen at a median Pearson correlation of 0.999 over 1000 structures. Retraining the production checkpoint with the corrections raised the learned head from 0 to 1.9 % and removed the indexer’s aggregate lead reported in the submitted version; the oracle gap is the result that replicates. The contributions are the lattice-recovery bottleneck diagnosis, a four-item failure catalogue, the shared evaluation harness and the audited, released code.</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use it as a diagnostic instrument. Its size is a design choice: a 3.7 M-parameter model exposes a lattice-recovery bottleneck that capacity would hide. It is not proposed as an alternative to the larger systems it is compared with. Contributions:</w:t>
      </w:r>
    </w:p>
    <w:p>
      <w:pPr>
        <w:pStyle w:val="Compact"/>
        <w:numPr>
          <w:ilvl w:val="0"/>
          <w:numId w:val="1001"/>
        </w:numPr>
      </w:pPr>
      <w:r>
        <w:rPr>
          <w:b/>
          <w:bCs/>
        </w:rPr>
        <w:t xml:space="preserve">A small, fully released baseline.</w:t>
      </w:r>
      <w:r>
        <w:t xml:space="preserve"> </w:t>
      </w:r>
      <w:r>
        <w:t xml:space="preserve">3.7 M parameters, trains on a single RTX 5090 in ~1.5 h on CDVAE MP-20. A PyTorch port of the</w:t>
      </w:r>
      <w:r>
        <w:t xml:space="preserve"> </w:t>
      </w:r>
      <w:r>
        <w:rPr>
          <w:rStyle w:val="VerbatimChar"/>
        </w:rPr>
        <w:t xml:space="preserve">pymatgen</w:t>
      </w:r>
      <w:r>
        <w:t xml:space="preserve"> </w:t>
      </w:r>
      <w:r>
        <w:t xml:space="preserve">structure-factor calculation, differentiable with respect to coordinates and lattice, supplies an auxiliary pattern-matching loss. The port introduces no new physics (§3.3).</w:t>
      </w:r>
    </w:p>
    <w:p>
      <w:pPr>
        <w:pStyle w:val="Compact"/>
        <w:numPr>
          <w:ilvl w:val="0"/>
          <w:numId w:val="1001"/>
        </w:numPr>
      </w:pPr>
      <w:r>
        <w:rPr>
          <w:b/>
          <w:bCs/>
        </w:rPr>
        <w:t xml:space="preserve">Lattice-recovery bottleneck diagnosis (the primary contribution).</w:t>
      </w:r>
      <w:r>
        <w:t xml:space="preserve"> </w:t>
      </w:r>
      <w:r>
        <w:t xml:space="preserve">A perturbation study (§5.5) locates a sharp ~0.5 Å sensitivity knee. A true-lattice oracle lifts match to</w:t>
      </w:r>
      <w:r>
        <w:t xml:space="preserve"> </w:t>
      </w:r>
      <w:r>
        <w:rPr>
          <w:b/>
          <w:bCs/>
        </w:rPr>
        <w:t xml:space="preserve">5.5 %</w:t>
      </w:r>
      <w:r>
        <w:t xml:space="preserve"> </w:t>
      </w:r>
      <w:r>
        <w:t xml:space="preserve">at n = 1000 (three seeds; Wilson 95 % CI [4.7, 6.4]) from 1.9 % [1.5, 2.5] for the learned head (paired McNemar p &lt; 10⁻¹⁷). The encoder reaches a 0.007</w:t>
      </w:r>
      <w:r>
        <w:t xml:space="preserve"> </w:t>
      </w:r>
      <w:r>
        <w:rPr>
          <w:i/>
          <w:iCs/>
        </w:rPr>
        <w:t xml:space="preserve">normalised</w:t>
      </w:r>
      <w:r>
        <w:t xml:space="preserve"> </w:t>
      </w:r>
      <w:r>
        <w:t xml:space="preserve">aux lattice loss, yet its head’s lattice recovers only 1.2 % end to end, a ~1.1 Å error well above the knee (§5.6). A controlled pooling ablation (§5.6) finds that neither position-aware pooling nor explicit peak-position features reduce that error, so the evidence points to the regression formulation rather than to the pooled encoding. The 5.5 % oracle ceiling shows coordinates remain a co-bottleneck.</w:t>
      </w:r>
    </w:p>
    <w:p>
      <w:pPr>
        <w:pStyle w:val="Compact"/>
        <w:numPr>
          <w:ilvl w:val="0"/>
          <w:numId w:val="1001"/>
        </w:numPr>
      </w:pPr>
      <w:r>
        <w:rPr>
          <w:b/>
          <w:bCs/>
        </w:rPr>
        <w:t xml:space="preserve">A classical control.</w:t>
      </w:r>
      <w:r>
        <w:t xml:space="preserve"> </w:t>
      </w:r>
      <w:r>
        <w:t xml:space="preserve">A Q-space autoindexer, supplied with the true crystal system, replaces the learned lattice head at sampling time and reaches 1.6 % [1.2, 2.1]. With the submitted checkpoint the learned head recovered nothing and the indexer’s lead was significant (27 fixed, 0 broken); with the checkpoint retrained under the corrected loss the two tie at three seeds (42 fixed, 52 broken, p = 0.35), the indexer winning the hexagonal and tetragonal structures below the 0.5 Å knee and the learned head the cubic ones (§5.2). This is a sanity check on the diagnosis, not a method: a fifty-year-old algorithm given extra prior information is expected to match or beat the learned head. Without the crystal system the indexer indexes 43.4 % of cells against 48.8 % and recovers 1.4 % [1.0, 1.9] downstream (§3.5).</w:t>
      </w:r>
    </w:p>
    <w:p>
      <w:pPr>
        <w:pStyle w:val="Compact"/>
        <w:numPr>
          <w:ilvl w:val="0"/>
          <w:numId w:val="1001"/>
        </w:numPr>
      </w:pPr>
      <w:r>
        <w:rPr>
          <w:b/>
          <w:bCs/>
        </w:rPr>
        <w:t xml:space="preserve">Four-item failure catalogue.</w:t>
      </w:r>
      <w:r>
        <w:t xml:space="preserve"> </w:t>
      </w:r>
      <w:r>
        <w:t xml:space="preserve">Top-K Debye rerank, Debye-gradient DDIM guidance, Wyckoff-letter embeddings and a distance-matrix aux loss all fail at n ≥ 200; the latter two combined (v14) underperform the bare ε baseline. The gradient-guidance failure agrees with independent work showing the PXRD loss landscape is too rough for gradient descent (Segal</w:t>
      </w:r>
      <w:r>
        <w:t xml:space="preserve"> </w:t>
      </w:r>
      <w:r>
        <w:rPr>
          <w:i/>
          <w:iCs/>
        </w:rPr>
        <w:t xml:space="preserve">et al.</w:t>
      </w:r>
      <w:r>
        <w:t xml:space="preserve">, 2025). The Wyckoff result is read narrowly: the embedding carried a label, not a constraint (§5.4).</w:t>
      </w:r>
    </w:p>
    <w:p>
      <w:pPr>
        <w:pStyle w:val="Compact"/>
        <w:numPr>
          <w:ilvl w:val="0"/>
          <w:numId w:val="1001"/>
        </w:numPr>
      </w:pPr>
      <w:r>
        <w:rPr>
          <w:b/>
          <w:bCs/>
        </w:rPr>
        <w:t xml:space="preserve">Reproduced baselines and a shared harness.</w:t>
      </w:r>
      <w:r>
        <w:t xml:space="preserve"> </w:t>
      </w:r>
      <w:r>
        <w:t xml:space="preserve">DiffractGPT (Mistral-7B + LoRA), PXRDnet (CDVAE + XRD encoder) and deCIFer are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(PXRDnet, n = 20) and</w:t>
      </w:r>
      <w:r>
        <w:t xml:space="preserve"> </w:t>
      </w:r>
      <w:r>
        <w:rPr>
          <w:b/>
          <w:bCs/>
        </w:rPr>
        <w:t xml:space="preserve">73.8 %</w:t>
      </w:r>
      <w:r>
        <w:t xml:space="preserve"> </w:t>
      </w:r>
      <w:r>
        <w:t xml:space="preserve">(deCIFer, n = 298). These numbers set the scale of the diagnostic model; they are not a claim of competitiveness. A candidate divergence between match rate and space-group recovery across two baselines is raised in §5.3 and §6 as a hypothesis that the n = 20 PXRDnet sample cannot establish.</w:t>
      </w:r>
    </w:p>
    <w:p>
      <w:pPr>
        <w:pStyle w:val="Compact"/>
        <w:numPr>
          <w:ilvl w:val="0"/>
          <w:numId w:val="1001"/>
        </w:numPr>
      </w:pPr>
      <w:r>
        <w:rPr>
          <w:b/>
          <w:bCs/>
        </w:rPr>
        <w:t xml:space="preserve">A code audit.</w:t>
      </w:r>
      <w:r>
        <w:t xml:space="preserve"> </w:t>
      </w:r>
      <w:r>
        <w:t xml:space="preserve">Review of the released code identified three implementation errors: the atomic form factor was evaluated in the wrong convention, the Debye loss in x₀-residual mode was evaluated on the wrong tensor, and patterns the indexer could not index were silently given the true lattice. §5.7 reports each error, its effect on every published number, and what was re-run.</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Where the unit cell comes from.</w:t>
      </w:r>
      <w:r>
        <w:t xml:space="preserve"> </w:t>
      </w:r>
      <w:r>
        <w:t xml:space="preserve">Recent approaches differ in whether the unit cell is generated jointly with the coordinates or supplied as a separate input. PXRDGen (Li</w:t>
      </w:r>
      <w:r>
        <w:t xml:space="preserve"> </w:t>
      </w:r>
      <w:r>
        <w:rPr>
          <w:i/>
          <w:iCs/>
        </w:rPr>
        <w:t xml:space="preserve">et al.</w:t>
      </w:r>
      <w:r>
        <w:t xml:space="preserve">, 2025) generates lattice and coordinates jointly by default, but can accept an independently determined cell, from a cell network or from conventional indexing, as an additional condition. XtalNet (Lai</w:t>
      </w:r>
      <w:r>
        <w:t xml:space="preserve"> </w:t>
      </w:r>
      <w:r>
        <w:rPr>
          <w:i/>
          <w:iCs/>
        </w:rPr>
        <w:t xml:space="preserve">et al.</w:t>
      </w:r>
      <w:r>
        <w:t xml:space="preserve">, 2025) is an end-to-end equivariant approach, reported on metal–organic-framework benchmarks. Parackal</w:t>
      </w:r>
      <w:r>
        <w:t xml:space="preserve"> </w:t>
      </w:r>
      <w:r>
        <w:rPr>
          <w:i/>
          <w:iCs/>
        </w:rPr>
        <w:t xml:space="preserve">et al.</w:t>
      </w:r>
      <w:r>
        <w:t xml:space="preserve"> </w:t>
      </w:r>
      <w:r>
        <w:t xml:space="preserve">(2024) enumerate symmetry-confined Wyckoff arrangements and rank them with a learned energy model before fitting the pattern. XRDSol (Yu</w:t>
      </w:r>
      <w:r>
        <w:t xml:space="preserve"> </w:t>
      </w:r>
      <w:r>
        <w:rPr>
          <w:i/>
          <w:iCs/>
        </w:rPr>
        <w:t xml:space="preserve">et al.</w:t>
      </w:r>
      <w:r>
        <w:t xml:space="preserve">, 2026) denoises coordinates with an equivariant diffusion model conditioned on the pattern, and takes the stoichiometry and the unit cell as inputs. That last design choice is the one this paper examines from the other side: XRDSol assumes an indexed cell, and the cell is exactly what our learned head fails to recover. Chitturi</w:t>
      </w:r>
      <w:r>
        <w:t xml:space="preserve"> </w:t>
      </w:r>
      <w:r>
        <w:rPr>
          <w:i/>
          <w:iCs/>
        </w:rPr>
        <w:t xml:space="preserve">et al.</w:t>
      </w:r>
      <w:r>
        <w:t xml:space="preserve"> </w:t>
      </w:r>
      <w:r>
        <w:t xml:space="preserve">(2021) regress lattice parameters from simulated patterns with a convolutional network and analyse how impurities, noise and broadening degrade the prediction, a diagnostic aim close to ours. None is reproduced here; they place PXRD-Diff, a diagnostic instrument rather than a competing solver, within the range of current designs.</w:t>
      </w:r>
    </w:p>
    <w:p>
      <w:pPr>
        <w:pStyle w:val="BodyText"/>
      </w:pPr>
      <w:r>
        <w:rPr>
          <w:b/>
          <w:bCs/>
        </w:rPr>
        <w:t xml:space="preserve">Classical structure solution from powder data.</w:t>
      </w:r>
      <w:r>
        <w:t xml:space="preserve"> </w:t>
      </w:r>
      <w:r>
        <w:t xml:space="preserve">Recovering a unit cell from peak positions is a solved sub-problem with a fifty-year toolchain: ITO, TREOR (Werner</w:t>
      </w:r>
      <w:r>
        <w:t xml:space="preserve"> </w:t>
      </w:r>
      <w:r>
        <w:rPr>
          <w:i/>
          <w:iCs/>
        </w:rPr>
        <w:t xml:space="preserve">et al.</w:t>
      </w:r>
      <w:r>
        <w:t xml:space="preserve">, 1985) and DICVOL (Boultif &amp; Louër, 2004), ranking solutions with the de Wolff (1968) figure of merit M20, index high-symmetry powder patterns in CPU milliseconds, with the difficulty concentrated in low-symmetry (monoclinic and triclinic) cells. Indexing is only the first stage of classical structure solution. Once the cell and space group are fixed, direct-space search, simulated annealing and charge flipping complete the structure, as implemented in programs such as FOX (Favre-Nicolin &amp; Černý, 2002) and EXPO (Cuocci</w:t>
      </w:r>
      <w:r>
        <w:t xml:space="preserve"> </w:t>
      </w:r>
      <w:r>
        <w:rPr>
          <w:i/>
          <w:iCs/>
        </w:rPr>
        <w:t xml:space="preserve">et al.</w:t>
      </w:r>
      <w:r>
        <w:t xml:space="preserve">, 2022). §3.5 reuses only the indexing stage, as a control for the learned lattice head. The indexer is given the true crystal system, which classical practice must itself infer; §3.5 also reports the run without it. §5.2 and §5.5 show the resulting lift tracks the symmetry-dependent accuracy classical indexers have always had.</w:t>
      </w:r>
    </w:p>
    <w:p>
      <w:pPr>
        <w:pStyle w:val="BodyText"/>
      </w:pPr>
      <w:r>
        <w:rPr>
          <w:b/>
          <w:bCs/>
        </w:rPr>
        <w:t xml:space="preserve">Differentiable physics.</w:t>
      </w:r>
      <w:r>
        <w:t xml:space="preserve"> </w:t>
      </w:r>
      <w:r>
        <w:t xml:space="preserve">Scattering-pattern losses date to Rietveld. The module used here is a PyTorch port of the</w:t>
      </w:r>
      <w:r>
        <w:t xml:space="preserve"> </w:t>
      </w:r>
      <w:r>
        <w:rPr>
          <w:rStyle w:val="VerbatimChar"/>
        </w:rPr>
        <w:t xml:space="preserve">pymatgen</w:t>
      </w:r>
      <w:r>
        <w:t xml:space="preserve"> </w:t>
      </w:r>
      <w:r>
        <w:t xml:space="preserve">structure-factor computation, differentiable with respect to coordinates and lattice so that it can serve as a diffusion-training loss term; it adds no physics beyond that computation (§3.3).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(2026)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2"/>
      </w:pPr>
      <w:r>
        <w:t xml:space="preserve">3.3 Differentiable Bragg structure-factor loss</w:t>
      </w:r>
    </w:p>
    <w:p>
      <w:pPr>
        <w:pStyle w:val="FirstParagraph"/>
      </w:pPr>
      <w:r>
        <w:t xml:space="preserve">This module is an engineering component, not a physical contribution. It is a PyTorch port of the structure-factor calculation in</w:t>
      </w:r>
      <w:r>
        <w:t xml:space="preserve"> </w:t>
      </w:r>
      <w:r>
        <w:rPr>
          <w:rStyle w:val="VerbatimChar"/>
        </w:rPr>
        <w:t xml:space="preserve">pymatgen.analysis.diffraction.xrd.XRDCalculator</w:t>
      </w:r>
      <w:r>
        <w:t xml:space="preserve">, written so that gradients flow to fractional coordinates and lattice. We implement</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with the atomic form factor in the convention</w:t>
      </w:r>
      <w:r>
        <w:t xml:space="preserve"> </w:t>
      </w:r>
      <w:r>
        <w:rPr>
          <w:rStyle w:val="VerbatimChar"/>
        </w:rPr>
        <w:t xml:space="preserve">pymatgen</w:t>
      </w:r>
      <w:r>
        <w:t xml:space="preserve"> </w:t>
      </w:r>
      <w:r>
        <w:t xml:space="preserve">uses for its tabulated coefficients,</w:t>
      </w:r>
    </w:p>
    <w:p>
      <w:pPr>
        <w:pStyle w:val="BodyText"/>
      </w:pPr>
      <m:oMathPara>
        <m:oMathParaPr>
          <m:jc m:val="center"/>
        </m:oMathParaPr>
        <m:oMath>
          <m:sSub>
            <m:e>
              <m:r>
                <m:t>f</m:t>
              </m:r>
            </m:e>
            <m:sub>
              <m:r>
                <m:t>j</m:t>
              </m:r>
            </m:sub>
          </m:sSub>
          <m:r>
            <m:rPr>
              <m:sty m:val="p"/>
            </m:rPr>
            <m:t>(</m:t>
          </m:r>
          <m:r>
            <m:t>s</m:t>
          </m:r>
          <m:r>
            <m:rPr>
              <m:sty m:val="p"/>
            </m:rPr>
            <m:t>)</m:t>
          </m:r>
          <m:r>
            <m:rPr>
              <m:sty m:val="p"/>
            </m:rPr>
            <m:t>=</m:t>
          </m:r>
          <m:sSub>
            <m:e>
              <m:r>
                <m:t>Z</m:t>
              </m:r>
            </m:e>
            <m:sub>
              <m:r>
                <m:t>j</m:t>
              </m:r>
            </m:sub>
          </m:sSub>
          <m:r>
            <m:rPr>
              <m:sty m:val="p"/>
            </m:rPr>
            <m:t>−</m:t>
          </m:r>
          <m:r>
            <m:t>41.78214</m:t>
          </m:r>
          <m:r>
            <m:t> </m:t>
          </m:r>
          <m:sSup>
            <m:e>
              <m:r>
                <m:t>s</m:t>
              </m:r>
            </m:e>
            <m:sup>
              <m:r>
                <m:t>2</m:t>
              </m:r>
            </m:sup>
          </m:sSup>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r>
            <m:rPr>
              <m:sty m:val="p"/>
            </m:rPr>
            <m:t>,</m:t>
          </m:r>
        </m:oMath>
      </m:oMathPara>
    </w:p>
    <w:p>
      <w:pPr>
        <w:pStyle w:val="FirstParagraph"/>
      </w:pPr>
      <w:r>
        <w:t xml:space="preserve">where</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are read from</w:t>
      </w:r>
      <w:r>
        <w:t xml:space="preserve"> </w:t>
      </w:r>
      <w:r>
        <w:rPr>
          <w:rStyle w:val="VerbatimChar"/>
        </w:rPr>
        <w:t xml:space="preserve">ATOMIC_SCATTERING_PARAMS</w:t>
      </w:r>
      <w:r>
        <w:t xml:space="preserve">,</w:t>
      </w:r>
      <w:r>
        <w:t xml:space="preserve"> </w:t>
      </w:r>
      <m:oMath>
        <m:sSub>
          <m:e>
            <m:r>
              <m:t>Z</m:t>
            </m:r>
          </m:e>
          <m:sub>
            <m:r>
              <m:t>j</m:t>
            </m:r>
          </m:sub>
        </m:sSub>
      </m:oMath>
      <w:r>
        <w:t xml:space="preserve"> </w:t>
      </w:r>
      <w:r>
        <w:t xml:space="preserve">is the atomic number,</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pattern on a 256-bin coarse grid. The module treats ideal powders only: no preferred orientation, peak asymmetry, instrument profile or background is modelled. It is a single</w:t>
      </w:r>
      <w:r>
        <w:t xml:space="preserve"> </w:t>
      </w:r>
      <w:r>
        <w:rPr>
          <w:rStyle w:val="VerbatimChar"/>
        </w:rPr>
        <w:t xml:space="preserve">nn.Module</w:t>
      </w:r>
      <w:r>
        <w:t xml:space="preserve">, vectorised over the batch dimension.</w:t>
      </w:r>
    </w:p>
    <w:p>
      <w:pPr>
        <w:pStyle w:val="BodyText"/>
      </w:pPr>
      <w:r>
        <w:rPr>
          <w:b/>
          <w:bCs/>
        </w:rPr>
        <w:t xml:space="preserve">Correction made during review.</w:t>
      </w:r>
      <w:r>
        <w:t xml:space="preserve"> </w:t>
      </w:r>
      <w:r>
        <w:t xml:space="preserve">The submitted version of this paper evaluated the form factor as the bare sum</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the same coefficients. That expression is not the one the coefficients were fitted for. It gives the wrong element weighting: for silicon it returns</w:t>
      </w:r>
      <w:r>
        <w:t xml:space="preserve"> </w:t>
      </w:r>
      <m:oMath>
        <m:r>
          <m:t>f</m:t>
        </m:r>
        <m:r>
          <m:rPr>
            <m:sty m:val="p"/>
          </m:rPr>
          <m:t>(</m:t>
        </m:r>
        <m:r>
          <m:t>0</m:t>
        </m:r>
        <m:r>
          <m:rPr>
            <m:sty m:val="p"/>
          </m:rPr>
          <m:t>)</m:t>
        </m:r>
        <m:r>
          <m:rPr>
            <m:sty m:val="p"/>
          </m:rPr>
          <m:t>=</m:t>
        </m:r>
        <m:r>
          <m:t>5.8</m:t>
        </m:r>
      </m:oMath>
      <w:r>
        <w:t xml:space="preserve"> </w:t>
      </w:r>
      <w:r>
        <w:t xml:space="preserve">where the correct value is</w:t>
      </w:r>
      <w:r>
        <w:t xml:space="preserve"> </w:t>
      </w:r>
      <m:oMath>
        <m:r>
          <m:t>Z</m:t>
        </m:r>
        <m:r>
          <m:rPr>
            <m:sty m:val="p"/>
          </m:rPr>
          <m:t>=</m:t>
        </m:r>
        <m:r>
          <m:t>14</m:t>
        </m:r>
      </m:oMath>
      <w:r>
        <w:t xml:space="preserve">, and it decays too quickly with</w:t>
      </w:r>
      <w:r>
        <w:t xml:space="preserve"> </w:t>
      </w:r>
      <m:oMath>
        <m:r>
          <m:t>s</m:t>
        </m:r>
      </m:oMath>
      <w:r>
        <w:t xml:space="preserve">. Both referees who inspected the code identified the discrepancy. The module was corrected to the expression above and re-validated (below). The production checkpoint (v21) was retrained from scratch with the corrected module and the corrected x₀-mode loss of §3.4, under otherwise identical settings; the retrained checkpoint (v22) is the one behind Tables 2, 2a and 3 and Figs 4 and 5, and §5.2 and §5.7 give the effect. The exploratory Phase-4 rows of Table 1 were not retrained (§5.1).</w:t>
      </w:r>
    </w:p>
    <w:p>
      <w:pPr>
        <w:pStyle w:val="BodyText"/>
      </w:pPr>
      <w:r>
        <w:rPr>
          <w:b/>
          <w:bCs/>
        </w:rPr>
        <w:t xml:space="preserve">Validation.</w:t>
      </w:r>
      <w:r>
        <w:t xml:space="preserve"> </w:t>
      </w:r>
      <w:r>
        <w:t xml:space="preserve">On the first 1000 MP-20 test structures we compute the Pearson correlation between the differentiable pattern and the</w:t>
      </w:r>
      <w:r>
        <w:t xml:space="preserve"> </w:t>
      </w:r>
      <w:r>
        <w:rPr>
          <w:rStyle w:val="VerbatimChar"/>
        </w:rPr>
        <w:t xml:space="preserve">pymatgen.XRDCalculator</w:t>
      </w:r>
      <w:r>
        <w:t xml:space="preserve"> </w:t>
      </w:r>
      <w:r>
        <w:t xml:space="preserve">reference, both on the 256-bin coarse grid. With the corrected form factor the mean is 0.988 and the median 0.999; 98.0 % of structures exceed 0.9. With the submitted version’s form factor the same structures give a mean of 0.952 and a median of 0.969; 90.7 % exceed 0.9. The correction improves the agreement for every one of the 1000 structures. On the first 50 structures the means are 0.939 (submitted form factor) and 0.974 (corrected). The submitted version reported 0.962 on 50 structures with the validation script’s default reflection range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 wider than the</w:t>
      </w:r>
      <w:r>
        <w:t xml:space="preserve"> </w:t>
      </w:r>
      <m:oMath>
        <m:r>
          <m:rPr>
            <m:sty m:val="p"/>
          </m:rPr>
          <m:t>≤</m:t>
        </m:r>
        <m:r>
          <m:t>5</m:t>
        </m:r>
      </m:oMath>
      <w:r>
        <w:t xml:space="preserve"> </w:t>
      </w:r>
      <w:r>
        <w:t xml:space="preserve">training grid used above; Appendix C reproduces that value for the submitted expression (0.963 on the first 50, 0.960 on all 1000), gives 0.999 for the corrected expression at both sizes, and shows that the lower tail is a truncation effect of the</w:t>
      </w:r>
      <w:r>
        <w:t xml:space="preserve"> </w:t>
      </w:r>
      <m:oMath>
        <m:r>
          <m:rPr>
            <m:sty m:val="p"/>
          </m:rPr>
          <m:t>≤</m:t>
        </m:r>
        <m:r>
          <m:t>5</m:t>
        </m:r>
      </m:oMath>
      <w:r>
        <w:t xml:space="preserve"> </w:t>
      </w:r>
      <w:r>
        <w:t xml:space="preserve">grid on small cells rather than a property of the form factor. Gradients through the structure factor with respect to fractional coordinates were verified non-zero.</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b/>
          <w:bCs/>
        </w:rPr>
        <w:t xml:space="preserve">Correction made during review.</w:t>
      </w:r>
      <w:r>
        <w:t xml:space="preserve"> </w:t>
      </w:r>
      <w:r>
        <w:t xml:space="preserve">In x₀-residual mode the Debye loss must be evaluated on the clean-coordinate estimate</w:t>
      </w:r>
      <w:r>
        <w:t xml:space="preserve"> </w:t>
      </w: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oMath>
      <w:r>
        <w:t xml:space="preserve">. The submitted code evaluated it on the residual</w:t>
      </w:r>
      <w:r>
        <w:t xml:space="preserve"> </w:t>
      </w:r>
      <m:oMath>
        <m:r>
          <m:rPr>
            <m:nor/>
            <m:sty m:val="p"/>
          </m:rPr>
          <m:t>Coord-Head</m:t>
        </m:r>
        <m:r>
          <m:rPr>
            <m:sty m:val="p"/>
          </m:rPr>
          <m:t>(</m:t>
        </m:r>
        <m:r>
          <m:rPr>
            <m:sty m:val="bi"/>
          </m:rPr>
          <m:t>h</m:t>
        </m:r>
        <m:r>
          <m:rPr>
            <m:sty m:val="p"/>
          </m:rPr>
          <m:t>)</m:t>
        </m:r>
      </m:oMath>
      <w:r>
        <w:t xml:space="preserve"> </w:t>
      </w:r>
      <w:r>
        <w:t xml:space="preserve">alone. For every x₀-residual run (v13, v14, v15, v16 and the Phase 9 checkpoint v21) the Debye term therefore compared the pattern of the wrong tensor with the target. The ε-mode runs v10 and v11 were unaffected, as were the coordinate and lattice losses and every evaluation-time number. The code is fixed. The production checkpoint was retrained with the corrected loss and the corrected simulator (v22, §3.3); its final EMA loss fell from 0.726 to 0.602, with the effect on the results in §5.2. The Phase-4 rows v13–v16 were not retrained and remain labelled exploratory single-seed runs carrying this defect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bed3fe1b934db5a1a09c38450a9bb46f6ab9ba3"/>
    <w:p>
      <w:pPr>
        <w:pStyle w:val="Heading2"/>
      </w:pPr>
      <w:r>
        <w:t xml:space="preserve">3.5 Classical indexing as a control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for every peak position in the input pattern.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and (ii) the true crystal system of the target structure, supplied as a Bravais code, and returns a candidate (a, b, c, α, β, γ). Item (ii) is prior information beyond the composition that the learned head receives; it makes the indexer an optimistic control rather than a fair competitor (§7; the unknown-system run below removes it).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A GSAS-II (Toby &amp; Von Dreele, 2013) adapter (</w:t>
      </w:r>
      <w:r>
        <w:rPr>
          <w:rStyle w:val="VerbatimChar"/>
        </w:rPr>
        <w:t xml:space="preserve">src/pxrd_diff/indexer_gsas.py</w:t>
      </w:r>
      <w:r>
        <w:t xml:space="preserve">) for the low-symmetry path ships behind a</w:t>
      </w:r>
      <w:r>
        <w:t xml:space="preserve"> </w:t>
      </w:r>
      <w:r>
        <w:rPr>
          <w:rStyle w:val="VerbatimChar"/>
        </w:rPr>
        <w:t xml:space="preserve">--use-gsas</w:t>
      </w:r>
      <w:r>
        <w:t xml:space="preserve"> </w:t>
      </w:r>
      <w:r>
        <w:t xml:space="preserve">opt-in flag; it hangs on real MP-20 monoclinic/triclinic patterns inside</w:t>
      </w:r>
      <w:r>
        <w:t xml:space="preserve"> </w:t>
      </w:r>
      <w:r>
        <w:rPr>
          <w:rStyle w:val="VerbatimChar"/>
        </w:rPr>
        <w:t xml:space="preserve">findBestCell</w:t>
      </w:r>
      <w:r>
        <w:t xml:space="preserve"> </w:t>
      </w:r>
      <w:r>
        <w:t xml:space="preserve">and is experimental (§7).</w:t>
      </w:r>
    </w:p>
    <w:p>
      <w:pPr>
        <w:pStyle w:val="BodyText"/>
      </w:pPr>
      <w:r>
        <w:rPr>
          <w:b/>
          <w:bCs/>
        </w:rPr>
        <w:t xml:space="preserve">Without the crystal system.</w:t>
      </w:r>
      <w:r>
        <w:t xml:space="preserve"> </w:t>
      </w:r>
      <w:r>
        <w:t xml:space="preserve">At a referee’s request the indexer was also run with no crystal system supplied. Cubic, tetragonal, hexagonal/trigonal, orthorhombic and monoclinic cells are searched in that order, highest symmetry first, and a lattice type is accepted by the rule the classical programs use (de Wolff, 1968; Werner</w:t>
      </w:r>
      <w:r>
        <w:t xml:space="preserve"> </w:t>
      </w:r>
      <w:r>
        <w:rPr>
          <w:i/>
          <w:iCs/>
        </w:rPr>
        <w:t xml:space="preserve">et al.</w:t>
      </w:r>
      <w:r>
        <w:t xml:space="preserve">, 1985; Boultif &amp; Louër, 2004): the first type whose best cell indexes every observed line with M20 ≥ 10 is kept; if none does, the highest-M20 cell among those indexing every line; the reported system is the metric symmetry of the returned cell. On the same n = 1 000 this reaches</w:t>
      </w:r>
      <w:r>
        <w:t xml:space="preserve"> </w:t>
      </w:r>
      <w:r>
        <w:rPr>
          <w:b/>
          <w:bCs/>
        </w:rPr>
        <w:t xml:space="preserve">43.4 %</w:t>
      </w:r>
      <w:r>
        <w:t xml:space="preserve"> </w:t>
      </w:r>
      <w:r>
        <w:t xml:space="preserve">strict cell match [40.4, 46.5] with a 1.67 Å mean cell-length MAE, against 48.8 % [45.7, 51.9] and 1.45 Å with the system given, and it recovers the lattice type itself for 65.4 % of the patterns (68.1 % of the 961 that both modes index). Per crystal system, strict success with the system given → unknown: cubic 52.9 → 49.2 %, hexagonal 77.9 → 65.4 %, trigonal 43.3 → 30.9 %, tetragonal 52.8 → 46.7 %, orthorhombic 59.8 → 53.6 %, monoclinic 18.9 → 19.6 %. Paired on the same structures, removing the system loses 65 cells and gains 9 (McNemar p &lt; 10⁻¹⁰): under ideal peak positions the crystal-system prior is worth about five percentage points to the indexer, not the difference between working and failing. A first implementation that simply kept the highest M20 across lattice types reached only 24.3 %, choosing the correct system for 40.7 % of patterns and cubic for 12 of the 238 cubic structures. M20 carries no penalty for free parameters, so on a pattern with a handful of exactly placed lines a four-parameter monoclinic sub-cell out-scores the true cubic cell (ScAlRh₂, mp-867922: M20 = 2 182 against 1 231, both indexing every line). That run is released beside the final one (</w:t>
      </w:r>
      <w:r>
        <w:rPr>
          <w:rStyle w:val="VerbatimChar"/>
        </w:rPr>
        <w:t xml:space="preserve">--unknown-rule maxm20</w:t>
      </w:r>
      <w:r>
        <w:t xml:space="preserve">) because the comparison is itself informative: the choice of acceptance rule (24.3 → 43.4 %) matters more than the prior it replaces (43.4 → 48.8 %). Substituted into the sampler at three seeds, these cells recover 1.4 % [1.0, 1.9] (42 / 3 000) against 1.6 % [1.2, 2.1] with the system given: six structures lost and none gained on the same seeds (McNemar p = 0.03), with identical pattern Pearson (0.41), and no significant difference from the learned head’s 1.9 % (36 fixed, 52 broken, p = 0.11). Table 2 carries this as its third row.</w:t>
      </w:r>
    </w:p>
    <w:p>
      <w:pPr>
        <w:pStyle w:val="BodyText"/>
      </w:pPr>
      <w:r>
        <w:t xml:space="preserve">The indexer is a drop-in in the mechanical sense: training is unchanged, and the diffusion sampler is unchanged except for the lattice-channel substitution at t = T. Patterns for which the indexer returns no cell (39 of the 1000 test patterns) are scored as misses; the submitted version had given them the true lattice (§5.7). §5.2 reports both with and without the indexer.</w:t>
      </w:r>
    </w:p>
    <w:bookmarkEnd w:id="20"/>
    <w:bookmarkStart w:id="21" w:name="sampling"/>
    <w:p>
      <w:pPr>
        <w:pStyle w:val="Heading2"/>
      </w:pPr>
      <w:r>
        <w:t xml:space="preserve">3.6 Sampling</w:t>
      </w:r>
    </w:p>
    <w:p>
      <w:pPr>
        <w:pStyle w:val="FirstParagraph"/>
      </w:pPr>
      <w:r>
        <w:t xml:space="preserve">DDIM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 In the indexer mode (§3.5) a pattern the indexer cannot index counts as a miss; it is never scored with the true lattice.</w:t>
      </w:r>
    </w:p>
    <w:p>
      <w:pPr>
        <w:pStyle w:val="BodyText"/>
      </w:pPr>
      <w:r>
        <w:rPr>
          <w:b/>
          <w:bCs/>
        </w:rPr>
        <w:t xml:space="preserve">Implementation.</w:t>
      </w:r>
      <w:r>
        <w:t xml:space="preserve"> </w:t>
      </w:r>
      <w:r>
        <w:t xml:space="preserve">AdamW, learning rate</w:t>
      </w:r>
      <w:r>
        <w:t xml:space="preserve"> </w:t>
      </w:r>
      <m:oMath>
        <m:sSup>
          <m:e>
            <m:r>
              <m:t>10</m:t>
            </m:r>
          </m:e>
          <m:sup>
            <m:r>
              <m:rPr>
                <m:sty m:val="p"/>
              </m:rPr>
              <m:t>−</m:t>
            </m:r>
            <m:r>
              <m:t>3</m:t>
            </m:r>
          </m:sup>
        </m:sSup>
      </m:oMath>
      <w:r>
        <w:t xml:space="preserve"> </w:t>
      </w:r>
      <w:r>
        <w:t xml:space="preserve">(the value stored in the released v21 checkpoint; §5.7(d) on the submitted text’s</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7" w:name="results"/>
    <w:p>
      <w:pPr>
        <w:pStyle w:val="Heading1"/>
      </w:pPr>
      <w:r>
        <w:t xml:space="preserve">5. Results</w:t>
      </w:r>
    </w:p>
    <w:p>
      <w:pPr>
        <w:pStyle w:val="FirstParagraph"/>
      </w:pPr>
      <w:r>
        <w:t xml:space="preserve">Order: Phase 4 architectural ablation (§5.1) → Phase 9 indexer drop-in (§5.2) → reproduced baselines (§5.3) → failure catalogue (§5.4) → lattice-perturbation study (§5.5).</w:t>
      </w:r>
    </w:p>
    <w:bookmarkStart w:id="28"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 Every row is a single training seed. The table is exploratory: it guided the design, and only the ε-vs-x₀-residual contrast was later replicated across seeds (§7). Runs v11 and v13–v16 were trained with the submitted version’s simulator, and v13–v16 with the x₀-mode Debye defect (§3.3, §3.4). These rows were not retrained: only the production checkpoint was (v22, §5.2), and Table 1 is retained as the exploratory, single-seed record it always was, with the defects it carries stated here rather than corrected.</w:t>
      </w:r>
    </w:p>
    <w:p>
      <w:pPr>
        <w:pStyle w:val="BodyText"/>
      </w:pPr>
      <w:r>
        <w:rPr>
          <w:b/>
          <w:bCs/>
        </w:rPr>
        <w:t xml:space="preserve">Table 1.</w:t>
      </w:r>
      <w:r>
        <w:t xml:space="preserve"> </w:t>
      </w:r>
      <w:r>
        <w:t xml:space="preserve">Phase 4 coordinate-only ablation, MP-20 test (n = 1 000, true lattice substituted). Single seed per row; exploratory.</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single seed per run; exploratory).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 (single seed per run; exploratory).</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(§7), so the 3.5× match lift was a single-seed fluctuation. The x₀-residual parameterisation does reproducibly improve pattern-Pearson (0.36 → 0.40),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checkpoint reaches 5.5 % under oracle (v22, three seeds; the submitted v21 gave 4.5 %) but only 1.9 % under the full pipeline. §5.2 attacks that gap.</w:t>
      </w:r>
    </w:p>
    <w:bookmarkEnd w:id="28"/>
    <w:bookmarkStart w:id="33" w:name="phase-9-classical-indexer-control"/>
    <w:p>
      <w:pPr>
        <w:pStyle w:val="Heading2"/>
      </w:pPr>
      <w:r>
        <w:t xml:space="preserve">5.2 Phase 9: classical indexer control</w:t>
      </w:r>
    </w:p>
    <w:p>
      <w:pPr>
        <w:pStyle w:val="FirstParagraph"/>
      </w:pPr>
      <w:r>
        <w:t xml:space="preserve">Table 2 compares four lattice sources on the same n = 1 000 at three seeds with the v22 checkpoint (the v21 configuration retrained under the corrected simulator and x₀-mode Debye loss, §3.3, §3.4, §5.7); the rows differ only in the lattice the sampler conditions on. The indexer rows are controls with extra prior information (§3.5). The submitted version’s v21 numbers are retained in §5.7.</w:t>
      </w:r>
    </w:p>
    <w:p>
      <w:pPr>
        <w:pStyle w:val="BodyText"/>
      </w:pPr>
      <w:r>
        <w:rPr>
          <w:b/>
          <w:bCs/>
        </w:rPr>
        <w:t xml:space="preserve">Table 2.</w:t>
      </w:r>
      <w:r>
        <w:t xml:space="preserve"> </w:t>
      </w:r>
      <w:r>
        <w:t xml:space="preserve">Phase 9 lattice-source comparison (n = 1 000 MP-20 test × three seeds, 3 000 structure-seeds pooled, v22 checkpoint). The indexer receives the true crystal system; the 117 structure-seeds it cannot index are scored as misses. Match % with 95 % Wilson CI; the other columns are means over seeds.</w:t>
      </w:r>
    </w:p>
    <w:tbl>
      <w:tblPr>
        <w:tblStyle w:val="Table"/>
        <w:tblW w:type="pct" w:w="5000"/>
        <w:tblLayout w:type="fixed"/>
        <w:tblLook w:firstRow="1" w:lastRow="0" w:firstColumn="0" w:lastColumn="0" w:noHBand="0" w:noVBand="0" w:val="0020"/>
      </w:tblPr>
      <w:tblGrid>
        <w:gridCol w:w="3101"/>
        <w:gridCol w:w="1253"/>
        <w:gridCol w:w="989"/>
        <w:gridCol w:w="659"/>
        <w:gridCol w:w="923"/>
        <w:gridCol w:w="395"/>
        <w:gridCol w:w="593"/>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c>
          <w:tcPr/>
          <w:p>
            <w:pPr>
              <w:pStyle w:val="Compact"/>
            </w:pPr>
            <w:r>
              <w:t xml:space="preserve">Pearson</w:t>
            </w:r>
          </w:p>
        </w:tc>
      </w:tr>
      <w:tr>
        <w:tc>
          <w:tcPr/>
          <w:p>
            <w:pPr>
              <w:pStyle w:val="Compact"/>
            </w:pPr>
            <w:r>
              <w:t xml:space="preserve">Learned head only (full pipeline)</w:t>
            </w:r>
          </w:p>
        </w:tc>
        <w:tc>
          <w:tcPr/>
          <w:p>
            <w:pPr>
              <w:pStyle w:val="Compact"/>
            </w:pPr>
            <w:r>
              <w:t xml:space="preserve">1.9 [1.5, 2.5]</w:t>
            </w:r>
          </w:p>
        </w:tc>
        <w:tc>
          <w:tcPr/>
          <w:p>
            <w:pPr>
              <w:pStyle w:val="Compact"/>
            </w:pPr>
            <w:r>
              <w:t xml:space="preserve">0.0</w:t>
            </w:r>
          </w:p>
        </w:tc>
        <w:tc>
          <w:tcPr/>
          <w:p>
            <w:pPr>
              <w:pStyle w:val="Compact"/>
            </w:pPr>
            <w:r>
              <w:t xml:space="preserve">1.4</w:t>
            </w:r>
          </w:p>
        </w:tc>
        <w:tc>
          <w:tcPr/>
          <w:p>
            <w:pPr>
              <w:pStyle w:val="Compact"/>
            </w:pPr>
            <w:r>
              <w:t xml:space="preserve">0.232</w:t>
            </w:r>
          </w:p>
        </w:tc>
        <w:tc>
          <w:tcPr/>
          <w:p>
            <w:pPr>
              <w:pStyle w:val="Compact"/>
            </w:pPr>
            <w:r>
              <w:t xml:space="preserve">17.0</w:t>
            </w:r>
          </w:p>
        </w:tc>
        <w:tc>
          <w:tcPr/>
          <w:p>
            <w:pPr>
              <w:pStyle w:val="Compact"/>
            </w:pPr>
            <w:r>
              <w:t xml:space="preserve">0.18</w:t>
            </w:r>
          </w:p>
        </w:tc>
      </w:tr>
      <w:tr>
        <w:tc>
          <w:tcPr/>
          <w:p>
            <w:pPr>
              <w:pStyle w:val="Compact"/>
            </w:pPr>
            <w:r>
              <w:rPr>
                <w:b/>
                <w:bCs/>
              </w:rPr>
              <w:t xml:space="preserve">Classical Q-space autoindexer (§3.5), crystal system given</w:t>
            </w:r>
          </w:p>
        </w:tc>
        <w:tc>
          <w:tcPr/>
          <w:p>
            <w:pPr>
              <w:pStyle w:val="Compact"/>
            </w:pPr>
            <w:r>
              <w:rPr>
                <w:b/>
                <w:bCs/>
              </w:rPr>
              <w:t xml:space="preserve">1.6 [1.2, 2.1]</w:t>
            </w:r>
          </w:p>
        </w:tc>
        <w:tc>
          <w:tcPr/>
          <w:p>
            <w:pPr>
              <w:pStyle w:val="Compact"/>
            </w:pPr>
            <w:r>
              <w:rPr>
                <w:b/>
                <w:bCs/>
              </w:rPr>
              <w:t xml:space="preserve">0.2</w:t>
            </w:r>
          </w:p>
        </w:tc>
        <w:tc>
          <w:tcPr/>
          <w:p>
            <w:pPr>
              <w:pStyle w:val="Compact"/>
            </w:pPr>
            <w:r>
              <w:rPr>
                <w:b/>
                <w:bCs/>
              </w:rPr>
              <w:t xml:space="preserve">0.3</w:t>
            </w:r>
          </w:p>
        </w:tc>
        <w:tc>
          <w:tcPr/>
          <w:p>
            <w:pPr>
              <w:pStyle w:val="Compact"/>
            </w:pPr>
            <w:r>
              <w:rPr>
                <w:b/>
                <w:bCs/>
              </w:rPr>
              <w:t xml:space="preserve">0.035</w:t>
            </w:r>
          </w:p>
        </w:tc>
        <w:tc>
          <w:tcPr/>
          <w:p>
            <w:pPr>
              <w:pStyle w:val="Compact"/>
            </w:pPr>
            <w:r>
              <w:t xml:space="preserve">11.4</w:t>
            </w:r>
          </w:p>
        </w:tc>
        <w:tc>
          <w:tcPr/>
          <w:p>
            <w:pPr>
              <w:pStyle w:val="Compact"/>
            </w:pPr>
            <w:r>
              <w:t xml:space="preserve">0.41</w:t>
            </w:r>
          </w:p>
        </w:tc>
      </w:tr>
      <w:tr>
        <w:tc>
          <w:tcPr/>
          <w:p>
            <w:pPr>
              <w:pStyle w:val="Compact"/>
            </w:pPr>
            <w:r>
              <w:t xml:space="preserve">Classical Q-space autoindexer, crystal system unknown</w:t>
            </w:r>
          </w:p>
        </w:tc>
        <w:tc>
          <w:tcPr/>
          <w:p>
            <w:pPr>
              <w:pStyle w:val="Compact"/>
            </w:pPr>
            <w:r>
              <w:t xml:space="preserve">1.4 [1.0, 1.9]</w:t>
            </w:r>
          </w:p>
        </w:tc>
        <w:tc>
          <w:tcPr/>
          <w:p>
            <w:pPr>
              <w:pStyle w:val="Compact"/>
            </w:pPr>
            <w:r>
              <w:t xml:space="preserve">0.2</w:t>
            </w:r>
          </w:p>
        </w:tc>
        <w:tc>
          <w:tcPr/>
          <w:p>
            <w:pPr>
              <w:pStyle w:val="Compact"/>
            </w:pPr>
            <w:r>
              <w:t xml:space="preserve">1.6</w:t>
            </w:r>
          </w:p>
        </w:tc>
        <w:tc>
          <w:tcPr/>
          <w:p>
            <w:pPr>
              <w:pStyle w:val="Compact"/>
            </w:pPr>
            <w:r>
              <w:t xml:space="preserve">0.038</w:t>
            </w:r>
          </w:p>
        </w:tc>
        <w:tc>
          <w:tcPr/>
          <w:p>
            <w:pPr>
              <w:pStyle w:val="Compact"/>
            </w:pPr>
            <w:r>
              <w:t xml:space="preserve">12.2</w:t>
            </w:r>
          </w:p>
        </w:tc>
        <w:tc>
          <w:tcPr/>
          <w:p>
            <w:pPr>
              <w:pStyle w:val="Compact"/>
            </w:pPr>
            <w:r>
              <w:t xml:space="preserve">0.41</w:t>
            </w:r>
          </w:p>
        </w:tc>
      </w:tr>
      <w:tr>
        <w:tc>
          <w:tcPr/>
          <w:p>
            <w:pPr>
              <w:pStyle w:val="Compact"/>
            </w:pPr>
            <w:r>
              <w:t xml:space="preserve">Ground-truth lattice (oracle)</w:t>
            </w:r>
          </w:p>
        </w:tc>
        <w:tc>
          <w:tcPr/>
          <w:p>
            <w:pPr>
              <w:pStyle w:val="Compact"/>
            </w:pPr>
            <w:r>
              <w:t xml:space="preserve">5.5 [4.7, 6.4]</w:t>
            </w:r>
          </w:p>
        </w:tc>
        <w:tc>
          <w:tcPr/>
          <w:p>
            <w:pPr>
              <w:pStyle w:val="Compact"/>
            </w:pPr>
            <w:r>
              <w:t xml:space="preserve">0.8</w:t>
            </w:r>
          </w:p>
        </w:tc>
        <w:tc>
          <w:tcPr/>
          <w:p>
            <w:pPr>
              <w:pStyle w:val="Compact"/>
            </w:pPr>
            <w:r>
              <w:t xml:space="preserve">2.2</w:t>
            </w:r>
          </w:p>
        </w:tc>
        <w:tc>
          <w:tcPr/>
          <w:p>
            <w:pPr>
              <w:pStyle w:val="Compact"/>
            </w:pPr>
            <w:r>
              <w:t xml:space="preserve">0.044</w:t>
            </w:r>
          </w:p>
        </w:tc>
        <w:tc>
          <w:tcPr/>
          <w:p>
            <w:pPr>
              <w:pStyle w:val="Compact"/>
            </w:pPr>
            <w:r>
              <w:t xml:space="preserve">5.1</w:t>
            </w:r>
          </w:p>
        </w:tc>
        <w:tc>
          <w:tcPr/>
          <w:p>
            <w:pPr>
              <w:pStyle w:val="Compact"/>
            </w:pPr>
            <w:r>
              <w:t xml:space="preserve">0.71</w:t>
            </w:r>
          </w:p>
        </w:tc>
      </w:tr>
    </w:tbl>
    <w:p>
      <w:pPr>
        <w:pStyle w:val="BodyText"/>
      </w:pPr>
      <w:r>
        <w:rPr>
          <w:b/>
          <w:bCs/>
        </w:rPr>
        <w:t xml:space="preserve">A three-seed paired test.</w:t>
      </w:r>
      <w:r>
        <w:t xml:space="preserve"> </w:t>
      </w:r>
      <w:r>
        <w:t xml:space="preserve">Because both arms see the same materials, a paired McNemar test on per-structure outcomes, not overlapping Wilson intervals, decides whether two lattice sources differ. Every source was run at three seeds (n = 1 000 each), differing only in the lattice channel; with v22 every arm scores all 3 000 structure-seeds (the submitted v21 checkpoint sampled degenerate cells that hung</w:t>
      </w:r>
      <w:r>
        <w:t xml:space="preserve"> </w:t>
      </w:r>
      <w:r>
        <w:rPr>
          <w:rStyle w:val="VerbatimChar"/>
        </w:rPr>
        <w:t xml:space="preserve">StructureMatcher</w:t>
      </w:r>
      <w:r>
        <w:t xml:space="preserve">/</w:t>
      </w:r>
      <w:r>
        <w:rPr>
          <w:rStyle w:val="VerbatimChar"/>
        </w:rPr>
        <w:t xml:space="preserve">spglib</w:t>
      </w:r>
      <w:r>
        <w:t xml:space="preserve">, leaving 1 949 scorable learned-head rows). The indexer recovers</w:t>
      </w:r>
      <w:r>
        <w:t xml:space="preserve"> </w:t>
      </w:r>
      <w:r>
        <w:rPr>
          <w:b/>
          <w:bCs/>
        </w:rPr>
        <w:t xml:space="preserve">42</w:t>
      </w:r>
      <w:r>
        <w:t xml:space="preserve"> </w:t>
      </w:r>
      <w:r>
        <w:t xml:space="preserve">structures the learned head misses and the learned head recovers</w:t>
      </w:r>
      <w:r>
        <w:t xml:space="preserve"> </w:t>
      </w:r>
      <w:r>
        <w:rPr>
          <w:b/>
          <w:bCs/>
        </w:rPr>
        <w:t xml:space="preserve">52</w:t>
      </w:r>
      <w:r>
        <w:t xml:space="preserve"> </w:t>
      </w:r>
      <w:r>
        <w:t xml:space="preserve">the indexer misses (Table 2a).</w:t>
      </w:r>
    </w:p>
    <w:p>
      <w:pPr>
        <w:pStyle w:val="BodyText"/>
      </w:pPr>
      <w:r>
        <w:rPr>
          <w:b/>
          <w:bCs/>
        </w:rPr>
        <w:t xml:space="preserve">Table 2a.</w:t>
      </w:r>
      <w:r>
        <w:t xml:space="preserve"> </w:t>
      </w:r>
      <w:r>
        <w:t xml:space="preserve">Paired per-structure outcomes, learned head vs indexer control (v22,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6</w:t>
            </w:r>
          </w:p>
        </w:tc>
        <w:tc>
          <w:tcPr/>
          <w:p>
            <w:pPr>
              <w:pStyle w:val="Compact"/>
            </w:pPr>
            <w:r>
              <w:t xml:space="preserve">52</w:t>
            </w:r>
          </w:p>
        </w:tc>
        <w:tc>
          <w:tcPr/>
          <w:p>
            <w:pPr>
              <w:pStyle w:val="Compact"/>
            </w:pPr>
            <w:r>
              <w:t xml:space="preserve">58</w:t>
            </w:r>
          </w:p>
        </w:tc>
      </w:tr>
      <w:tr>
        <w:tc>
          <w:tcPr/>
          <w:p>
            <w:pPr>
              <w:pStyle w:val="Compact"/>
            </w:pPr>
            <w:r>
              <w:rPr>
                <w:b/>
                <w:bCs/>
              </w:rPr>
              <w:t xml:space="preserve">learned miss</w:t>
            </w:r>
          </w:p>
        </w:tc>
        <w:tc>
          <w:tcPr/>
          <w:p>
            <w:pPr>
              <w:pStyle w:val="Compact"/>
            </w:pPr>
            <w:r>
              <w:t xml:space="preserve">42</w:t>
            </w:r>
          </w:p>
        </w:tc>
        <w:tc>
          <w:tcPr/>
          <w:p>
            <w:pPr>
              <w:pStyle w:val="Compact"/>
            </w:pPr>
            <w:r>
              <w:t xml:space="preserve">2 900</w:t>
            </w:r>
          </w:p>
        </w:tc>
        <w:tc>
          <w:tcPr/>
          <w:p>
            <w:pPr>
              <w:pStyle w:val="Compact"/>
            </w:pPr>
            <w:r>
              <w:t xml:space="preserve">2 942</w:t>
            </w:r>
          </w:p>
        </w:tc>
      </w:tr>
      <w:tr>
        <w:tc>
          <w:tcPr/>
          <w:p>
            <w:pPr>
              <w:pStyle w:val="Compact"/>
            </w:pPr>
            <w:r>
              <w:rPr>
                <w:b/>
                <w:bCs/>
              </w:rPr>
              <w:t xml:space="preserve">col total</w:t>
            </w:r>
          </w:p>
        </w:tc>
        <w:tc>
          <w:tcPr/>
          <w:p>
            <w:pPr>
              <w:pStyle w:val="Compact"/>
            </w:pPr>
            <w:r>
              <w:t xml:space="preserve">48</w:t>
            </w:r>
          </w:p>
        </w:tc>
        <w:tc>
          <w:tcPr/>
          <w:p>
            <w:pPr>
              <w:pStyle w:val="Compact"/>
            </w:pPr>
            <w:r>
              <w:t xml:space="preserve">2 952</w:t>
            </w:r>
          </w:p>
        </w:tc>
        <w:tc>
          <w:tcPr/>
          <w:p>
            <w:pPr>
              <w:pStyle w:val="Compact"/>
            </w:pPr>
            <w:r>
              <w:t xml:space="preserve">3 000</w:t>
            </w:r>
          </w:p>
        </w:tc>
      </w:tr>
    </w:tbl>
    <w:p>
      <w:pPr>
        <w:pStyle w:val="BodyText"/>
      </w:pPr>
      <w:r>
        <w:t xml:space="preserve">The discordant cells are</w:t>
      </w:r>
      <w:r>
        <w:t xml:space="preserve"> </w:t>
      </w:r>
      <w:r>
        <w:rPr>
          <w:i/>
          <w:iCs/>
        </w:rPr>
        <w:t xml:space="preserve">b</w:t>
      </w:r>
      <w:r>
        <w:t xml:space="preserve"> </w:t>
      </w:r>
      <w:r>
        <w:t xml:space="preserve">= 42 (indexer fixes),</w:t>
      </w:r>
      <w:r>
        <w:t xml:space="preserve"> </w:t>
      </w:r>
      <w:r>
        <w:rPr>
          <w:i/>
          <w:iCs/>
        </w:rPr>
        <w:t xml:space="preserve">c</w:t>
      </w:r>
      <w:r>
        <w:t xml:space="preserve"> </w:t>
      </w:r>
      <w:r>
        <w:t xml:space="preserve">= 52 (indexer breaks); a two-sided McNemar test gives</w:t>
      </w:r>
      <w:r>
        <w:t xml:space="preserve"> </w:t>
      </w:r>
      <w:r>
        <w:rPr>
          <w:b/>
          <w:bCs/>
        </w:rPr>
        <w:t xml:space="preserve">p = 0.35</w:t>
      </w:r>
      <w:r>
        <w:t xml:space="preserve">: the two lattice sources tie on match rate. The submitted version reported the opposite: with v21 the learned head matched 0 of 1 949 scored structure-seeds against the indexer’s 46 of 2 883, 27 fixed and none broken (p = 1.5 × 10⁻⁸). That lead was a property of the defective checkpoint (§3.4): paired on the same seeds, the retrain gains 32 learned-head structures and loses none (p = 4.7 × 10⁻¹⁰), while the indexer arm moves by 12 gained and 10 lost (p = 0.83). The claim that the control improves on the learned head is withdrawn as a general statement. What survives is the per-system pattern: the indexer still fixes hexagonal (16 fixed, 0 broken) and tetragonal (7, 2) structures, the systems where its cell error sits below the 0.5 Å knee (§5.5), but the corrected learned head wins the cubic cases (18 fixed, 47 broken; learned 52 / 714, indexer 23 / 714, oracle 96 / 714). The indexer’s cells remain far closer to the truth where the match rates tie (pattern Pearson 0.41 against 0.18; RMSD median 0.035 against 0.232 Å), so in the cubic cases the match rate saturates on coordinate decoding rather than on the cell. On the stricter all-correct metric the indexer fixes 6 and breaks 0 (p = 0.03).</w:t>
      </w:r>
    </w:p>
    <w:p>
      <w:pPr>
        <w:pStyle w:val="BodyText"/>
      </w:pPr>
      <w:r>
        <w:t xml:space="preserve">What neither lattice source does is close the gap to the oracle:</w:t>
      </w:r>
      <w:r>
        <w:t xml:space="preserve"> </w:t>
      </w:r>
      <w:r>
        <w:rPr>
          <w:b/>
          <w:bCs/>
        </w:rPr>
        <w:t xml:space="preserve">5.5 % [4.7, 6.4]</w:t>
      </w:r>
      <w:r>
        <w:t xml:space="preserve"> </w:t>
      </w:r>
      <w:r>
        <w:t xml:space="preserve">at three seeds (165 / 3 000; 4.5 % [3.8, 5.3] with the submitted checkpoint, unpaired p = 0.08). Paired against the learned head it fixes 134 structures and breaks 27 (p = 3 × 10⁻¹⁸), and against the indexer the interval is disjoint. This is the effect that replicates across checkpoints and seeds: even with a perfect lattice, match caps at 5.5 %, so coordinate prediction is the dominant limiter while lattice error explains the 1.9 → 5.5 %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a) Strict indexing rate with the crystal system given (blue) and with the system unknown (orange; acceptance rule of §3.5), and the consistent rate with the system given (light blue), on n = 1 000; dashed line, overall strict rate given / unknown. (b) Length MAE with the system given. High-symmetry systems (hex, ortho) sit below the 0.5 Å knee; trig and mono blow up; triclinic is unindexable in this implementation. Removing the crystal system costs a few points in every system except monoclinic and never changes the regime. The overall 1.45 Å MAE hides two regimes, and explains why the indexer’s paired gains over the learned head (§5.2) are confined to the hexagonal and tetragonal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(a) Strict indexing rate with the crystal system given (blue) and with the system unknown (orange; acceptance rule of §3.5), and the consistent rate with the system given (light blue), on n = 1 000; dashed line, overall strict rate given / unknown. (b) Length MAE with the system given. High-symmetry systems (hex, ortho) sit below the 0.5 Å knee; trig and mono blow up; triclinic is unindexable in this implementation. Removing the crystal system costs a few points in every system except monoclinic and never changes the regime. The overall 1.45 Å MAE hides two regimes, and explains why the indexer’s paired gains over the learned head (§5.2) are confined to the hexagonal and tetragonal systems.</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 The first PXRD-Diff row is the learned head, which receives the pattern and composition only, the same information as the external models; the second is the classical-indexer control, which is additionally supplied with the true crystal system. Both are the v22 checkpoint at three seeds (§5.2). The rows set the scale of the diagnostic model and are not a competitiveness claim.</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(v22, learned head; three seeds pooled)</w:t>
            </w:r>
          </w:p>
        </w:tc>
        <w:tc>
          <w:tcPr/>
          <w:p>
            <w:pPr>
              <w:pStyle w:val="Compact"/>
            </w:pPr>
            <w:r>
              <w:t xml:space="preserve">3 000</w:t>
            </w:r>
          </w:p>
        </w:tc>
        <w:tc>
          <w:tcPr/>
          <w:p>
            <w:pPr>
              <w:pStyle w:val="Compact"/>
            </w:pPr>
            <w:r>
              <w:t xml:space="preserve">1.9 [1.5, 2.5]</w:t>
            </w:r>
          </w:p>
        </w:tc>
        <w:tc>
          <w:tcPr/>
          <w:p>
            <w:pPr>
              <w:pStyle w:val="Compact"/>
            </w:pPr>
            <w:r>
              <w:t xml:space="preserve">0.0 [0.0, 0.1]</w:t>
            </w:r>
          </w:p>
        </w:tc>
        <w:tc>
          <w:tcPr/>
          <w:p>
            <w:pPr>
              <w:pStyle w:val="Compact"/>
            </w:pPr>
            <w:r>
              <w:t xml:space="preserve">1.4</w:t>
            </w:r>
          </w:p>
        </w:tc>
        <w:tc>
          <w:tcPr/>
          <w:p>
            <w:pPr>
              <w:pStyle w:val="Compact"/>
            </w:pPr>
            <w:r>
              <w:t xml:space="preserve">0.232</w:t>
            </w:r>
          </w:p>
        </w:tc>
      </w:tr>
      <w:tr>
        <w:tc>
          <w:tcPr/>
          <w:p>
            <w:pPr>
              <w:pStyle w:val="Compact"/>
            </w:pPr>
            <w:r>
              <w:t xml:space="preserve">PXRD-Diff + indexer control, crystal system given (v22; three seeds pooled)</w:t>
            </w:r>
          </w:p>
        </w:tc>
        <w:tc>
          <w:tcPr/>
          <w:p>
            <w:pPr>
              <w:pStyle w:val="Compact"/>
            </w:pPr>
            <w:r>
              <w:t xml:space="preserve">3 000</w:t>
            </w:r>
          </w:p>
        </w:tc>
        <w:tc>
          <w:tcPr/>
          <w:p>
            <w:pPr>
              <w:pStyle w:val="Compact"/>
            </w:pPr>
            <w:r>
              <w:t xml:space="preserve">1.6 [1.2, 2.1]</w:t>
            </w:r>
          </w:p>
        </w:tc>
        <w:tc>
          <w:tcPr/>
          <w:p>
            <w:pPr>
              <w:pStyle w:val="Compact"/>
            </w:pPr>
            <w:r>
              <w:t xml:space="preserve">0.2 [0.1, 0.4]</w:t>
            </w:r>
          </w:p>
        </w:tc>
        <w:tc>
          <w:tcPr/>
          <w:p>
            <w:pPr>
              <w:pStyle w:val="Compact"/>
            </w:pPr>
            <w:r>
              <w:t xml:space="preserve">0.3</w:t>
            </w:r>
          </w:p>
        </w:tc>
        <w:tc>
          <w:tcPr/>
          <w:p>
            <w:pPr>
              <w:pStyle w:val="Compact"/>
            </w:pPr>
            <w:r>
              <w:t xml:space="preserve">0.035</w:t>
            </w:r>
          </w:p>
        </w:tc>
      </w:tr>
      <w:tr>
        <w:tc>
          <w:tcPr/>
          <w:p>
            <w:pPr>
              <w:pStyle w:val="Compact"/>
            </w:pPr>
            <w:r>
              <w:t xml:space="preserve">DiffractGPT (Choudhary, 2025)</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its all-correct nearly equals its match, the same CIF-token signature seen in DGpt. PXRDnet’s lead over DGpt is consistent with its 35 k-op latent optimisation, whereas DGpt is one forward pass. PXRD-Diff, at 1.9 %, sits an order of magnitude below all three, as expected for a 3.7 M-parameter diagnostic model. The</w:t>
      </w:r>
      <w:r>
        <w:t xml:space="preserve"> </w:t>
      </w:r>
      <w:r>
        <w:rPr>
          <w:i/>
          <w:iCs/>
        </w:rPr>
        <w:t xml:space="preserve">all-correct</w:t>
      </w:r>
      <w:r>
        <w:t xml:space="preserve"> </w:t>
      </w:r>
      <w:r>
        <w:t xml:space="preserve">ordering need not follow match rate: DGpt’s all-correct (15.9 % [13.8, 18.3]) sits close to its match,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confirming the reversal would require n ≈ 100–200. §6 says why it would matter.</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What the gap does and does not reflect.</w:t>
      </w:r>
      <w:r>
        <w:t xml:space="preserve"> </w:t>
      </w:r>
      <w:r>
        <w:t xml:space="preserve">All four systems are given the composition (§3.1). The learned-head row of PXRD-Diff receives nothing else; the indexer-control row additionally gives its indexer the true crystal system (§3.5), so on prior information that row is favoured. On the pattern itself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external models do not win by seeing more of the pattern. The differences that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Table 3 shows the expected gap between a deliberately small diagnostic model and production-scale systems; it sets the scale and does not rank PXRD-Diff among them (§6).</w:t>
      </w:r>
    </w:p>
    <w:bookmarkStart w:id="37" w:name="fig:threeway"/>
    <w:p>
      <w:pPr>
        <w:pStyle w:val="CaptionedFigure"/>
      </w:pPr>
      <w:r>
        <w:drawing>
          <wp:inline>
            <wp:extent cx="5334000" cy="2210966"/>
            <wp:effectExtent b="0" l="0" r="0" t="0"/>
            <wp:docPr descr="Figure 4. Three-way headline comparison. Match rate, all-correct, and pattern-Pearson on the same MP-20 test materials scored through our StructureMatcher harness, with 95 % Wilson CIs. PXRD-Diff is the corrected v22 checkpoint with its learned lattice head, no prior beyond composition, three seeds pooled (n = 3 × 1 000); its indexer control reaches 1.6 % and its true-lattice oracle 5.5 % (§5.2). It sits an order of magnitude below the external systems on match rate and above them on per-pattern Pearson (0.18 against 0.02 and 0.16).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is the corrected v22 checkpoint with its learned lattice head, no prior beyond composition, three seeds pooled (n = 3 × 1 000); its indexer control reaches 1.6 % and its true-lattice oracle 5.5 % (§5.2). It sits an order of magnitude below the external systems on match rate and above them on per-pattern Pearson (0.18 against 0.02 and 0.16).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PXRDnet’s n = 20 intervals (roughly ±20 pp) and the preprocessing differences between the three pipelines (identical material_ids, pattern inputs not bit-identical) are bounded in §7.</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(2026), who show the powder-XRD similarity loss landscape is too non-convex for direct gradient descent.</w:t>
      </w:r>
    </w:p>
    <w:p>
      <w:pPr>
        <w:pStyle w:val="BodyText"/>
      </w:pPr>
      <w:r>
        <w:rPr>
          <w:b/>
          <w:bCs/>
        </w:rPr>
        <w:t xml:space="preserve">Wyckoff-letter embeddings (v15, n = 1 000).</w:t>
      </w:r>
      <w:r>
        <w:t xml:space="preserve"> </w:t>
      </w:r>
      <w:r>
        <w:t xml:space="preserve">Each atom received an</w:t>
      </w:r>
      <w:r>
        <w:t xml:space="preserve"> </w:t>
      </w:r>
      <w:r>
        <w:rPr>
          <w:rStyle w:val="VerbatimChar"/>
        </w:rPr>
        <w:t xml:space="preserve">nn.Embedding(27, 256)</w:t>
      </w:r>
      <w:r>
        <w:t xml:space="preserve"> </w:t>
      </w:r>
      <w:r>
        <w:t xml:space="preserve">token for its</w:t>
      </w:r>
      <w:r>
        <w:t xml:space="preserve"> </w:t>
      </w:r>
      <w:r>
        <w:rPr>
          <w:rStyle w:val="VerbatimChar"/>
        </w:rPr>
        <w:t xml:space="preserve">spglib</w:t>
      </w:r>
      <w:r>
        <w:t xml:space="preserve">-assigned Wyckoff letter. A Wyckoff letter is meaningful only within a given space group: the same letter denotes different multiplicities, site symmetries and coordinate constraints in different groups (Dauter &amp; Jaskolski, 2010; de la Flor</w:t>
      </w:r>
      <w:r>
        <w:t xml:space="preserve"> </w:t>
      </w:r>
      <w:r>
        <w:rPr>
          <w:i/>
          <w:iCs/>
        </w:rPr>
        <w:t xml:space="preserve">et al.</w:t>
      </w:r>
      <w:r>
        <w:t xml:space="preserve">, 2023), so the embedding carried a label, not a constraint, and nothing in the loss or the sampler enforced the fixed or symmetry-related coordinates a Wyckoff position implies. The embedding learns (5 404 of 6 912 entries non-zero), but match drops from 2.5 % to 2.1 % and lattice prediction destabilises (lattice loss ~0.6 vs ~0.02; Figure 5), presumably because the inflated atom-feature norm shifts the lattice-pool input distribution. The negative result is narrow: a space-group-agnostic label token does not help and may hurt training dynamics; whether symmetry imposed as a constraint, on the coordinates or on the space group, would help was not tested.</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lattice-perturbation-study"/>
    <w:p>
      <w:pPr>
        <w:pStyle w:val="Heading2"/>
      </w:pPr>
      <w:r>
        <w:t xml:space="preserve">5.5 Lattice-perturbation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lattice head delivers crystal-system and relative-spacing structure but not absolute d-spacings at the &lt;0.5 Å precision the knee demands; §5.6 shows that giving the head the peak positions does not repair this.</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per-system indexer gains are</w:t>
      </w:r>
      <w:r>
        <w:t xml:space="preserve"> </w:t>
      </w:r>
      <w:r>
        <w:rPr>
          <w:i/>
          <w:iCs/>
        </w:rPr>
        <w:t xml:space="preserve">predictable</w:t>
      </w:r>
      <w:r>
        <w:t xml:space="preserve">: they occur where the cell error is below the knee.</w:t>
      </w:r>
    </w:p>
    <w:bookmarkEnd w:id="44"/>
    <w:bookmarkStart w:id="45" w:name="X57009b34a40e3731f8839f16dc9a7e37dbb44bd"/>
    <w:p>
      <w:pPr>
        <w:pStyle w:val="Heading2"/>
      </w:pPr>
      <w:r>
        <w:t xml:space="preserve">5.6 Why the learned lattice fails: neither the head nor the pooling repairs the scale</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No head reading</w:t>
      </w:r>
      <w:r>
        <w:t xml:space="preserve"> </w:t>
      </w:r>
      <m:oMath>
        <m:r>
          <m:rPr>
            <m:sty m:val="bi"/>
          </m:rPr>
          <m:t>g</m:t>
        </m:r>
      </m:oMath>
      <w:r>
        <w:t xml:space="preserve"> </w:t>
      </w:r>
      <w:r>
        <w:t xml:space="preserve">recovers the absolute scale. The submitted version read this as a property of the</w:t>
      </w:r>
      <w:r>
        <w:t xml:space="preserve"> </w:t>
      </w:r>
      <w:r>
        <w:rPr>
          <w:i/>
          <w:iCs/>
        </w:rPr>
        <w:t xml:space="preserve">pooled global encoding</w:t>
      </w:r>
      <w:r>
        <w:t xml:space="preserve">, on the grounds that the</w:t>
      </w:r>
      <w:r>
        <w:t xml:space="preserve"> </w:t>
      </w:r>
      <w:r>
        <w:rPr>
          <w:rStyle w:val="VerbatimChar"/>
        </w:rPr>
        <w:t xml:space="preserve">AdaptiveAvgPool1d(1)</w:t>
      </w:r>
      <w:r>
        <w:t xml:space="preserve"> </w:t>
      </w:r>
      <w:r>
        <w:t xml:space="preserve">collapse §3.2 identified for coordinates would also discard the peak-position fidelity Bragg’s-law decoding needs; the controlled ablation below tests that reading and does not support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autoindexer succeeds where every learned head fails because it assigns Miller indices to peak</w:t>
      </w:r>
      <w:r>
        <w:t xml:space="preserve"> </w:t>
      </w:r>
      <w:r>
        <w:rPr>
          <w:i/>
          <w:iCs/>
        </w:rPr>
        <w:t xml:space="preserve">positions</w:t>
      </w:r>
      <w:r>
        <w:t xml:space="preserve"> </w:t>
      </w:r>
      <w:r>
        <w:t xml:space="preserve">by explicit search rather than regressing six numbers from a summary, which is why its paired gains in §5.2 lie in the high-symmetry systems where peak positions over-determine the cell, and why head-side fixes (Phase 5 here, top-K rerank in §5.4) cannot substitute for it. The ablation below asks whether it is the summary, rather than the regression, that fails.</w:t>
      </w:r>
    </w:p>
    <w:p>
      <w:pPr>
        <w:pStyle w:val="BodyText"/>
      </w:pPr>
      <w:r>
        <w:rPr>
          <w:b/>
          <w:bCs/>
        </w:rPr>
        <w:t xml:space="preserve">Controlled pooling ablation.</w:t>
      </w:r>
      <w:r>
        <w:t xml:space="preserve"> </w:t>
      </w:r>
      <w:r>
        <w:t xml:space="preserve">The two experiments above vary the head and its supervision with the encoder fixed; they do not by themselves isolate global average pooling as the cause, since the encoder, the information content of its representation, the head parameterisation and optimisation difficulty remain confounded, as one referee noted. To separate them, a controlled ablation holds the encoder, the denoiser, the training objective and the schedule fixed and changes only how the auxiliary head reads the encoder: (i) the global average pool</w:t>
      </w:r>
      <w:r>
        <w:t xml:space="preserve"> </w:t>
      </w:r>
      <m:oMath>
        <m:r>
          <m:rPr>
            <m:sty m:val="bi"/>
          </m:rPr>
          <m:t>g</m:t>
        </m:r>
      </m:oMath>
      <w:r>
        <w:t xml:space="preserve"> </w:t>
      </w:r>
      <w:r>
        <w:t xml:space="preserve">of the submitted version; (ii) a position-aware pooling that retains the 2θ coordinate of each feature; (iii) explicit peak-position features extracted from the input pattern and concatenated to</w:t>
      </w:r>
      <w:r>
        <w:t xml:space="preserve"> </w:t>
      </w:r>
      <m:oMath>
        <m:r>
          <m:rPr>
            <m:sty m:val="bi"/>
          </m:rPr>
          <m:t>g</m:t>
        </m:r>
      </m:oMath>
      <w:r>
        <w:t xml:space="preserve">. If absolute d-spacings are lost at the pooling stage, variants (ii) and (iii) should reduce the ~1.1 Å length error while (i) does not. Table 4 gives the result on both encoders.</w:t>
      </w:r>
    </w:p>
    <w:p>
      <w:pPr>
        <w:pStyle w:val="BodyText"/>
      </w:pPr>
      <w:r>
        <w:rPr>
          <w:b/>
          <w:bCs/>
        </w:rPr>
        <w:t xml:space="preserve">Table 4.</w:t>
      </w:r>
      <w:r>
        <w:t xml:space="preserve"> </w:t>
      </w:r>
      <w:r>
        <w:t xml:space="preserve">Controlled pooling ablation (n = 1 000 MP-20 test). Three heads trained under an identical loss, AdamW 10⁻³, batch 64, sigmoid-bounded outputs, on a frozen encoder: the submitted v21 encoder at three epochs and the retrained v22 encoder (§5.2) at ten. Length and angle MAE are means over (a, b, c) and (α, β, γ);</w:t>
      </w:r>
      <w:r>
        <w:t xml:space="preserve"> </w:t>
      </w:r>
      <w:r>
        <w:t xml:space="preserve">“&lt; 0.5 Å”</w:t>
      </w:r>
      <w:r>
        <w:t xml:space="preserve"> </w:t>
      </w:r>
      <w:r>
        <w:t xml:space="preserve">is the fraction of structures whose mean length error lies below the knee of §5.5; the last column substitutes the head’s cells into the sampler at three seeds (n = 3 000 structure-seeds; the full pipeline reaches 1.9 % and the indexer 1.6 %, Table 2). The checkpoint rows are the head trained jointly for 100 k steps, without retraining.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Head</w:t>
            </w:r>
          </w:p>
        </w:tc>
        <w:tc>
          <w:tcPr/>
          <w:p>
            <w:pPr>
              <w:pStyle w:val="Compact"/>
            </w:pPr>
            <w:r>
              <w:t xml:space="preserve">Params</w:t>
            </w:r>
          </w:p>
        </w:tc>
        <w:tc>
          <w:tcPr/>
          <w:p>
            <w:pPr>
              <w:pStyle w:val="Compact"/>
            </w:pPr>
            <w:r>
              <w:t xml:space="preserve">Encoder, epochs</w:t>
            </w:r>
          </w:p>
        </w:tc>
        <w:tc>
          <w:tcPr/>
          <w:p>
            <w:pPr>
              <w:pStyle w:val="Compact"/>
            </w:pPr>
            <w:r>
              <w:t xml:space="preserve">Length MAE / Å</w:t>
            </w:r>
          </w:p>
        </w:tc>
        <w:tc>
          <w:tcPr/>
          <w:p>
            <w:pPr>
              <w:pStyle w:val="Compact"/>
            </w:pPr>
            <w:r>
              <w:t xml:space="preserve">Angle MAE / °</w:t>
            </w:r>
          </w:p>
        </w:tc>
        <w:tc>
          <w:tcPr/>
          <w:p>
            <w:pPr>
              <w:pStyle w:val="Compact"/>
            </w:pPr>
            <w:r>
              <w:t xml:space="preserve">Median length error / Å</w:t>
            </w:r>
          </w:p>
        </w:tc>
        <w:tc>
          <w:tcPr/>
          <w:p>
            <w:pPr>
              <w:pStyle w:val="Compact"/>
            </w:pPr>
            <w:r>
              <w:t xml:space="preserve">&lt; 0.5 Å</w:t>
            </w:r>
          </w:p>
        </w:tc>
        <w:tc>
          <w:tcPr/>
          <w:p>
            <w:pPr>
              <w:pStyle w:val="Compact"/>
            </w:pPr>
            <w:r>
              <w:t xml:space="preserve">End-to-end match % [95 % CI]</w:t>
            </w:r>
          </w:p>
        </w:tc>
      </w:tr>
      <w:tr>
        <w:tc>
          <w:tcPr/>
          <w:p>
            <w:pPr>
              <w:pStyle w:val="Compact"/>
            </w:pPr>
            <w:r>
              <w:t xml:space="preserve">Checkpoint aux head</w:t>
            </w:r>
          </w:p>
        </w:tc>
        <w:tc>
          <w:tcPr/>
          <w:p>
            <w:pPr>
              <w:pStyle w:val="Compact"/>
            </w:pPr>
            <w:r>
              <w:t xml:space="preserve">–</w:t>
            </w:r>
          </w:p>
        </w:tc>
        <w:tc>
          <w:tcPr/>
          <w:p>
            <w:pPr>
              <w:pStyle w:val="Compact"/>
            </w:pPr>
            <w:r>
              <w:t xml:space="preserve">v21, –</w:t>
            </w:r>
          </w:p>
        </w:tc>
        <w:tc>
          <w:tcPr/>
          <w:p>
            <w:pPr>
              <w:pStyle w:val="Compact"/>
            </w:pPr>
            <w:r>
              <w:t xml:space="preserve">1.32</w:t>
            </w:r>
          </w:p>
        </w:tc>
        <w:tc>
          <w:tcPr/>
          <w:p>
            <w:pPr>
              <w:pStyle w:val="Compact"/>
            </w:pPr>
            <w:r>
              <w:t xml:space="preserve">15.6</w:t>
            </w:r>
          </w:p>
        </w:tc>
        <w:tc>
          <w:tcPr/>
          <w:p>
            <w:pPr>
              <w:pStyle w:val="Compact"/>
            </w:pPr>
            <w:r>
              <w:t xml:space="preserve">0.90</w:t>
            </w:r>
          </w:p>
        </w:tc>
        <w:tc>
          <w:tcPr/>
          <w:p>
            <w:pPr>
              <w:pStyle w:val="Compact"/>
            </w:pPr>
            <w:r>
              <w:t xml:space="preserve">0.33</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v21, 3</w:t>
            </w:r>
          </w:p>
        </w:tc>
        <w:tc>
          <w:tcPr/>
          <w:p>
            <w:pPr>
              <w:pStyle w:val="Compact"/>
            </w:pPr>
            <w:r>
              <w:t xml:space="preserve">1.29</w:t>
            </w:r>
          </w:p>
        </w:tc>
        <w:tc>
          <w:tcPr/>
          <w:p>
            <w:pPr>
              <w:pStyle w:val="Compact"/>
            </w:pPr>
            <w:r>
              <w:t xml:space="preserve">16.0</w:t>
            </w:r>
          </w:p>
        </w:tc>
        <w:tc>
          <w:tcPr/>
          <w:p>
            <w:pPr>
              <w:pStyle w:val="Compact"/>
            </w:pPr>
            <w:r>
              <w:t xml:space="preserve">0.87</w:t>
            </w:r>
          </w:p>
        </w:tc>
        <w:tc>
          <w:tcPr/>
          <w:p>
            <w:pPr>
              <w:pStyle w:val="Compact"/>
            </w:pPr>
            <w:r>
              <w:t xml:space="preserve">0.29</w:t>
            </w:r>
          </w:p>
        </w:tc>
        <w:tc>
          <w:tcPr/>
          <w:p>
            <w:pPr>
              <w:pStyle w:val="Compact"/>
            </w:pPr>
            <w:r>
              <w:t xml:space="preserve">–</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v21, 3</w:t>
            </w:r>
          </w:p>
        </w:tc>
        <w:tc>
          <w:tcPr/>
          <w:p>
            <w:pPr>
              <w:pStyle w:val="Compact"/>
            </w:pPr>
            <w:r>
              <w:t xml:space="preserve">1.31</w:t>
            </w:r>
          </w:p>
        </w:tc>
        <w:tc>
          <w:tcPr/>
          <w:p>
            <w:pPr>
              <w:pStyle w:val="Compact"/>
            </w:pPr>
            <w:r>
              <w:t xml:space="preserve">16.4</w:t>
            </w:r>
          </w:p>
        </w:tc>
        <w:tc>
          <w:tcPr/>
          <w:p>
            <w:pPr>
              <w:pStyle w:val="Compact"/>
            </w:pPr>
            <w:r>
              <w:t xml:space="preserve">0.94</w:t>
            </w:r>
          </w:p>
        </w:tc>
        <w:tc>
          <w:tcPr/>
          <w:p>
            <w:pPr>
              <w:pStyle w:val="Compact"/>
            </w:pPr>
            <w:r>
              <w:t xml:space="preserve">0.24</w:t>
            </w:r>
          </w:p>
        </w:tc>
        <w:tc>
          <w:tcPr/>
          <w:p>
            <w:pPr>
              <w:pStyle w:val="Compact"/>
            </w:pPr>
            <w:r>
              <w:t xml:space="preserve">–</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v21, 3</w:t>
            </w:r>
          </w:p>
        </w:tc>
        <w:tc>
          <w:tcPr/>
          <w:p>
            <w:pPr>
              <w:pStyle w:val="Compact"/>
            </w:pPr>
            <w:r>
              <w:t xml:space="preserve">1.28</w:t>
            </w:r>
          </w:p>
        </w:tc>
        <w:tc>
          <w:tcPr/>
          <w:p>
            <w:pPr>
              <w:pStyle w:val="Compact"/>
            </w:pPr>
            <w:r>
              <w:t xml:space="preserve">16.1</w:t>
            </w:r>
          </w:p>
        </w:tc>
        <w:tc>
          <w:tcPr/>
          <w:p>
            <w:pPr>
              <w:pStyle w:val="Compact"/>
            </w:pPr>
            <w:r>
              <w:t xml:space="preserve">0.88</w:t>
            </w:r>
          </w:p>
        </w:tc>
        <w:tc>
          <w:tcPr/>
          <w:p>
            <w:pPr>
              <w:pStyle w:val="Compact"/>
            </w:pPr>
            <w:r>
              <w:t xml:space="preserve">0.28</w:t>
            </w:r>
          </w:p>
        </w:tc>
        <w:tc>
          <w:tcPr/>
          <w:p>
            <w:pPr>
              <w:pStyle w:val="Compact"/>
            </w:pPr>
            <w:r>
              <w:t xml:space="preserve">–</w:t>
            </w:r>
          </w:p>
        </w:tc>
      </w:tr>
      <w:tr>
        <w:tc>
          <w:tcPr/>
          <w:p>
            <w:pPr>
              <w:pStyle w:val="Compact"/>
            </w:pPr>
            <w:r>
              <w:t xml:space="preserve">Checkpoint aux head</w:t>
            </w:r>
          </w:p>
        </w:tc>
        <w:tc>
          <w:tcPr/>
          <w:p>
            <w:pPr>
              <w:pStyle w:val="Compact"/>
            </w:pPr>
            <w:r>
              <w:t xml:space="preserve">–</w:t>
            </w:r>
          </w:p>
        </w:tc>
        <w:tc>
          <w:tcPr/>
          <w:p>
            <w:pPr>
              <w:pStyle w:val="Compact"/>
            </w:pPr>
            <w:r>
              <w:t xml:space="preserve">v22, –</w:t>
            </w:r>
          </w:p>
        </w:tc>
        <w:tc>
          <w:tcPr/>
          <w:p>
            <w:pPr>
              <w:pStyle w:val="Compact"/>
            </w:pPr>
            <w:r>
              <w:t xml:space="preserve">1.28</w:t>
            </w:r>
          </w:p>
        </w:tc>
        <w:tc>
          <w:tcPr/>
          <w:p>
            <w:pPr>
              <w:pStyle w:val="Compact"/>
            </w:pPr>
            <w:r>
              <w:t xml:space="preserve">15.0</w:t>
            </w:r>
          </w:p>
        </w:tc>
        <w:tc>
          <w:tcPr/>
          <w:p>
            <w:pPr>
              <w:pStyle w:val="Compact"/>
            </w:pPr>
            <w:r>
              <w:t xml:space="preserve">0.90</w:t>
            </w:r>
          </w:p>
        </w:tc>
        <w:tc>
          <w:tcPr/>
          <w:p>
            <w:pPr>
              <w:pStyle w:val="Compact"/>
            </w:pPr>
            <w:r>
              <w:t xml:space="preserve">0.31</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v22, 10</w:t>
            </w:r>
          </w:p>
        </w:tc>
        <w:tc>
          <w:tcPr/>
          <w:p>
            <w:pPr>
              <w:pStyle w:val="Compact"/>
            </w:pPr>
            <w:r>
              <w:t xml:space="preserve">1.29</w:t>
            </w:r>
          </w:p>
        </w:tc>
        <w:tc>
          <w:tcPr/>
          <w:p>
            <w:pPr>
              <w:pStyle w:val="Compact"/>
            </w:pPr>
            <w:r>
              <w:t xml:space="preserve">15.5</w:t>
            </w:r>
          </w:p>
        </w:tc>
        <w:tc>
          <w:tcPr/>
          <w:p>
            <w:pPr>
              <w:pStyle w:val="Compact"/>
            </w:pPr>
            <w:r>
              <w:t xml:space="preserve">0.91</w:t>
            </w:r>
          </w:p>
        </w:tc>
        <w:tc>
          <w:tcPr/>
          <w:p>
            <w:pPr>
              <w:pStyle w:val="Compact"/>
            </w:pPr>
            <w:r>
              <w:t xml:space="preserve">0.28</w:t>
            </w:r>
          </w:p>
        </w:tc>
        <w:tc>
          <w:tcPr/>
          <w:p>
            <w:pPr>
              <w:pStyle w:val="Compact"/>
            </w:pPr>
            <w:r>
              <w:t xml:space="preserve">0.7 [0.5, 1.1]</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10</w:t>
            </w:r>
          </w:p>
        </w:tc>
        <w:tc>
          <w:tcPr/>
          <w:p>
            <w:pPr>
              <w:pStyle w:val="Compact"/>
            </w:pPr>
            <w:r>
              <w:t xml:space="preserve">1.21</w:t>
            </w:r>
          </w:p>
        </w:tc>
        <w:tc>
          <w:tcPr/>
          <w:p>
            <w:pPr>
              <w:pStyle w:val="Compact"/>
            </w:pPr>
            <w:r>
              <w:t xml:space="preserve">15.4</w:t>
            </w:r>
          </w:p>
        </w:tc>
        <w:tc>
          <w:tcPr/>
          <w:p>
            <w:pPr>
              <w:pStyle w:val="Compact"/>
            </w:pPr>
            <w:r>
              <w:t xml:space="preserve">0.88</w:t>
            </w:r>
          </w:p>
        </w:tc>
        <w:tc>
          <w:tcPr/>
          <w:p>
            <w:pPr>
              <w:pStyle w:val="Compact"/>
            </w:pPr>
            <w:r>
              <w:t xml:space="preserve">0.29</w:t>
            </w:r>
          </w:p>
        </w:tc>
        <w:tc>
          <w:tcPr/>
          <w:p>
            <w:pPr>
              <w:pStyle w:val="Compact"/>
            </w:pPr>
            <w:r>
              <w:t xml:space="preserve">0.5 [0.3, 0.9]</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30</w:t>
            </w:r>
          </w:p>
        </w:tc>
        <w:tc>
          <w:tcPr/>
          <w:p>
            <w:pPr>
              <w:pStyle w:val="Compact"/>
            </w:pPr>
            <w:r>
              <w:t xml:space="preserve">1.12</w:t>
            </w:r>
          </w:p>
        </w:tc>
        <w:tc>
          <w:tcPr/>
          <w:p>
            <w:pPr>
              <w:pStyle w:val="Compact"/>
            </w:pPr>
            <w:r>
              <w:t xml:space="preserve">14.6</w:t>
            </w:r>
          </w:p>
        </w:tc>
        <w:tc>
          <w:tcPr/>
          <w:p>
            <w:pPr>
              <w:pStyle w:val="Compact"/>
            </w:pPr>
            <w:r>
              <w:t xml:space="preserve">0.75</w:t>
            </w:r>
          </w:p>
        </w:tc>
        <w:tc>
          <w:tcPr/>
          <w:p>
            <w:pPr>
              <w:pStyle w:val="Compact"/>
            </w:pPr>
            <w:r>
              <w:t xml:space="preserve">0.36</w:t>
            </w:r>
          </w:p>
        </w:tc>
        <w:tc>
          <w:tcPr/>
          <w:p>
            <w:pPr>
              <w:pStyle w:val="Compact"/>
            </w:pPr>
            <w:r>
              <w:t xml:space="preserve">0.8 [0.5, 1.2]</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v22, 10</w:t>
            </w:r>
          </w:p>
        </w:tc>
        <w:tc>
          <w:tcPr/>
          <w:p>
            <w:pPr>
              <w:pStyle w:val="Compact"/>
            </w:pPr>
            <w:r>
              <w:t xml:space="preserve">1.28</w:t>
            </w:r>
          </w:p>
        </w:tc>
        <w:tc>
          <w:tcPr/>
          <w:p>
            <w:pPr>
              <w:pStyle w:val="Compact"/>
            </w:pPr>
            <w:r>
              <w:t xml:space="preserve">15.4</w:t>
            </w:r>
          </w:p>
        </w:tc>
        <w:tc>
          <w:tcPr/>
          <w:p>
            <w:pPr>
              <w:pStyle w:val="Compact"/>
            </w:pPr>
            <w:r>
              <w:t xml:space="preserve">0.90</w:t>
            </w:r>
          </w:p>
        </w:tc>
        <w:tc>
          <w:tcPr/>
          <w:p>
            <w:pPr>
              <w:pStyle w:val="Compact"/>
            </w:pPr>
            <w:r>
              <w:t xml:space="preserve">0.30</w:t>
            </w:r>
          </w:p>
        </w:tc>
        <w:tc>
          <w:tcPr/>
          <w:p>
            <w:pPr>
              <w:pStyle w:val="Compact"/>
            </w:pPr>
            <w:r>
              <w:t xml:space="preserve">1.2 [0.9, 1.7]</w:t>
            </w:r>
          </w:p>
        </w:tc>
      </w:tr>
    </w:tbl>
    <w:p>
      <w:pPr>
        <w:pStyle w:val="BodyText"/>
      </w:pPr>
      <w:r>
        <w:t xml:space="preserve">The prediction is not borne out on either encoder. On v21 the three arms lie within 0.03 Å of one another (~2 % of the error). On v22, with ten epochs, arms (i) and (iii) converge by the sixth epoch to 1.29 and 1.28 Å, and arm (ii) reaches 1.21 Å at ten epochs and 1.12 Å at thirty, where it is converged (flat over the last six epochs), a 13 % reduction. Every arm sits more than 2.2× above the 0.5 Å knee, and arm (i) reproduces the checkpoint head on both encoders, so the budget suffices to match the baseline. End to end, the substituted cells recover 0.7 %, 0.5 % and 1.2 % for (i), (ii) and (iii), each below the 1.9 % of the full pipeline (paired McNemar p = 7 × 10⁻⁷, 3 × 10⁻⁹ and 8 × 10⁻³) and the indexer’s 1.6 %, with pattern Pearson 0.08 in every arm; the head-level gain of arm (ii) does not carry through: its converged thirty-epoch cells recover 0.8 % [0.5, 1.2] (24 / 3 000, 22 of them cubic), level with arm (i). Every match obtained through a regression head is a cubic structure (18, 16 and 34 of the 22, 16 and 37), the one-parameter case; none is hexagonal or tetragonal, where the indexer’s search succeeds (§5.2). Restoring absolute peak positions to the head does not repair the absolute scale, and the submitted reading that global pooling discards the d-spacing information is withdrawn. Arm (iii) is decisive: it receives the same peak positions the autoindexer reads, yet a head trained to regress six cell parameters does not turn them into a cell, because that requires assigning Miller indices to peaks, a combinatorial step the autoindexer performs by explicit search and a pointwise-loss regressor does not learn here. This revised reading is the best-supported one, not a demonstrated cause; it accounts for every head-side failure (the two experiments above, the top-K rerank of §5.4), for the space-group head’s success on relative features, and for the indexer succeeding exactly where the assignment is over-determined (§5.2). The next gain must come from obtaining the cell by search, or from a model that performs the peak-to-index assignment explicitly, not from a different pooling, a better head or a better denoiser. Two caveats remain: the encoder is frozen, so an encoder trained from scratch under position-aware pooling could behave differently (not run); and the heads are trained on the frozen encoder’s features rather than jointly, so a jointly trained position-aware head is untested. Runs:</w:t>
      </w:r>
      <w:r>
        <w:t xml:space="preserve"> </w:t>
      </w:r>
      <w:r>
        <w:rPr>
          <w:rStyle w:val="VerbatimChar"/>
        </w:rPr>
        <w:t xml:space="preserve">paper/phase15_results/pooling_ablation_v21/</w:t>
      </w:r>
      <w:r>
        <w:t xml:space="preserve">,</w:t>
      </w:r>
      <w:r>
        <w:t xml:space="preserve"> </w:t>
      </w:r>
      <w:r>
        <w:rPr>
          <w:rStyle w:val="VerbatimChar"/>
        </w:rPr>
        <w:t xml:space="preserve">pooling_ablation_v22/</w:t>
      </w:r>
      <w:r>
        <w:t xml:space="preserve">,</w:t>
      </w:r>
      <w:r>
        <w:t xml:space="preserve"> </w:t>
      </w:r>
      <w:r>
        <w:rPr>
          <w:rStyle w:val="VerbatimChar"/>
        </w:rPr>
        <w:t xml:space="preserve">v22_pool_*</w:t>
      </w:r>
      <w:r>
        <w:t xml:space="preserve">.</w:t>
      </w:r>
    </w:p>
    <w:bookmarkEnd w:id="45"/>
    <w:bookmarkStart w:id="46" w:name="code-audit-and-corrections"/>
    <w:p>
      <w:pPr>
        <w:pStyle w:val="Heading2"/>
      </w:pPr>
      <w:r>
        <w:t xml:space="preserve">5.7 Code audit and corrections</w:t>
      </w:r>
    </w:p>
    <w:p>
      <w:pPr>
        <w:pStyle w:val="FirstParagraph"/>
      </w:pPr>
      <w:r>
        <w:t xml:space="preserve">Review of the released code, prompted by two referees, identified three implementation errors. Each is listed with its effect on the numbers in this paper.</w:t>
      </w:r>
    </w:p>
    <w:p>
      <w:pPr>
        <w:numPr>
          <w:ilvl w:val="0"/>
          <w:numId w:val="1002"/>
        </w:numPr>
      </w:pPr>
      <w:r>
        <w:rPr>
          <w:i/>
          <w:iCs/>
        </w:rPr>
        <w:t xml:space="preserve">Atomic form factor.</w:t>
      </w:r>
      <w:r>
        <w:t xml:space="preserve"> </w:t>
      </w:r>
      <w:r>
        <w:t xml:space="preserve">The differentiable simulator evaluated</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coefficients fitted for</w:t>
      </w:r>
      <w:r>
        <w:t xml:space="preserve"> </w:t>
      </w:r>
      <m:oMath>
        <m:r>
          <m:t>Z</m:t>
        </m:r>
        <m:r>
          <m:rPr>
            <m:sty m:val="p"/>
          </m:rPr>
          <m:t>−</m:t>
        </m:r>
        <m:r>
          <m:t>41.78214</m:t>
        </m:r>
        <m:r>
          <m:t> </m:t>
        </m:r>
        <m:sSup>
          <m:e>
            <m:r>
              <m:t>s</m:t>
            </m:r>
          </m:e>
          <m:sup>
            <m:r>
              <m:t>2</m:t>
            </m:r>
          </m:sup>
        </m:sSup>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(§3.3). Affected: the Debye training loss in every run with</w:t>
      </w:r>
      <w:r>
        <w:t xml:space="preserve"> </w:t>
      </w:r>
      <m:oMath>
        <m:sSub>
          <m:e>
            <m:r>
              <m:t>λ</m:t>
            </m:r>
          </m:e>
          <m:sub>
            <m:r>
              <m:rPr>
                <m:nor/>
                <m:sty m:val="p"/>
              </m:rPr>
              <m:t>Debye</m:t>
            </m:r>
          </m:sub>
        </m:sSub>
        <m:r>
          <m:rPr>
            <m:sty m:val="p"/>
          </m:rPr>
          <m:t>&gt;</m:t>
        </m:r>
        <m:r>
          <m:t>0</m:t>
        </m:r>
      </m:oMath>
      <w:r>
        <w:t xml:space="preserve"> </w:t>
      </w:r>
      <w:r>
        <w:t xml:space="preserve">(v11, v13–v16, v21); the Debye-gradient guidance and top-K rerank of §5.4; and the validation figure. Not affected: all match, all-correct, space-group and RMSD numbers, which</w:t>
      </w:r>
      <w:r>
        <w:t xml:space="preserve"> </w:t>
      </w:r>
      <w:r>
        <w:rPr>
          <w:rStyle w:val="VerbatimChar"/>
        </w:rPr>
        <w:t xml:space="preserve">pymatgen</w:t>
      </w:r>
      <w:r>
        <w:t xml:space="preserve"> </w:t>
      </w:r>
      <w:r>
        <w:t xml:space="preserve">scores on the predicted structures; the indexer; the oracle; the perturbation study; the aux-head substitution of §5.6; and the external baselines. The module was corrected and re-validated (mean Pearson 0.952 → 0.988 over 1000 structures). The production checkpoint was retrained from scratch with the corrected module and the fix of (b), under otherwise identical settings (v22; final EMA loss 0.602 against 0.726); Tables 2, 2a and 3 and Figs 4 and 5 now report it at three seeds, and §5.2 gives the paired before/after accounting (learned head 0 / 1 949 → 58 / 3 000, indexer 46 / 2 883 → 48 / 3 000, oracle 135 → 165 / 3 000; the indexer’s lead became a tie). The Phase-4 rows of Table 1 and the §5.4 experiments were not rerun (~18 GPU-hours for the six configurations at three seeds); they keep their exploratory labels.</w:t>
      </w:r>
    </w:p>
    <w:p>
      <w:pPr>
        <w:numPr>
          <w:ilvl w:val="0"/>
          <w:numId w:val="1002"/>
        </w:numPr>
      </w:pPr>
      <w:r>
        <w:rPr>
          <w:i/>
          <w:iCs/>
        </w:rPr>
        <w:t xml:space="preserve">Debye loss in x₀-residual mode.</w:t>
      </w:r>
      <w:r>
        <w:t xml:space="preserve"> </w:t>
      </w:r>
      <w:r>
        <w:t xml:space="preserve">The loss was evaluated on the residual tensor rather than on the clean-coordinate estimate (§3.4). Affected: the Debye term of runs v13–v16 and v21. Not affected: the ε-mode runs v10 and v11, and every evaluation-time number. Fixed; the retrained runs of (a) also carry this fix.</w:t>
      </w:r>
    </w:p>
    <w:p>
      <w:pPr>
        <w:numPr>
          <w:ilvl w:val="0"/>
          <w:numId w:val="1002"/>
        </w:numPr>
      </w:pPr>
      <w:r>
        <w:rPr>
          <w:i/>
          <w:iCs/>
        </w:rPr>
        <w:t xml:space="preserve">Indexer fallback.</w:t>
      </w:r>
      <w:r>
        <w:t xml:space="preserve"> </w:t>
      </w:r>
      <w:r>
        <w:t xml:space="preserve">When the classical indexer returned no cell, the sampling script substituted the true lattice and the pattern was scored as if indexed. This affected 39 of the 1000 test patterns in every indexer run, 117 structure-seeds over three seeds. Recomputing from the released per-structure records, none of the 117 fallback structure-seeds matched, so the submitted McNemar cells (27 fixed, 0 broken) and the all-correct cells (4, 0) were unchanged by the fallback; the submitted match rate becomes 46 / 2 883 = 1.6 % [1.2, 2.1] on the indexed structure-seeds, in place of 46 / 3 000 = 1.5 % [1.2, 2.0]. (Those v21 cells are superseded by the v22 retrain of (a), which is what §5.2 now reports.) The script now scores unindexed patterns as misses and records their count. The top-K rerank experiment of §5.4 used the same fallback; because the fallback rows did not match, its 1.0 % result can only be lower, and its conclusion (no improvement) stands.</w:t>
      </w:r>
    </w:p>
    <w:p>
      <w:pPr>
        <w:numPr>
          <w:ilvl w:val="0"/>
          <w:numId w:val="1002"/>
        </w:numPr>
      </w:pPr>
      <w:r>
        <w:rPr>
          <w:i/>
          <w:iCs/>
        </w:rPr>
        <w:t xml:space="preserve">Reported learning rate.</w:t>
      </w:r>
      <w:r>
        <w:t xml:space="preserve"> </w:t>
      </w:r>
      <w:r>
        <w:t xml:space="preserve">The submitted §4 gave the learning rate as</w:t>
      </w:r>
      <w:r>
        <w:t xml:space="preserve"> </w:t>
      </w:r>
      <m:oMath>
        <m:r>
          <m:t>5</m:t>
        </m:r>
        <m:r>
          <m:rPr>
            <m:sty m:val="p"/>
          </m:rPr>
          <m:t>×</m:t>
        </m:r>
        <m:sSup>
          <m:e>
            <m:r>
              <m:t>10</m:t>
            </m:r>
          </m:e>
          <m:sup>
            <m:r>
              <m:rPr>
                <m:sty m:val="p"/>
              </m:rPr>
              <m:t>−</m:t>
            </m:r>
            <m:r>
              <m:t>4</m:t>
            </m:r>
          </m:sup>
        </m:sSup>
      </m:oMath>
      <w:r>
        <w:t xml:space="preserve">. The arguments stored in the released v21 checkpoint give</w:t>
      </w:r>
      <w:r>
        <w:t xml:space="preserve"> </w:t>
      </w:r>
      <m:oMath>
        <m:sSup>
          <m:e>
            <m:r>
              <m:t>10</m:t>
            </m:r>
          </m:e>
          <m:sup>
            <m:r>
              <m:rPr>
                <m:sty m:val="p"/>
              </m:rPr>
              <m:t>−</m:t>
            </m:r>
            <m:r>
              <m:t>3</m:t>
            </m:r>
          </m:sup>
        </m:sSup>
      </m:oMath>
      <w:r>
        <w:t xml:space="preserve">, which is the value that was used; §4 now says so. No result depends on this, but the referees asked for a systematic check of the description against the implementation and this is what it found.</w:t>
      </w:r>
    </w:p>
    <w:p>
      <w:pPr>
        <w:pStyle w:val="FirstParagraph"/>
      </w:pPr>
      <w:r>
        <w:t xml:space="preserve">The corrected code, the per-structure records used for (c), the re-validation script and a regression test that pins the form-factor convention (</w:t>
      </w:r>
      <w:r>
        <w:rPr>
          <w:rStyle w:val="VerbatimChar"/>
        </w:rPr>
        <w:t xml:space="preserve">tests/test_debye_form_factor.py</w:t>
      </w:r>
      <w:r>
        <w:t xml:space="preserve">) are in the released repository.</w:t>
      </w:r>
    </w:p>
    <w:p>
      <w:r>
        <w:pict>
          <v:rect style="width:0;height:1.5pt" o:hralign="center" o:hrstd="t" o:hr="t"/>
        </w:pict>
      </w:r>
    </w:p>
    <w:bookmarkEnd w:id="46"/>
    <w:bookmarkEnd w:id="47"/>
    <w:bookmarkStart w:id="48" w:name="discussion"/>
    <w:p>
      <w:pPr>
        <w:pStyle w:val="Heading1"/>
      </w:pPr>
      <w:r>
        <w:t xml:space="preserve">6. Discussion</w:t>
      </w:r>
    </w:p>
    <w:p>
      <w:pPr>
        <w:pStyle w:val="FirstParagraph"/>
      </w:pPr>
      <w:r>
        <w:rPr>
          <w:b/>
          <w:bCs/>
        </w:rPr>
        <w:t xml:space="preserve">Lattice-recovery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neither stronger constrained supervision nor restoring absolute peak positions to the head moves its ~1.1 Å error, so the pooling reading of the submitted version is withdrawn in favour of the regression formulation (§5.6). The paired oracle-vs-learned-head test (134 fixed, 27 broken, p = 3 × 10⁻¹⁸; §5.2) is the paper’s statistically firmest claim and the one result that replicates across the submitted and the corrected checkpoint. The Q-space autoindexer, which reads peak positions directly, recovers part of the 5.5 % oracle ceiling on the hexagonal and tetragonal subset; with the corrected checkpoint it no longer leads the learned head in aggregate, but its cells stay far closer to the truth (Pearson 0.41 against 0.18).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5.5 %, so even a perfect lattice leaves coordinates as a co-limiter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Wyckoff-letter embedding tried to break symmetry at the input with a label rather than a constraint, and failed (§5.4).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The numbers cannot yet support this (PXRDnet’s all-correct CI [0.9, 23.6] at n = 20 overlaps DGpt’s), so we raise it as a</w:t>
      </w:r>
      <w:r>
        <w:t xml:space="preserve"> </w:t>
      </w:r>
      <w:r>
        <w:rPr>
          <w:i/>
          <w:iCs/>
        </w:rPr>
        <w:t xml:space="preserve">measurement hypothesis</w:t>
      </w:r>
      <w:r>
        <w:t xml:space="preserve"> </w:t>
      </w:r>
      <w:r>
        <w:t xml:space="preserve">worth testing at adequate n. If true,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1.9 % PXRD-Diff sits an order of magnitude below much larger systems, and that is the point of its size. Small models make the lattice-recovery bottleneck visible (capacity hides it) and make the indexer control trivial to wire in (larger models would need architecture-level surgery). The recipe (encoder + Phase 4 fixes + Phase 9 indexer control) is 3.7 M parameters and runs inference in seconds.</w:t>
      </w:r>
    </w:p>
    <w:p>
      <w:r>
        <w:pict>
          <v:rect style="width:0;height:1.5pt" o:hralign="center" o:hrstd="t" o:hr="t"/>
        </w:pict>
      </w:r>
    </w:p>
    <w:bookmarkEnd w:id="48"/>
    <w:bookmarkStart w:id="49" w:name="limitations"/>
    <w:p>
      <w:pPr>
        <w:pStyle w:val="Heading1"/>
      </w:pPr>
      <w:r>
        <w:t xml:space="preserve">7. Limitations</w:t>
      </w:r>
    </w:p>
    <w:p>
      <w:pPr>
        <w:pStyle w:val="Compact"/>
        <w:numPr>
          <w:ilvl w:val="0"/>
          <w:numId w:val="1003"/>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3"/>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oracle-vs-learned-head gap is the effect that replicates (§5.2). The indexer-vs-learned-head comparison is the cautionary case: significant with the submitted checkpoint (27 fixed, 0 broken), a tie with the corrected one (42, 52; p = 0.35), so a paired test at three seeds protects against seed noise but not against a training defect that moves one arm (§5.2, §5.7).</w:t>
      </w:r>
    </w:p>
    <w:p>
      <w:pPr>
        <w:pStyle w:val="Compact"/>
        <w:numPr>
          <w:ilvl w:val="0"/>
          <w:numId w:val="1003"/>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3"/>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w:t>
      </w:r>
      <w:r>
        <w:t xml:space="preserve"> </w:t>
      </w:r>
      <w:r>
        <w:t xml:space="preserve">The main runs supply the true Bravais code to the de-Wolff fit (§3.5); the unknown-system run removes it at a cost of about five percentage points at the indexing stage (48.8 → 43.4 % strict) and six of 48 downstream matches (1.4 % against 1.6 %), so the assumption changes little at either stage.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1.6 %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cell-accuracy advantage over the learned head (§5.2) holds only for well-calibrated input.</w:t>
      </w:r>
    </w:p>
    <w:p>
      <w:pPr>
        <w:pStyle w:val="Compact"/>
        <w:numPr>
          <w:ilvl w:val="0"/>
          <w:numId w:val="1003"/>
        </w:numPr>
      </w:pPr>
      <w:r>
        <w:rPr>
          <w:b/>
          <w:bCs/>
        </w:rPr>
        <w:t xml:space="preserve">Idealised conditions and the bottleneck conclusion.</w:t>
      </w:r>
      <w:r>
        <w:t xml:space="preserve"> </w:t>
      </w:r>
      <w:r>
        <w:t xml:space="preserve">Every pattern is an ideal simulation. Instrument profile, zero shift, sample displacement, preferred orientation and background all move or reshape peaks. Each would further degrade an encoder that already fails to fix absolute d-spacings on clean input. The lattice-recovery bottleneck diagnosis is therefore a lower bound on the difficulty of real data, not an estimate of it. The 0.5 Å knee is a property of the sampler under clean cells; under real peak shifts its position may move, and the indexer’s own degradation past ~0.10° suggests the whole curve shifts towards smaller tolerable errors.</w:t>
      </w:r>
    </w:p>
    <w:p>
      <w:pPr>
        <w:pStyle w:val="Compact"/>
        <w:numPr>
          <w:ilvl w:val="0"/>
          <w:numId w:val="1003"/>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3"/>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9"/>
    <w:bookmarkStart w:id="50" w:name="conclusion"/>
    <w:p>
      <w:pPr>
        <w:pStyle w:val="Heading1"/>
      </w:pPr>
      <w:r>
        <w:t xml:space="preserve">8. Conclusion</w:t>
      </w:r>
    </w:p>
    <w:p>
      <w:pPr>
        <w:pStyle w:val="FirstParagraph"/>
      </w:pPr>
      <w:r>
        <w:t xml:space="preserve">A 3.7 M-parameter conditional diffusion model, used as a diagnostic instrument, locates the dominant accessible failure in PXRD inversion in the recovery of the unit cell from the pattern, upstream of the denoiser. The encoder’s pooled representation supports a 0.007 normalised lattice-regression loss yet delivers a ~1.1 Å absolute cell error that no head reading it reduces, whether constrained, position-aware or handed explicit peak positions; the pooling reading is withdrawn and the evidence points to the regression formulation, which leaves the peak-to-index assignment unsolved. A true-lattice oracle caps match at 5.5 % [4.7, 6.4] (three seeds) against 1.9 % [1.5, 2.5] for the learned head (paired McNemar p = 3 × 10⁻¹⁸), so coordinate prediction remains a co-limiter. A classical Q-space autoindexer, supplied with the true crystal system, serves as a control: it reaches 1.6 % [1.2, 2.1] and, with the corrected checkpoint, ties the learned head at three seeds (42 fixed, 52 broken, p = 0.35), its gains confined to the hexagonal and tetragonal systems below the 0.5 Å knee. Re-scored on one</w:t>
      </w:r>
      <w:r>
        <w:t xml:space="preserve"> </w:t>
      </w:r>
      <w:r>
        <w:rPr>
          <w:rStyle w:val="VerbatimChar"/>
        </w:rPr>
        <w:t xml:space="preserve">StructureMatcher</w:t>
      </w:r>
      <w:r>
        <w:t xml:space="preserve"> </w:t>
      </w:r>
      <w:r>
        <w:t xml:space="preserve">harness, deCIFer reaches 73.8 % / 69.5 %, DGpt 18.9 % / 15.9 % and PXRDnet 30.0 % / 5.0 % (match / all-correct); these set the scale of the diagnostic model and are not a ranking claim, and the apparent divergence in their space-group recovery is a measurement hypothesis the n = 20 PXRDnet sample cannot yet confirm. A code audit corrected three implementation errors; retraining the production checkpoint under the corrected loss raised the learned head from 0 to 1.9 % and removed the indexer’s aggregate lead of the submitted version, leaving the oracle gap as the result that replicates. The lattice-input fix is load-bearing; the x₀-residual switch improves pattern-Pearson but its single-seed match-rate lift did not replicate (§7); the remaining interventions are documented as failures. Code, checkpoints, all per-phase JSONs, per-structure records, both indexer paths and the differentiable Bragg module are released.</w:t>
      </w:r>
    </w:p>
    <w:p>
      <w:r>
        <w:pict>
          <v:rect style="width:0;height:1.5pt" o:hralign="center" o:hrstd="t" o:hr="t"/>
        </w:pict>
      </w:r>
    </w:p>
    <w:bookmarkEnd w:id="50"/>
    <w:bookmarkStart w:id="51" w:name="acknowledgments"/>
    <w:p>
      <w:pPr>
        <w:pStyle w:val="Heading1"/>
      </w:pPr>
      <w:r>
        <w:t xml:space="preserve">Acknowledgments</w:t>
      </w:r>
    </w:p>
    <w:p>
      <w:pPr>
        <w:pStyle w:val="FirstParagraph"/>
      </w:pPr>
      <w:r>
        <w:rPr>
          <w:i/>
          <w:iCs/>
        </w:rPr>
        <w:t xml:space="preserve">Use of AI tools.</w:t>
      </w:r>
      <w:r>
        <w:t xml:space="preserve"> </w:t>
      </w:r>
      <w:r>
        <w:t xml:space="preserve">The author used a large language model (Claude, Anthropic) as a coding and writing assistant throughout this work, for drafting and editing text and code under the author’s direction. The author reviewed all code, analyses and text, and takes full responsibility for their content.</w:t>
      </w:r>
    </w:p>
    <w:p>
      <w:pPr>
        <w:pStyle w:val="BodyText"/>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51"/>
    <w:bookmarkStart w:id="52"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2"/>
    <w:bookmarkStart w:id="53" w:name="conflict-of-interest"/>
    <w:p>
      <w:pPr>
        <w:pStyle w:val="Heading1"/>
      </w:pPr>
      <w:r>
        <w:t xml:space="preserve">Conflict of Interest</w:t>
      </w:r>
    </w:p>
    <w:p>
      <w:pPr>
        <w:pStyle w:val="FirstParagraph"/>
      </w:pPr>
      <w:r>
        <w:t xml:space="preserve">The author declares no competing interests.</w:t>
      </w:r>
    </w:p>
    <w:bookmarkEnd w:id="53"/>
    <w:bookmarkStart w:id="54" w:name="funding"/>
    <w:p>
      <w:pPr>
        <w:pStyle w:val="Heading1"/>
      </w:pPr>
      <w:r>
        <w:t xml:space="preserve">Funding</w:t>
      </w:r>
    </w:p>
    <w:p>
      <w:pPr>
        <w:pStyle w:val="FirstParagraph"/>
      </w:pPr>
      <w:r>
        <w:t xml:space="preserve">This research received no external funding.</w:t>
      </w:r>
    </w:p>
    <w:bookmarkEnd w:id="54"/>
    <w:bookmarkStart w:id="56"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5">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 The corrected simulator, the audit scripts of §5.7 and the per-structure records behind Table 2a are included.</w:t>
      </w:r>
    </w:p>
    <w:bookmarkEnd w:id="56"/>
    <w:bookmarkStart w:id="57"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7"/>
    <w:bookmarkStart w:id="58"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Chitturi, S. R., Ratner, D., Walroth, R. C., Thampy, V., Reed, E. J., Dunne, M., Tassone, C. J. &amp; Stone, K. H. (2021).</w:t>
      </w:r>
      <w:r>
        <w:t xml:space="preserve"> </w:t>
      </w:r>
      <w:r>
        <w:rPr>
          <w:i/>
          <w:iCs/>
        </w:rPr>
        <w:t xml:space="preserve">J. Appl. Cryst.</w:t>
      </w:r>
      <w:r>
        <w:t xml:space="preserve"> </w:t>
      </w:r>
      <w:r>
        <w:rPr>
          <w:b/>
          <w:bCs/>
        </w:rPr>
        <w:t xml:space="preserve">54</w:t>
      </w:r>
      <w:r>
        <w:t xml:space="preserve">, 1799–1810. DOI: 10.1107/S1600576721010840.</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Cuocci, C., Corriero, N., Dell’Aera, M., Falcicchio, A., Rizzi, R. &amp; Altomare, A. (2022).</w:t>
      </w:r>
      <w:r>
        <w:t xml:space="preserve"> </w:t>
      </w:r>
      <w:r>
        <w:rPr>
          <w:i/>
          <w:iCs/>
        </w:rPr>
        <w:t xml:space="preserve">Comput. Mater. Sci.</w:t>
      </w:r>
      <w:r>
        <w:t xml:space="preserve"> </w:t>
      </w:r>
      <w:r>
        <w:rPr>
          <w:b/>
          <w:bCs/>
        </w:rPr>
        <w:t xml:space="preserve">210</w:t>
      </w:r>
      <w:r>
        <w:t xml:space="preserve">, 111465. DOI: 10.1016/j.commatsci.2022.111465.</w:t>
      </w:r>
    </w:p>
    <w:p>
      <w:pPr>
        <w:pStyle w:val="BodyText"/>
      </w:pPr>
      <w:r>
        <w:t xml:space="preserve">Dauter, Z. &amp; Jaskolski, M. (2010).</w:t>
      </w:r>
      <w:r>
        <w:t xml:space="preserve"> </w:t>
      </w:r>
      <w:r>
        <w:rPr>
          <w:i/>
          <w:iCs/>
        </w:rPr>
        <w:t xml:space="preserve">J. Appl. Cryst.</w:t>
      </w:r>
      <w:r>
        <w:t xml:space="preserve"> </w:t>
      </w:r>
      <w:r>
        <w:rPr>
          <w:b/>
          <w:bCs/>
        </w:rPr>
        <w:t xml:space="preserve">43</w:t>
      </w:r>
      <w:r>
        <w:t xml:space="preserve">, 1150–1171. DOI: 10.1107/S0021889810026956.</w:t>
      </w:r>
    </w:p>
    <w:p>
      <w:pPr>
        <w:pStyle w:val="BodyText"/>
      </w:pPr>
      <w:r>
        <w:t xml:space="preserve">de la Flor, G., Kroumova, E., Hanson, R. M. &amp; Aroyo, M. I. (2023).</w:t>
      </w:r>
      <w:r>
        <w:t xml:space="preserve"> </w:t>
      </w:r>
      <w:r>
        <w:rPr>
          <w:i/>
          <w:iCs/>
        </w:rPr>
        <w:t xml:space="preserve">J. Appl. Cryst.</w:t>
      </w:r>
      <w:r>
        <w:t xml:space="preserve"> </w:t>
      </w:r>
      <w:r>
        <w:rPr>
          <w:b/>
          <w:bCs/>
        </w:rPr>
        <w:t xml:space="preserve">56</w:t>
      </w:r>
      <w:r>
        <w:t xml:space="preserve">, 1824–1840. DOI: 10.1107/S1600576723009068.</w:t>
      </w:r>
    </w:p>
    <w:p>
      <w:pPr>
        <w:pStyle w:val="BodyText"/>
      </w:pPr>
      <w:r>
        <w:t xml:space="preserve">de Wolff, P. M. (1968).</w:t>
      </w:r>
      <w:r>
        <w:t xml:space="preserve"> </w:t>
      </w:r>
      <w:r>
        <w:rPr>
          <w:i/>
          <w:iCs/>
        </w:rPr>
        <w:t xml:space="preserve">J. Appl. Cryst.</w:t>
      </w:r>
      <w:r>
        <w:t xml:space="preserve"> </w:t>
      </w:r>
      <w:r>
        <w:rPr>
          <w:b/>
          <w:bCs/>
        </w:rPr>
        <w:t xml:space="preserve">1</w:t>
      </w:r>
      <w:r>
        <w:t xml:space="preserve">, 108–113. DOI: 10.1107/S002188986800508X.</w:t>
      </w:r>
    </w:p>
    <w:p>
      <w:pPr>
        <w:pStyle w:val="BodyText"/>
      </w:pPr>
      <w:r>
        <w:t xml:space="preserve">Favre-Nicolin, V. &amp; Černý, R. (2002).</w:t>
      </w:r>
      <w:r>
        <w:t xml:space="preserve"> </w:t>
      </w:r>
      <w:r>
        <w:rPr>
          <w:i/>
          <w:iCs/>
        </w:rPr>
        <w:t xml:space="preserve">J. Appl. Cryst.</w:t>
      </w:r>
      <w:r>
        <w:t xml:space="preserve"> </w:t>
      </w:r>
      <w:r>
        <w:rPr>
          <w:b/>
          <w:bCs/>
        </w:rPr>
        <w:t xml:space="preserve">35</w:t>
      </w:r>
      <w:r>
        <w:t xml:space="preserve">, 734–743. DOI: 10.1107/S0021889802015236.</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Lai, Q., Xu, F., Yao, L., Gao, Z., Liu, S., Wang, H., Lu, S., He, D., Wang, L., Zhang, L., Wang, C. &amp; Ke, G. (2025).</w:t>
      </w:r>
      <w:r>
        <w:t xml:space="preserve"> </w:t>
      </w:r>
      <w:r>
        <w:rPr>
          <w:i/>
          <w:iCs/>
        </w:rPr>
        <w:t xml:space="preserve">Adv. Sci.</w:t>
      </w:r>
      <w:r>
        <w:t xml:space="preserve"> </w:t>
      </w:r>
      <w:r>
        <w:rPr>
          <w:b/>
          <w:bCs/>
        </w:rPr>
        <w:t xml:space="preserve">12</w:t>
      </w:r>
      <w:r>
        <w:t xml:space="preserve">, 2410722. DOI: 10.1002/advs.202410722.</w:t>
      </w:r>
    </w:p>
    <w:p>
      <w:pPr>
        <w:pStyle w:val="BodyText"/>
      </w:pPr>
      <w:r>
        <w:t xml:space="preserve">Li, Q., Jiao, R., Wu, L., Zhu, T., Huang, W., Jin, S., Liu, Y., Weng, H. &amp; Chen, X. (2025).</w:t>
      </w:r>
      <w:r>
        <w:t xml:space="preserve"> </w:t>
      </w:r>
      <w:r>
        <w:rPr>
          <w:i/>
          <w:iCs/>
        </w:rPr>
        <w:t xml:space="preserve">Nat. Commun.</w:t>
      </w:r>
      <w:r>
        <w:t xml:space="preserve"> </w:t>
      </w:r>
      <w:r>
        <w:rPr>
          <w:b/>
          <w:bCs/>
        </w:rPr>
        <w:t xml:space="preserve">16</w:t>
      </w:r>
      <w:r>
        <w:t xml:space="preserve">, 7428. DOI: 10.1038/s41467-025-62708-8.</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Parackal, A. S., Goodall, R. E. A., Faber, F. A. &amp; Armiento, R. (2024).</w:t>
      </w:r>
      <w:r>
        <w:t xml:space="preserve"> </w:t>
      </w:r>
      <w:r>
        <w:rPr>
          <w:i/>
          <w:iCs/>
        </w:rPr>
        <w:t xml:space="preserve">Phys. Rev. Mater.</w:t>
      </w:r>
      <w:r>
        <w:t xml:space="preserve"> </w:t>
      </w:r>
      <w:r>
        <w:rPr>
          <w:b/>
          <w:bCs/>
        </w:rPr>
        <w:t xml:space="preserve">8</w:t>
      </w:r>
      <w:r>
        <w:t xml:space="preserve">, 103801. DOI: 10.1103/PhysRevMaterials.8.103801.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(2026).</w:t>
      </w:r>
      <w:r>
        <w:t xml:space="preserve"> </w:t>
      </w:r>
      <w:r>
        <w:rPr>
          <w:i/>
          <w:iCs/>
        </w:rPr>
        <w:t xml:space="preserve">Digital Discovery</w:t>
      </w:r>
      <w:r>
        <w:t xml:space="preserve"> </w:t>
      </w:r>
      <w:r>
        <w:rPr>
          <w:b/>
          <w:bCs/>
        </w:rPr>
        <w:t xml:space="preserve">5</w:t>
      </w:r>
      <w:r>
        <w:t xml:space="preserve">, 1590–1599. DOI: 10.1039/D6DD00017G. (Preprint: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Code:</w:t>
      </w:r>
      <w:r>
        <w:t xml:space="preserve"> </w:t>
      </w:r>
      <w:r>
        <w:rPr>
          <w:rStyle w:val="VerbatimChar"/>
        </w:rPr>
        <w:t xml:space="preserve">github.com/AdvancedPhotonSource/GSAS-II</w:t>
      </w:r>
      <w:r>
        <w:t xml:space="preserve">.</w:t>
      </w:r>
    </w:p>
    <w:p>
      <w:pPr>
        <w:pStyle w:val="BodyText"/>
      </w:pPr>
      <w:r>
        <w:t xml:space="preserve">Werner, P.-E., Eriksson, L. &amp; Westdahl, M. (1985).</w:t>
      </w:r>
      <w:r>
        <w:t xml:space="preserve"> </w:t>
      </w:r>
      <w:r>
        <w:rPr>
          <w:i/>
          <w:iCs/>
        </w:rPr>
        <w:t xml:space="preserve">J. Appl. Cryst.</w:t>
      </w:r>
      <w:r>
        <w:t xml:space="preserve"> </w:t>
      </w:r>
      <w:r>
        <w:rPr>
          <w:b/>
          <w:bCs/>
        </w:rPr>
        <w:t xml:space="preserve">18</w:t>
      </w:r>
      <w:r>
        <w:t xml:space="preserve">, 367–370. DOI: 10.1107/S0021889885010512.</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Yu, D., Zhu, Z., Leng, F. &amp; Zhu, Y. (2026).</w:t>
      </w:r>
      <w:r>
        <w:t xml:space="preserve"> </w:t>
      </w:r>
      <w:r>
        <w:rPr>
          <w:i/>
          <w:iCs/>
        </w:rPr>
        <w:t xml:space="preserve">Nat. Commun.</w:t>
      </w:r>
      <w:r>
        <w:t xml:space="preserve"> </w:t>
      </w:r>
      <w:r>
        <w:rPr>
          <w:b/>
          <w:bCs/>
        </w:rPr>
        <w:t xml:space="preserve">17</w:t>
      </w:r>
      <w:r>
        <w:t xml:space="preserve">, 3274. DOI: 10.1038/s41467-026-70035-9.</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8"/>
    <w:bookmarkStart w:id="63" w:name="appendix"/>
    <w:p>
      <w:pPr>
        <w:pStyle w:val="Heading1"/>
      </w:pPr>
      <w:r>
        <w:t xml:space="preserve">Appendix</w:t>
      </w:r>
    </w:p>
    <w:bookmarkStart w:id="59"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t xml:space="preserve">v21</w:t>
            </w:r>
          </w:p>
        </w:tc>
        <w:tc>
          <w:tcPr/>
          <w:p>
            <w:pPr>
              <w:pStyle w:val="Compact"/>
            </w:pPr>
            <w:r>
              <w:t xml:space="preserve">3.7 M</w:t>
            </w:r>
          </w:p>
        </w:tc>
        <w:tc>
          <w:tcPr/>
          <w:p>
            <w:pPr>
              <w:pStyle w:val="Compact"/>
            </w:pPr>
            <w:r>
              <w:t xml:space="preserve">Phase 9 final: v13 architecture + Phase 9 retrain + indexer drop-in support (submitted version; trained with the §5.7 (a) and (b) defects)</w:t>
            </w:r>
          </w:p>
        </w:tc>
        <w:tc>
          <w:tcPr/>
          <w:p>
            <w:pPr>
              <w:pStyle w:val="Compact"/>
            </w:pPr>
            <w:r>
              <w:t xml:space="preserve">0 % (learned head), 1.6 % (indexer, crystal system given), 4.5 % (true-lat oracle), all 3-seed</w:t>
            </w:r>
          </w:p>
        </w:tc>
        <w:tc>
          <w:tcPr/>
          <w:p>
            <w:pPr>
              <w:pStyle w:val="Compact"/>
            </w:pPr>
            <w:r>
              <w:t xml:space="preserve">§5.7</w:t>
            </w:r>
          </w:p>
        </w:tc>
      </w:tr>
      <w:tr>
        <w:tc>
          <w:tcPr/>
          <w:p>
            <w:pPr>
              <w:pStyle w:val="Compact"/>
            </w:pPr>
            <w:r>
              <w:rPr>
                <w:b/>
                <w:bCs/>
              </w:rPr>
              <w:t xml:space="preserve">v22</w:t>
            </w:r>
          </w:p>
        </w:tc>
        <w:tc>
          <w:tcPr/>
          <w:p>
            <w:pPr>
              <w:pStyle w:val="Compact"/>
            </w:pPr>
            <w:r>
              <w:rPr>
                <w:b/>
                <w:bCs/>
              </w:rPr>
              <w:t xml:space="preserve">3.7 M</w:t>
            </w:r>
          </w:p>
        </w:tc>
        <w:tc>
          <w:tcPr/>
          <w:p>
            <w:pPr>
              <w:pStyle w:val="Compact"/>
            </w:pPr>
            <w:r>
              <w:t xml:space="preserve">v21 configuration retrained from scratch with the corrected form factor and the corrected x₀-mode Debye loss (§5.7)</w:t>
            </w:r>
          </w:p>
        </w:tc>
        <w:tc>
          <w:tcPr/>
          <w:p>
            <w:pPr>
              <w:pStyle w:val="Compact"/>
            </w:pPr>
            <w:r>
              <w:rPr>
                <w:b/>
                <w:bCs/>
              </w:rPr>
              <w:t xml:space="preserve">1.9 % (learned head), 1.6 % (indexer, crystal system given), 5.5 % (true-lat oracle), all 3-seed</w:t>
            </w:r>
          </w:p>
        </w:tc>
        <w:tc>
          <w:tcPr/>
          <w:p>
            <w:pPr>
              <w:pStyle w:val="Compact"/>
            </w:pPr>
            <w:r>
              <w:t xml:space="preserve">Tables 2, 2a, 3</w:t>
            </w:r>
          </w:p>
        </w:tc>
      </w:tr>
    </w:tbl>
    <w:bookmarkEnd w:id="59"/>
    <w:bookmarkStart w:id="60"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60"/>
    <w:bookmarkStart w:id="61" w:name="X984f5037fa8fa240d4e7791708ee54c226ae797"/>
    <w:p>
      <w:pPr>
        <w:pStyle w:val="Heading2"/>
      </w:pPr>
      <w:r>
        <w:t xml:space="preserve">C. Differentiable simulator validation details</w:t>
      </w:r>
    </w:p>
    <w:p>
      <w:pPr>
        <w:pStyle w:val="FirstParagraph"/>
      </w:pPr>
      <w:r>
        <w:t xml:space="preserve">Pearson correlations between the DiffPXRD module and</w:t>
      </w:r>
      <w:r>
        <w:t xml:space="preserve"> </w:t>
      </w:r>
      <w:r>
        <w:rPr>
          <w:rStyle w:val="VerbatimChar"/>
        </w:rPr>
        <w:t xml:space="preserve">pymatgen.XRDCalculator</w:t>
      </w:r>
      <w:r>
        <w:t xml:space="preserve"> </w:t>
      </w:r>
      <w:r>
        <w:t xml:space="preserve">on the 256-bin coarse grid, first 1000 MP-20 test structures (per-structure values in</w:t>
      </w:r>
      <w:r>
        <w:t xml:space="preserve"> </w:t>
      </w:r>
      <w:r>
        <w:rPr>
          <w:rStyle w:val="VerbatimChar"/>
        </w:rPr>
        <w:t xml:space="preserve">paper/submissions/JAC-R1/analysis/simulator_revalidation.json</w:t>
      </w:r>
      <w:r>
        <w:t xml:space="preserve">; script</w:t>
      </w:r>
      <w:r>
        <w:t xml:space="preserve"> </w:t>
      </w:r>
      <w:r>
        <w:rPr>
          <w:rStyle w:val="VerbatimChar"/>
        </w:rPr>
        <w:t xml:space="preserve">revalidate_simulator.py</w:t>
      </w:r>
      <w:r>
        <w:t xml:space="preserve">).</w:t>
      </w:r>
      <w:r>
        <w:t xml:space="preserve"> </w:t>
      </w:r>
      <w:r>
        <w:t xml:space="preserve">“Submitted”</w:t>
      </w:r>
      <w:r>
        <w:t xml:space="preserve"> </w:t>
      </w:r>
      <w:r>
        <w:t xml:space="preserve">is the bare Gaussian sum of the submitted version;</w:t>
      </w:r>
      <w:r>
        <w:t xml:space="preserve"> </w:t>
      </w:r>
      <w:r>
        <w:t xml:space="preserve">“corrected”</w:t>
      </w:r>
      <w:r>
        <w:t xml:space="preserve"> </w:t>
      </w:r>
      <w:r>
        <w:t xml:space="preserve">is the pymatgen convention of §3.3. The</w:t>
      </w:r>
      <w:r>
        <w:t xml:space="preserve"> </w:t>
      </w:r>
      <m:oMath>
        <m:r>
          <m:rPr>
            <m:sty m:val="p"/>
          </m:rPr>
          <m:t>≤</m:t>
        </m:r>
        <m:r>
          <m:t>5</m:t>
        </m:r>
      </m:oMath>
      <w:r>
        <w:t xml:space="preserve"> </w:t>
      </w:r>
      <w:r>
        <w:t xml:space="preserve">range is the training configuration; the</w:t>
      </w:r>
      <w:r>
        <w:t xml:space="preserve"> </w:t>
      </w:r>
      <m:oMath>
        <m:r>
          <m:rPr>
            <m:sty m:val="p"/>
          </m:rPr>
          <m:t>≤</m:t>
        </m:r>
        <m:r>
          <m:t>10</m:t>
        </m:r>
      </m:oMath>
      <w:r>
        <w:t xml:space="preserve"> </w:t>
      </w:r>
      <w:r>
        <w:t xml:space="preserve">range is the default of</w:t>
      </w:r>
      <w:r>
        <w:t xml:space="preserve"> </w:t>
      </w:r>
      <w:r>
        <w:rPr>
          <w:rStyle w:val="VerbatimChar"/>
        </w:rPr>
        <w:t xml:space="preserve">scripts/04_verify_debye.py</w:t>
      </w:r>
      <w:r>
        <w:t xml:space="preserve">, behind the 0.962 reported in the submitted version.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Reflection range</w:t>
            </w:r>
          </w:p>
        </w:tc>
        <w:tc>
          <w:tcPr/>
          <w:p>
            <w:pPr>
              <w:pStyle w:val="Compact"/>
            </w:pPr>
            <w:r>
              <w:t xml:space="preserve">Expression</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Fraction &gt; 0.9</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0.952</w:t>
            </w:r>
          </w:p>
        </w:tc>
        <w:tc>
          <w:tcPr/>
          <w:p>
            <w:pPr>
              <w:pStyle w:val="Compact"/>
            </w:pPr>
            <w:r>
              <w:t xml:space="preserve">0.969</w:t>
            </w:r>
          </w:p>
        </w:tc>
        <w:tc>
          <w:tcPr/>
          <w:p>
            <w:pPr>
              <w:pStyle w:val="Compact"/>
            </w:pPr>
            <w:r>
              <w:t xml:space="preserve">0.23</w:t>
            </w:r>
          </w:p>
        </w:tc>
        <w:tc>
          <w:tcPr/>
          <w:p>
            <w:pPr>
              <w:pStyle w:val="Compact"/>
            </w:pPr>
            <w:r>
              <w:t xml:space="preserve">0.907</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0.988</w:t>
            </w:r>
          </w:p>
        </w:tc>
        <w:tc>
          <w:tcPr/>
          <w:p>
            <w:pPr>
              <w:pStyle w:val="Compact"/>
            </w:pPr>
            <w:r>
              <w:t xml:space="preserve">0.999</w:t>
            </w:r>
          </w:p>
        </w:tc>
        <w:tc>
          <w:tcPr/>
          <w:p>
            <w:pPr>
              <w:pStyle w:val="Compact"/>
            </w:pPr>
            <w:r>
              <w:t xml:space="preserve">0.25</w:t>
            </w:r>
          </w:p>
        </w:tc>
        <w:tc>
          <w:tcPr/>
          <w:p>
            <w:pPr>
              <w:pStyle w:val="Compact"/>
            </w:pPr>
            <w:r>
              <w:t xml:space="preserve">0.980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0.939</w:t>
            </w:r>
          </w:p>
        </w:tc>
        <w:tc>
          <w:tcPr/>
          <w:p>
            <w:pPr>
              <w:pStyle w:val="Compact"/>
            </w:pPr>
            <w:r>
              <w:t xml:space="preserve">0.971</w:t>
            </w:r>
          </w:p>
        </w:tc>
        <w:tc>
          <w:tcPr/>
          <w:p>
            <w:pPr>
              <w:pStyle w:val="Compact"/>
            </w:pPr>
            <w:r>
              <w:t xml:space="preserve">0.49</w:t>
            </w:r>
          </w:p>
        </w:tc>
        <w:tc>
          <w:tcPr/>
          <w:p>
            <w:pPr>
              <w:pStyle w:val="Compact"/>
            </w:pPr>
            <w:r>
              <w:t xml:space="preserve">0.90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0.974</w:t>
            </w:r>
          </w:p>
        </w:tc>
        <w:tc>
          <w:tcPr/>
          <w:p>
            <w:pPr>
              <w:pStyle w:val="Compact"/>
            </w:pPr>
            <w:r>
              <w:t xml:space="preserve">0.998</w:t>
            </w:r>
          </w:p>
        </w:tc>
        <w:tc>
          <w:tcPr/>
          <w:p>
            <w:pPr>
              <w:pStyle w:val="Compact"/>
            </w:pPr>
            <w:r>
              <w:t xml:space="preserve">0.52</w:t>
            </w:r>
          </w:p>
        </w:tc>
        <w:tc>
          <w:tcPr/>
          <w:p>
            <w:pPr>
              <w:pStyle w:val="Compact"/>
            </w:pPr>
            <w:r>
              <w:t xml:space="preserve">0.92</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0.960</w:t>
            </w:r>
          </w:p>
        </w:tc>
        <w:tc>
          <w:tcPr/>
          <w:p>
            <w:pPr>
              <w:pStyle w:val="Compact"/>
            </w:pPr>
            <w:r>
              <w:t xml:space="preserve">0.972</w:t>
            </w:r>
          </w:p>
        </w:tc>
        <w:tc>
          <w:tcPr/>
          <w:p>
            <w:pPr>
              <w:pStyle w:val="Compact"/>
            </w:pPr>
            <w:r>
              <w:t xml:space="preserve">0.54</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0.999</w:t>
            </w:r>
          </w:p>
        </w:tc>
        <w:tc>
          <w:tcPr/>
          <w:p>
            <w:pPr>
              <w:pStyle w:val="Compact"/>
            </w:pPr>
            <w:r>
              <w:t xml:space="preserve">1.000</w:t>
            </w:r>
          </w:p>
        </w:tc>
        <w:tc>
          <w:tcPr/>
          <w:p>
            <w:pPr>
              <w:pStyle w:val="Compact"/>
            </w:pPr>
            <w:r>
              <w:t xml:space="preserve">0.58</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0.963</w:t>
            </w:r>
          </w:p>
        </w:tc>
        <w:tc>
          <w:tcPr/>
          <w:p>
            <w:pPr>
              <w:pStyle w:val="Compact"/>
            </w:pPr>
            <w:r>
              <w:t xml:space="preserve">0.972</w:t>
            </w:r>
          </w:p>
        </w:tc>
        <w:tc>
          <w:tcPr/>
          <w:p>
            <w:pPr>
              <w:pStyle w:val="Compact"/>
            </w:pPr>
            <w:r>
              <w:t xml:space="preserve">0.90</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0.999</w:t>
            </w:r>
          </w:p>
        </w:tc>
        <w:tc>
          <w:tcPr/>
          <w:p>
            <w:pPr>
              <w:pStyle w:val="Compact"/>
            </w:pPr>
            <w:r>
              <w:t xml:space="preserve">1.000</w:t>
            </w:r>
          </w:p>
        </w:tc>
        <w:tc>
          <w:tcPr/>
          <w:p>
            <w:pPr>
              <w:pStyle w:val="Compact"/>
            </w:pPr>
            <w:r>
              <w:t xml:space="preserve">0.98</w:t>
            </w:r>
          </w:p>
        </w:tc>
        <w:tc>
          <w:tcPr/>
          <w:p>
            <w:pPr>
              <w:pStyle w:val="Compact"/>
            </w:pPr>
            <w:r>
              <w:t xml:space="preserve">–</w:t>
            </w:r>
          </w:p>
        </w:tc>
      </w:tr>
    </w:tbl>
    <w:p>
      <w:pPr>
        <w:pStyle w:val="BodyText"/>
      </w:pPr>
      <w:r>
        <w:t xml:space="preserve">The corrected expression scores at least as high as the submitted one on every one of the 1000 structures. Gradients through the structure factor with respect to fractional coordinates were verified non-zero and finite. The regression test</w:t>
      </w:r>
      <w:r>
        <w:t xml:space="preserve"> </w:t>
      </w:r>
      <w:r>
        <w:rPr>
          <w:rStyle w:val="VerbatimChar"/>
        </w:rPr>
        <w:t xml:space="preserve">tests/test_debye_form_factor.py</w:t>
      </w:r>
      <w:r>
        <w:t xml:space="preserve"> </w:t>
      </w:r>
      <w:r>
        <w:t xml:space="preserve">pins</w:t>
      </w:r>
      <w:r>
        <w:t xml:space="preserve"> </w:t>
      </w:r>
      <m:oMath>
        <m:r>
          <m:t>f</m:t>
        </m:r>
        <m:r>
          <m:rPr>
            <m:sty m:val="p"/>
          </m:rPr>
          <m:t>(</m:t>
        </m:r>
        <m:r>
          <m:t>0</m:t>
        </m:r>
        <m:r>
          <m:rPr>
            <m:sty m:val="p"/>
          </m:rPr>
          <m:t>)</m:t>
        </m:r>
        <m:r>
          <m:rPr>
            <m:sty m:val="p"/>
          </m:rPr>
          <m:t>=</m:t>
        </m:r>
        <m:r>
          <m:t>Z</m:t>
        </m:r>
      </m:oMath>
      <w:r>
        <w:t xml:space="preserve"> </w:t>
      </w:r>
      <w:r>
        <w:t xml:space="preserve">and the agreement with</w:t>
      </w:r>
      <w:r>
        <w:t xml:space="preserve"> </w:t>
      </w:r>
      <w:r>
        <w:rPr>
          <w:rStyle w:val="VerbatimChar"/>
        </w:rPr>
        <w:t xml:space="preserve">pymatgen</w:t>
      </w:r>
      <w:r>
        <w:t xml:space="preserve"> </w:t>
      </w:r>
      <w:r>
        <w:t xml:space="preserve">on NaCl.</w:t>
      </w:r>
    </w:p>
    <w:bookmarkEnd w:id="61"/>
    <w:bookmarkStart w:id="62" w:name="d.-reproducibility-checklist"/>
    <w:p>
      <w:pPr>
        <w:pStyle w:val="Heading2"/>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5"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lattice-recovery bottleneck in diffusion-based powder-diffraction structure inversion</dc:title>
  <dc:creator/>
  <cp:keywords/>
  <dcterms:created xsi:type="dcterms:W3CDTF">2026-09-21T06:29:05Z</dcterms:created>
  <dcterms:modified xsi:type="dcterms:W3CDTF">2026-09-21T06:29:05Z</dcterms:modified>
</cp:coreProperties>
</file>

<file path=docProps/custom.xml><?xml version="1.0" encoding="utf-8"?>
<Properties xmlns="http://schemas.openxmlformats.org/officeDocument/2006/custom-properties" xmlns:vt="http://schemas.openxmlformats.org/officeDocument/2006/docPropsVTypes"/>
</file>