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0" w:after="0" w:line="480" w:lineRule="auto"/>
      </w:pPr>
      <w:r>
        <w:t xml:space="preserve">Fully Symmetry-Conditioned Rigid-Body Flow Matching for</w:t>
      </w:r>
      <w:r>
        <w:t xml:space="preserve"> </w:t>
      </w:r>
      <w:r>
        <w:t xml:space="preserve">Molecular-Crystal Structure Prediction</w:t>
      </w:r>
    </w:p>
    <w:p>
      <w:pPr>
        <w:pStyle w:val="Author"/>
        <w:spacing w:before="0" w:after="0" w:line="480" w:lineRule="auto"/>
      </w:pPr>
      <w:r>
        <w:t xml:space="preserve">Frank Cai</w:t>
      </w:r>
      <w:r>
        <w:br/>
      </w:r>
      <w:r>
        <w:t xml:space="preserve">Purdue University, West Lafayette, Indiana 47907, United States</w:t>
      </w:r>
      <w:r>
        <w:br/>
      </w:r>
      <w:r>
        <w:t xml:space="preserve">frankyc11223@gmail.com</w:t>
      </w:r>
    </w:p>
    <w:bookmarkStart w:id="9" w:name="abstract"/>
    <w:p>
      <w:pPr>
        <w:pStyle w:val="Heading1"/>
        <w:spacing w:before="0" w:after="0" w:line="480" w:lineRule="auto"/>
      </w:pPr>
      <w:r>
        <w:t xml:space="preserve">Abstract</w:t>
      </w:r>
    </w:p>
    <w:p>
      <w:pPr>
        <w:pStyle w:val="FirstParagraph"/>
        <w:spacing w:before="0" w:after="0" w:line="480" w:lineRule="auto"/>
      </w:pPr>
      <w:r>
        <w:t xml:space="preserve">Rigid-body flow matching reduces molecular-crystal structure prediction to a</w:t>
      </w:r>
      <w:r>
        <w:t xml:space="preserve"> </w:t>
      </w:r>
      <w:r>
        <w:t xml:space="preserve">lattice, fractional centroids, and per-molecule orientations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current rigid-body molecular-crystal generators leave crystallographic</w:t>
      </w:r>
      <w:r>
        <w:t xml:space="preserve"> </w:t>
      </w:r>
      <w:r>
        <w:t xml:space="preserve">symmetry unconditioned, and symmetry-conditioned generation has been demonstrated</w:t>
      </w:r>
      <w:r>
        <w:t xml:space="preserve"> </w:t>
      </w:r>
      <w:r>
        <w:t xml:space="preserve">only for inorganic atomic sites. We show that the per-molecule orientation target</w:t>
      </w:r>
      <w:r>
        <w:t xml:space="preserve"> </w:t>
      </w:r>
      <w:r>
        <w:t xml:space="preserve">factorizes as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into a</w:t>
      </w:r>
      <w:r>
        <w:t xml:space="preserve"> </w:t>
      </w:r>
      <w:r>
        <w:t xml:space="preserve">space-group-determined relative rotation, which a flow learns, and a gauge-free</w:t>
      </w:r>
      <w:r>
        <w:t xml:space="preserve"> </w:t>
      </w:r>
      <w:r>
        <w:t xml:space="preserve">asymmetric-unit pose, which it cannot regress from packing. We turn this into a</w:t>
      </w:r>
      <w:r>
        <w:t xml:space="preserve"> </w:t>
      </w:r>
      <w:r>
        <w:t xml:space="preserve">deployable method: a leak-free coset label—the generating space-group</w:t>
      </w:r>
      <w:r>
        <w:t xml:space="preserve"> </w:t>
      </w:r>
      <w:r>
        <w:t xml:space="preserve">operation, recoverable from a symmetry template at sampling time—conditions the</w:t>
      </w:r>
      <w:r>
        <w:t xml:space="preserve"> </w:t>
      </w:r>
      <w:r>
        <w:t xml:space="preserve">orientation flow. On Cambridge Structural Database crystals, deployable coset</w:t>
      </w:r>
      <w:r>
        <w:t xml:space="preserve"> </w:t>
      </w:r>
      <w:r>
        <w:t xml:space="preserve">conditioning lifts the held-out non-reference orientation loss by</w:t>
      </w:r>
      <w:r>
        <w:t xml:space="preserve"> </w:t>
      </w:r>
      <m:oMath>
        <m:r>
          <m:t>41.1</m:t>
        </m:r>
        <m:r>
          <m:rPr>
            <m:sty m:val="p"/>
          </m:rPr>
          <m:t>%</m:t>
        </m:r>
      </m:oMath>
      <w:r>
        <w:t xml:space="preserve"> </w:t>
      </w:r>
      <w:r>
        <w:t xml:space="preserve">(versus</w:t>
      </w:r>
      <w:r>
        <w:t xml:space="preserve"> </w:t>
      </w:r>
      <m:oMath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for a paired control), two-thirds of the way to a leaky-codebook oracle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​</m:t>
        </m:r>
        <m:r>
          <m:t>48</m:t>
        </m:r>
        <m:r>
          <m:rPr>
            <m:sty m:val="p"/>
          </m:rPr>
          <m:t>%</m:t>
        </m:r>
      </m:oMath>
      <w:r>
        <w:t xml:space="preserve">);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closes the gap (</w:t>
      </w:r>
      <m:oMath>
        <m:r>
          <m:t>47.7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Supplying the coset at generation collapses the end-to-end orientation error</w:t>
      </w:r>
      <w:r>
        <w:t xml:space="preserve"> </w:t>
      </w:r>
      <w:r>
        <w:t xml:space="preserve">sevenfold (</w:t>
      </w:r>
      <m:oMath>
        <m:sSup>
          <m:e>
            <m:r>
              <m:t>93.5</m:t>
            </m:r>
          </m:e>
          <m:sup>
            <m:r>
              <m:rPr>
                <m:sty m:val="p"/>
              </m:rPr>
              <m:t>∘</m:t>
            </m:r>
          </m:sup>
        </m:sSup>
        <m:r>
          <m:t>​</m:t>
        </m:r>
        <m:r>
          <m:rPr>
            <m:sty m:val="p"/>
          </m:rPr>
          <m:t>→</m:t>
        </m:r>
        <m:r>
          <m:t>​</m:t>
        </m:r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the advantage widens with data.</w:t>
      </w:r>
      <w:r>
        <w:t xml:space="preserve"> </w:t>
      </w:r>
      <w:r>
        <w:t xml:space="preserve">Extending symmetry conditioning to the lattice—a crystal-family mask on an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-invariant log-metric parametrization—gives, to our knowledge, the</w:t>
      </w:r>
      <w:r>
        <w:t xml:space="preserve"> </w:t>
      </w:r>
      <w:r>
        <w:t xml:space="preserve">first fully symmetry-conditioned molecular-crystal flow. Paired with an</w:t>
      </w:r>
      <w:r>
        <w:t xml:space="preserve"> </w:t>
      </w:r>
      <w:r>
        <w:t xml:space="preserve">unsupervised symmetry-preserving packing finisher, a fully-ablated stack of levers</w:t>
      </w:r>
      <w:r>
        <w:t xml:space="preserve"> </w:t>
      </w:r>
      <w:r>
        <w:t xml:space="preserve">lifts held-out exact match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(strict best-of-</w:t>
      </w:r>
      <m:oMath>
        <m:r>
          <m:t>10</m:t>
        </m:r>
      </m:oMath>
      <w:r>
        <w:t xml:space="preserve">,</w:t>
      </w:r>
      <w:r>
        <w:t xml:space="preserve"> </w:t>
      </w:r>
      <w:r>
        <w:t xml:space="preserve">StructureMatcher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), at statistical parity with the symmetry-free</w:t>
      </w:r>
      <w:r>
        <w:t xml:space="preserve"> </w:t>
      </w:r>
      <w:r>
        <w:t xml:space="preserve">MolCrystalFlow (</w:t>
      </w:r>
      <m:oMath>
        <m:r>
          <m:rPr>
            <m:sty m:val="p"/>
          </m:rPr>
          <m:t>∼</m:t>
        </m:r>
        <m:r>
          <m:t>​</m:t>
        </m:r>
        <m:r>
          <m:t>8</m:t>
        </m:r>
        <m:r>
          <m:rPr>
            <m:sty m:val="p"/>
          </m:rPr>
          <m:t>%</m:t>
        </m:r>
      </m:oMath>
      <w:r>
        <w:t xml:space="preserve">), reaching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with orientation test-time</w:t>
      </w:r>
      <w:r>
        <w:t xml:space="preserve"> </w:t>
      </w:r>
      <w:r>
        <w:t xml:space="preserve">augmentation. We report the contribution of each lever.</w:t>
      </w:r>
    </w:p>
    <w:p>
      <w:pPr>
        <w:pStyle w:val="BodyText"/>
        <w:spacing w:before="0" w:after="0" w:line="480" w:lineRule="auto"/>
      </w:pPr>
      <w:r>
        <w:rPr>
          <w:b/>
          <w:bCs/>
        </w:rPr>
        <w:t xml:space="preserve">Keywords:</w:t>
      </w:r>
      <w:r>
        <w:t xml:space="preserve"> </w:t>
      </w:r>
      <w:r>
        <w:t xml:space="preserve">crystal structure prediction, flow matching, molecular crystals,</w:t>
      </w:r>
      <w:r>
        <w:t xml:space="preserve"> </w:t>
      </w:r>
      <w:r>
        <w:t xml:space="preserve">space-group symmetry, generative modeling, rigid-body</w:t>
      </w:r>
    </w:p>
    <w:bookmarkEnd w:id="9"/>
    <w:bookmarkStart w:id="12" w:name="introduction"/>
    <w:p>
      <w:pPr>
        <w:pStyle w:val="Heading1"/>
        <w:spacing w:before="0" w:after="0" w:line="480" w:lineRule="auto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  <w:spacing w:before="0" w:after="0" w:line="480" w:lineRule="auto"/>
      </w:pPr>
      <w:r>
        <w:t xml:space="preserve">Crystal structure prediction (CSP) seeks the stable periodic packing of a chemical</w:t>
      </w:r>
      <w:r>
        <w:t xml:space="preserve"> </w:t>
      </w:r>
      <w:r>
        <w:t xml:space="preserve">system, and generative models have become a fast alternative to large ensembles of</w:t>
      </w:r>
      <w:r>
        <w:t xml:space="preserve"> </w:t>
      </w:r>
      <w:r>
        <w:t xml:space="preserve">density-functional relaxations, progressing from crystal diffusion</w:t>
      </w:r>
      <w:r>
        <w:t xml:space="preserve"> </w:t>
      </w:r>
      <w:r>
        <w:t xml:space="preserve">autoencoders</w:t>
      </w:r>
      <w:r>
        <w:rPr>
          <w:vertAlign w:val="superscript"/>
        </w:rPr>
        <w:t xml:space="preserve">1</w:t>
      </w:r>
      <w:r>
        <w:t xml:space="preserve"> </w:t>
      </w:r>
      <w:r>
        <w:t xml:space="preserve">to joint equivariant</w:t>
      </w:r>
      <w:r>
        <w:t xml:space="preserve"> </w:t>
      </w:r>
      <w:r>
        <w:t xml:space="preserve">diffusion</w:t>
      </w:r>
      <w:r>
        <w:rPr>
          <w:vertAlign w:val="superscript"/>
        </w:rPr>
        <w:t xml:space="preserve">2</w:t>
      </w:r>
      <w:r>
        <w:t xml:space="preserve"> </w:t>
      </w:r>
      <w:r>
        <w:t xml:space="preserve">and Riemannian flow</w:t>
      </w:r>
      <w:r>
        <w:t xml:space="preserve"> </w:t>
      </w:r>
      <w:r>
        <w:t xml:space="preserve">matching</w:t>
      </w:r>
      <w:r>
        <w:rPr>
          <w:vertAlign w:val="superscript"/>
        </w:rPr>
        <w:t xml:space="preserve">3–5</w:t>
      </w:r>
      <w:r>
        <w:t xml:space="preserve">, which</w:t>
      </w:r>
      <w:r>
        <w:t xml:space="preserve"> </w:t>
      </w:r>
      <w:r>
        <w:t xml:space="preserve">traverses a straight conditional path solvable in tens of steps. Rigid-body</w:t>
      </w:r>
      <w:r>
        <w:t xml:space="preserve"> </w:t>
      </w:r>
      <w:r>
        <w:t xml:space="preserve">factorization is especially attractive for molecular crystals: freezing each</w:t>
      </w:r>
      <w:r>
        <w:t xml:space="preserve"> </w:t>
      </w:r>
      <w:r>
        <w:t xml:space="preserve">molecule’s conformer collapses dozens of atomic coordinates to a single pose—a</w:t>
      </w:r>
      <w:r>
        <w:t xml:space="preserve"> </w:t>
      </w:r>
      <w:r>
        <w:t xml:space="preserve">lattice</w:t>
      </w:r>
      <w:r>
        <w:t xml:space="preserve"> </w:t>
      </w:r>
      <m:oMath>
        <m:r>
          <m:t>L</m:t>
        </m:r>
      </m:oMath>
      <w:r>
        <w:t xml:space="preserve">, a fractional centroid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</m:oMath>
      <w:r>
        <w:t xml:space="preserve">, and an orientation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per molecule—and supports the short sampling trajectories</w:t>
      </w:r>
      <w:r>
        <w:t xml:space="preserve"> </w:t>
      </w:r>
      <w:r>
        <w:t xml:space="preserve">characteristic of flow matching.</w:t>
      </w:r>
    </w:p>
    <w:bookmarkStart w:id="10" w:name="the-gap."/>
    <w:p>
      <w:pPr>
        <w:pStyle w:val="Heading4"/>
        <w:spacing w:before="0" w:after="0" w:line="480" w:lineRule="auto"/>
      </w:pPr>
      <w:r>
        <w:rPr>
          <w:rStyle w:val="SectionNumber"/>
        </w:rPr>
        <w:t xml:space="preserve">1.0.0.1</w:t>
      </w:r>
      <w:r>
        <w:tab/>
      </w:r>
      <w:r>
        <w:t xml:space="preserve">The gap.</w:t>
      </w:r>
    </w:p>
    <w:p>
      <w:pPr>
        <w:pStyle w:val="FirstParagraph"/>
        <w:spacing w:before="0" w:after="0" w:line="480" w:lineRule="auto"/>
      </w:pPr>
      <w:r>
        <w:t xml:space="preserve">This factorization introduces a per-molecule orientation variable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 here the current generation of models underuses the available symmetry. MolCrystalFlow</w:t>
      </w:r>
      <w:r>
        <w:rPr>
          <w:vertAlign w:val="superscript"/>
        </w:rPr>
        <w:t xml:space="preserve">6</w:t>
      </w:r>
      <w:r>
        <w:t xml:space="preserve">, a 2026 rigid-body</w:t>
      </w:r>
      <w:r>
        <w:t xml:space="preserve"> </w:t>
      </w:r>
      <w:r>
        <w:t xml:space="preserve">molecular-crystal flow with the identical</w:t>
      </w:r>
      <w:r>
        <w:t xml:space="preserve"> </w:t>
      </w:r>
      <m:oMath>
        <m:r>
          <m:rPr>
            <m:nor/>
            <m:sty m:val="p"/>
          </m:rPr>
          <m:t>lattice</m:t>
        </m:r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factorization, jointly</w:t>
      </w:r>
      <w:r>
        <w:t xml:space="preserve"> </w:t>
      </w:r>
      <w:r>
        <w:t xml:space="preserve">learns pose but imposes no space-group constraint, and</w:t>
      </w:r>
      <w:r>
        <w:t xml:space="preserve"> </w:t>
      </w:r>
      <w:r>
        <w:t xml:space="preserve">MOFFlow</w:t>
      </w:r>
      <w:r>
        <w:rPr>
          <w:vertAlign w:val="superscript"/>
        </w:rPr>
        <w:t xml:space="preserve">7</w:t>
      </w:r>
      <w:r>
        <w:t xml:space="preserve"> </w:t>
      </w:r>
      <w:r>
        <w:t xml:space="preserve">flows rigid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poses relying on</w:t>
      </w:r>
      <w:r>
        <w:t xml:space="preserve"> </w:t>
      </w:r>
      <w:r>
        <w:t xml:space="preserve">framework connectivity rather than a symmetry prior. Symmetry- and</w:t>
      </w:r>
      <w:r>
        <w:t xml:space="preserve"> </w:t>
      </w:r>
      <w:r>
        <w:t xml:space="preserve">Wyckoff-conditioned generation, meanwhile, is proven only for</w:t>
      </w:r>
      <w:r>
        <w:t xml:space="preserve"> </w:t>
      </w:r>
      <w:r>
        <w:rPr>
          <w:i/>
          <w:iCs/>
        </w:rPr>
        <w:t xml:space="preserve">inorganic</w:t>
      </w:r>
      <w:r>
        <w:rPr>
          <w:i/>
          <w:iCs/>
        </w:rPr>
        <w:t xml:space="preserve"> </w:t>
      </w:r>
      <w:r>
        <w:rPr>
          <w:i/>
          <w:iCs/>
        </w:rPr>
        <w:t xml:space="preserve">atomic sites</w:t>
      </w:r>
      <w:r>
        <w:t xml:space="preserve">: DiffCSP++</w:t>
      </w:r>
      <w:r>
        <w:rPr>
          <w:vertAlign w:val="superscript"/>
        </w:rPr>
        <w:t xml:space="preserve">8</w:t>
      </w:r>
      <w:r>
        <w:t xml:space="preserve">,</w:t>
      </w:r>
      <w:r>
        <w:t xml:space="preserve"> </w:t>
      </w:r>
      <w:r>
        <w:t xml:space="preserve">WyckoffDiff</w:t>
      </w:r>
      <w:r>
        <w:rPr>
          <w:vertAlign w:val="superscript"/>
        </w:rPr>
        <w:t xml:space="preserve">9</w:t>
      </w:r>
      <w:r>
        <w:t xml:space="preserve">, SymmCD</w:t>
      </w:r>
      <w:r>
        <w:rPr>
          <w:vertAlign w:val="superscript"/>
        </w:rPr>
        <w:t xml:space="preserve">10</w:t>
      </w:r>
      <w:r>
        <w:t xml:space="preserve">, and the 2026</w:t>
      </w:r>
      <w:r>
        <w:t xml:space="preserve"> </w:t>
      </w:r>
      <w:r>
        <w:t xml:space="preserve">NextCrystal</w:t>
      </w:r>
      <w:r>
        <w:rPr>
          <w:vertAlign w:val="superscript"/>
        </w:rPr>
        <w:t xml:space="preserve">11</w:t>
      </w:r>
      <w:r>
        <w:t xml:space="preserve"> </w:t>
      </w:r>
      <w:r>
        <w:t xml:space="preserve">all condition atom generation on a</w:t>
      </w:r>
      <w:r>
        <w:t xml:space="preserve"> </w:t>
      </w:r>
      <w:r>
        <w:t xml:space="preserve">space-group/Wyckoff template, but none conditions rigid-body molecular</w:t>
      </w:r>
      <w:r>
        <w:t xml:space="preserve"> </w:t>
      </w:r>
      <w:r>
        <w:t xml:space="preserve">orientation. We close that gap and make the conditioning</w:t>
      </w:r>
      <w:r>
        <w:t xml:space="preserve"> </w:t>
      </w:r>
      <w:r>
        <w:rPr>
          <w:i/>
          <w:iCs/>
        </w:rPr>
        <w:t xml:space="preserve">deployable</w:t>
      </w:r>
      <w:r>
        <w:t xml:space="preserve">.</w:t>
      </w:r>
    </w:p>
    <w:bookmarkEnd w:id="10"/>
    <w:bookmarkStart w:id="11" w:name="contributions."/>
    <w:p>
      <w:pPr>
        <w:pStyle w:val="Heading4"/>
        <w:spacing w:before="0" w:after="0" w:line="480" w:lineRule="auto"/>
      </w:pPr>
      <w:r>
        <w:rPr>
          <w:rStyle w:val="SectionNumber"/>
        </w:rPr>
        <w:t xml:space="preserve">1.0.0.2</w:t>
      </w:r>
      <w:r>
        <w:tab/>
      </w:r>
      <w:r>
        <w:t xml:space="preserve">Contributions.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A leak-free, template-available coset label (the generating operation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recovered from centroids alone) that conditions the orientation</w:t>
      </w:r>
      <w:r>
        <w:t xml:space="preserve"> </w:t>
      </w:r>
      <w:r>
        <w:t xml:space="preserve">flow without seeing the target.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Deployable conditioning recovers two-thirds of the oracle-codebook</w:t>
      </w:r>
      <w:r>
        <w:t xml:space="preserve"> </w:t>
      </w:r>
      <w:r>
        <w:t xml:space="preserve">orientation benefit (</w:t>
      </w:r>
      <m:oMath>
        <m:r>
          <m:rPr>
            <m:sty m:val="p"/>
          </m:rPr>
          <m:t>+</m:t>
        </m:r>
        <m:r>
          <m:t>41.1</m:t>
        </m:r>
        <m:r>
          <m:rPr>
            <m:sty m:val="p"/>
          </m:rPr>
          <m:t>%</m:t>
        </m:r>
      </m:oMath>
      <w:r>
        <w:t xml:space="preserve"> </w:t>
      </w:r>
      <w:r>
        <w:t xml:space="preserve">vs a</w:t>
      </w:r>
      <w:r>
        <w:t xml:space="preserve"> </w:t>
      </w:r>
      <m:oMath>
        <m:r>
          <m:rPr>
            <m:sty m:val="p"/>
          </m:rPr>
          <m:t>+</m:t>
        </m:r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paired control);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closes the rest (</w:t>
      </w:r>
      <m:oMath>
        <m:r>
          <m:rPr>
            <m:sty m:val="p"/>
          </m:rPr>
          <m:t>+</m:t>
        </m:r>
        <m:r>
          <m:t>47.7</m:t>
        </m:r>
        <m:r>
          <m:rPr>
            <m:sty m:val="p"/>
          </m:rPr>
          <m:t>%</m:t>
        </m:r>
      </m:oMath>
      <w:r>
        <w:t xml:space="preserve">).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End-to-end, supplying the coset collapses the orientation error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sSup>
          <m:e>
            <m:r>
              <m:t>93.5</m:t>
            </m:r>
          </m:e>
          <m:sup>
            <m:r>
              <m:rPr>
                <m:sty m:val="p"/>
              </m:rPr>
              <m:t>∘</m:t>
            </m:r>
          </m:sup>
        </m:sSup>
        <m:r>
          <m:t>​</m:t>
        </m:r>
        <m:r>
          <m:rPr>
            <m:sty m:val="p"/>
          </m:rPr>
          <m:t>→</m:t>
        </m:r>
        <m:r>
          <m:t>​</m:t>
        </m:r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the coset advantage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with data.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A template-free path: a packing-only predictor whose top-</w:t>
      </w:r>
      <m:oMath>
        <m:r>
          <m:t>k</m:t>
        </m:r>
      </m:oMath>
      <w:r>
        <w:t xml:space="preserve"> </w:t>
      </w:r>
      <w:r>
        <w:t xml:space="preserve">covers the true</w:t>
      </w:r>
      <w:r>
        <w:t xml:space="preserve"> </w:t>
      </w:r>
      <w:r>
        <w:t xml:space="preserve">coset for</w:t>
      </w:r>
      <w:r>
        <w:t xml:space="preserve"> </w:t>
      </w:r>
      <m:oMath>
        <m:r>
          <m:t>86</m:t>
        </m:r>
        <m:r>
          <m:rPr>
            <m:sty m:val="p"/>
          </m:rPr>
          <m:t>%</m:t>
        </m:r>
      </m:oMath>
      <w:r>
        <w:t xml:space="preserve"> </w:t>
      </w:r>
      <w:r>
        <w:t xml:space="preserve">of molecules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made usable by top-</w:t>
      </w:r>
      <m:oMath>
        <m:r>
          <m:t>k</m:t>
        </m:r>
      </m:oMath>
      <w:r>
        <w:t xml:space="preserve"> </w:t>
      </w:r>
      <w:r>
        <w:t xml:space="preserve">marginalization.</w:t>
      </w:r>
    </w:p>
    <w:p>
      <w:pPr>
        <w:numPr>
          <w:ilvl w:val="0"/>
          <w:numId w:val="1001"/>
        </w:numPr>
        <w:spacing w:before="0" w:after="0" w:line="480" w:lineRule="auto"/>
      </w:pPr>
      <w:r>
        <w:t xml:space="preserve">Extending symmetry conditioning to the lattice (a crystal-family mask on a</w:t>
      </w:r>
      <w:r>
        <w:t xml:space="preserve"> </w:t>
      </w:r>
      <w:r>
        <w:t xml:space="preserve">log-metric parametrization) gives the first</w:t>
      </w:r>
      <w:r>
        <w:t xml:space="preserve"> </w:t>
      </w:r>
      <w:r>
        <w:rPr>
          <w:i/>
          <w:iCs/>
        </w:rPr>
        <w:t xml:space="preserve">fully symmetry-conditioned</w:t>
      </w:r>
      <w:r>
        <w:t xml:space="preserve"> </w:t>
      </w:r>
      <w:r>
        <w:t xml:space="preserve">molecular-crystal flow; composed with an unsupervised packing finisher and a</w:t>
      </w:r>
      <w:r>
        <w:t xml:space="preserve"> </w:t>
      </w:r>
      <w:r>
        <w:t xml:space="preserve">fully-ablated lever stack, it lifts exact match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(strict</w:t>
      </w:r>
      <w:r>
        <w:t xml:space="preserve"> </w:t>
      </w:r>
      <w:r>
        <w:t xml:space="preserve">best-of-</w:t>
      </w:r>
      <m:oMath>
        <m:r>
          <m:t>10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)—parity with MolCrystalFlow—and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orientation test-time augmentation.</w:t>
      </w:r>
    </w:p>
    <w:bookmarkEnd w:id="11"/>
    <w:bookmarkEnd w:id="12"/>
    <w:bookmarkStart w:id="21" w:name="methods"/>
    <w:p>
      <w:pPr>
        <w:pStyle w:val="Heading1"/>
        <w:spacing w:before="0" w:after="0" w:line="480" w:lineRule="auto"/>
      </w:pPr>
      <w:r>
        <w:rPr>
          <w:rStyle w:val="SectionNumber"/>
        </w:rPr>
        <w:t xml:space="preserve">2</w:t>
      </w:r>
      <w:r>
        <w:tab/>
      </w:r>
      <w:r>
        <w:t xml:space="preserve">Methods</w:t>
      </w:r>
    </w:p>
    <w:bookmarkStart w:id="13" w:name="rigid-body-flow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2.1</w:t>
      </w:r>
      <w:r>
        <w:tab/>
      </w:r>
      <w:r>
        <w:t xml:space="preserve">Rigid-body flow</w:t>
      </w:r>
    </w:p>
    <w:p>
      <w:pPr>
        <w:pStyle w:val="FirstParagraph"/>
        <w:spacing w:before="0" w:after="0" w:line="480" w:lineRule="auto"/>
      </w:pPr>
      <w:r>
        <w:t xml:space="preserve">SymMC-Flow represents a molecular crystal by a lattice</w:t>
      </w:r>
      <w:r>
        <w:t xml:space="preserve"> </w:t>
      </w:r>
      <m:oMath>
        <m:r>
          <m:t>L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and, per molecule</w:t>
      </w:r>
      <w:r>
        <w:t xml:space="preserve"> </w:t>
      </w:r>
      <m:oMath>
        <m:r>
          <m:t>m</m:t>
        </m:r>
      </m:oMath>
      <w:r>
        <w:t xml:space="preserve">, a fractional centroid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an</w:t>
      </w:r>
      <w:r>
        <w:t xml:space="preserve"> </w:t>
      </w:r>
      <w:r>
        <w:t xml:space="preserve">orientation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acting on a shared body-frame conformer, so that</w:t>
      </w:r>
      <w:r>
        <w:t xml:space="preserve"> </w:t>
      </w:r>
      <w:r>
        <w:t xml:space="preserve">atom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molecule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sits at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cart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 </m:t>
        </m:r>
        <m:sSub>
          <m:e>
            <m:r>
              <m:rPr>
                <m:nor/>
                <m:sty m:val="p"/>
              </m:rPr>
              <m:t>local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. Each crystal is parsed into rigid</w:t>
      </w:r>
      <w:r>
        <w:t xml:space="preserve"> </w:t>
      </w:r>
      <w:r>
        <w:t xml:space="preserve">blocks by a covalent-bond graph with periodic unwrapping; species are keyed by a</w:t>
      </w:r>
      <w:r>
        <w:t xml:space="preserve"> </w:t>
      </w:r>
      <w:r>
        <w:t xml:space="preserve">Weisfeiler–Leman hash and share one reference conformer rotated into a</w:t>
      </w:r>
      <w:r>
        <w:t xml:space="preserve"> </w:t>
      </w:r>
      <w:r>
        <w:t xml:space="preserve">molecule-intrinsic frame, so each copy’s pose is the Kabsch rotation to that frame</w:t>
      </w:r>
      <w:r>
        <w:t xml:space="preserve"> </w:t>
      </w:r>
      <w:r>
        <w:t xml:space="preserve">(Supporting Information). A conditional flow-matching</w:t>
      </w:r>
      <w:r>
        <w:t xml:space="preserve"> </w:t>
      </w:r>
      <w:r>
        <w:t xml:space="preserve">objective</w:t>
      </w:r>
      <w:r>
        <w:rPr>
          <w:vertAlign w:val="superscript"/>
        </w:rPr>
        <w:t xml:space="preserve">4</w:t>
      </w:r>
      <w:r>
        <w:t xml:space="preserve"> </w:t>
      </w:r>
      <w:r>
        <w:t xml:space="preserve">is trained jointly over three manifolds—a</w:t>
      </w:r>
      <w:r>
        <w:t xml:space="preserve"> </w:t>
      </w:r>
      <w:r>
        <w:t xml:space="preserve">Euclidean path for a volume-normalized log-metric lattice, a torus geodesic for</w:t>
      </w:r>
      <w:r>
        <w:t xml:space="preserve"> </w:t>
      </w:r>
      <w:r>
        <w:t xml:space="preserve">centroids, and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geodesic for orientations—with the velocity</w:t>
      </w:r>
      <w:r>
        <w:t xml:space="preserve"> </w:t>
      </w:r>
      <w:r>
        <w:t xml:space="preserve">field conditioned on the space group; an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-equivariant</w:t>
      </w:r>
      <w:r>
        <w:t xml:space="preserve"> </w:t>
      </w:r>
      <w:r>
        <w:t xml:space="preserve">encoder</w:t>
      </w:r>
      <w:r>
        <w:rPr>
          <w:vertAlign w:val="superscript"/>
        </w:rPr>
        <w:t xml:space="preserve">12</w:t>
      </w:r>
      <w:r>
        <w:t xml:space="preserve"> </w:t>
      </w:r>
      <w:r>
        <w:t xml:space="preserve">embeds the conformer and pair-bias attention mixes</w:t>
      </w:r>
      <w:r>
        <w:t xml:space="preserve"> </w:t>
      </w:r>
      <w:r>
        <w:t xml:space="preserve">molecules within the cell. Sampling integrates the three coupled fields with an</w:t>
      </w:r>
      <w:r>
        <w:t xml:space="preserve"> </w:t>
      </w:r>
      <w:r>
        <w:t xml:space="preserve">RK4 solver in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steps.</w:t>
      </w:r>
    </w:p>
    <w:bookmarkEnd w:id="13"/>
    <w:bookmarkStart w:id="14" w:name="the-orientation-decomposition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2.2</w:t>
      </w:r>
      <w:r>
        <w:tab/>
      </w:r>
      <w:r>
        <w:t xml:space="preserve">The orientation decomposition</w:t>
      </w:r>
    </w:p>
    <w:p>
      <w:pPr>
        <w:pStyle w:val="FirstParagraph"/>
        <w:spacing w:before="0" w:after="0" w:line="480" w:lineRule="auto"/>
      </w:pPr>
      <w:r>
        <w:t xml:space="preserve">A molecule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generated from the asymmetric unit by a space-group operation with</w:t>
      </w:r>
      <w:r>
        <w:t xml:space="preserve"> </w:t>
      </w:r>
      <w:r>
        <w:t xml:space="preserve">rotation part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absolute pose</w:t>
      </w:r>
    </w:p>
    <w:p>
      <w:pPr>
        <w:pStyle w:val="BodyText"/>
        <w:spacing w:before="0" w:after="0" w:line="480" w:lineRule="auto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t</m:t>
          </m:r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asym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spacing w:before="0" w:after="0" w:line="480" w:lineRule="auto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the orientation of the asymmetric unit in the cell. The</w:t>
      </w:r>
      <w:r>
        <w:t xml:space="preserve"> </w:t>
      </w:r>
      <w:r>
        <w:t xml:space="preserve">first factor is fixed by the space group and shared across crystals; the second is</w:t>
      </w:r>
      <w:r>
        <w:t xml:space="preserve"> </w:t>
      </w:r>
      <w:r>
        <w:t xml:space="preserve">a free, per-crystal choice. Because the body-frame gauge is arbitrary,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carries no consistent signal tied to composition or packing:</w:t>
      </w:r>
      <w:r>
        <w:t xml:space="preserve"> </w:t>
      </w:r>
      <w:r>
        <w:t xml:space="preserve">trained directly on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, an absolute-orientation head never leaves its</w:t>
      </w:r>
      <w:r>
        <w:t xml:space="preserve"> </w:t>
      </w:r>
      <w:r>
        <w:t xml:space="preserve">predict-zero floor (</w:t>
      </w:r>
      <m:oMath>
        <m:r>
          <m:rPr>
            <m:scr m:val="double-struck"/>
            <m:sty m:val="p"/>
          </m:rPr>
          <m:t>E</m:t>
        </m:r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≈</m:t>
        </m:r>
        <m:r>
          <m:t>​</m:t>
        </m:r>
        <m:r>
          <m:t>5.24</m:t>
        </m:r>
      </m:oMath>
      <w:r>
        <w:t xml:space="preserve">) while the</w:t>
      </w:r>
      <w:r>
        <w:t xml:space="preserve"> </w:t>
      </w:r>
      <w:r>
        <w:t xml:space="preserve">lattice and centroid heads converge normally. The empirical distribution is</w:t>
      </w:r>
      <w:r>
        <w:t xml:space="preserve"> </w:t>
      </w:r>
      <w:r>
        <w:t xml:space="preserve">consistent with this—absolute reference-copy orientations track the Haar-uniform</w:t>
      </w:r>
      <w:r>
        <w:t xml:space="preserve"> </w:t>
      </w:r>
      <w:r>
        <w:t xml:space="preserve">density on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(mean geodesic angle</w:t>
      </w:r>
      <w:r>
        <w:t xml:space="preserve"> </w:t>
      </w:r>
      <m:oMath>
        <m:sSup>
          <m:e>
            <m:r>
              <m:t>122.6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against the Haar</w:t>
      </w:r>
      <w:r>
        <w:t xml:space="preserve"> </w:t>
      </w:r>
      <w:r>
        <w:t xml:space="preserve">expectation</w:t>
      </w:r>
      <w:r>
        <w:t xml:space="preserve"> </w:t>
      </w:r>
      <m:oMath>
        <m:sSup>
          <m:e>
            <m:r>
              <m:t>126.5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Kolmogorov–Smirnov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0.04</m:t>
        </m:r>
      </m:oMath>
      <w:r>
        <w:t xml:space="preserve">), and a supervised probe</w:t>
      </w:r>
      <w:r>
        <w:t xml:space="preserve"> </w:t>
      </w:r>
      <w:r>
        <w:t xml:space="preserve">trained to predict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from lattice, centroid arrangement, conformer,</w:t>
      </w:r>
      <w:r>
        <w:t xml:space="preserve"> </w:t>
      </w:r>
      <w:r>
        <w:t xml:space="preserve">and space group does not beat the best feature-free constant (Supporting</w:t>
      </w:r>
      <w:r>
        <w:t xml:space="preserve"> </w:t>
      </w:r>
      <w:r>
        <w:t xml:space="preserve">Information). We therefore state the claim operationally and narrowly: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is not predictable from the conditioning available here, not that</w:t>
      </w:r>
      <w:r>
        <w:t xml:space="preserve"> </w:t>
      </w:r>
      <w:r>
        <w:t xml:space="preserve">orientation is unlearnable in principle—a richer descriptor such as</w:t>
      </w:r>
      <w:r>
        <w:t xml:space="preserve"> </w:t>
      </w:r>
      <w:r>
        <w:t xml:space="preserve">hydrogen-bond topology or dipole alignment could in principle expose residual</w:t>
      </w:r>
      <w:r>
        <w:t xml:space="preserve"> </w:t>
      </w:r>
      <w:r>
        <w:t xml:space="preserve">signal.</w:t>
      </w:r>
    </w:p>
    <w:p>
      <w:pPr>
        <w:pStyle w:val="BodyText"/>
        <w:spacing w:before="0" w:after="0" w:line="480" w:lineRule="auto"/>
      </w:pPr>
      <w:r>
        <w:t xml:space="preserve">To isolate the learnable factor we re-gauge each crystal so the first copy of every</w:t>
      </w:r>
      <w:r>
        <w:t xml:space="preserve"> </w:t>
      </w:r>
      <w:r>
        <w:t xml:space="preserve">species is a reference 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 and the remaining copies carry only the relative</w:t>
      </w:r>
      <w:r>
        <w:t xml:space="preserve"> </w:t>
      </w:r>
      <w:r>
        <w:t xml:space="preserve">rotation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  <m:sSubSup>
          <m:e>
            <m:r>
              <m:t>R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, which cancels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and leaves the</w:t>
      </w:r>
      <w:r>
        <w:t xml:space="preserve"> </w:t>
      </w:r>
      <w:r>
        <w:t xml:space="preserve">reconstructed crystal unchanged. Splitting the orientation loss into reference</w:t>
      </w:r>
      <w:r>
        <w:t xml:space="preserve"> </w:t>
      </w:r>
      <w:r>
        <w:t xml:space="preserve">copies (target</w:t>
      </w:r>
      <w:r>
        <w:t xml:space="preserve"> </w:t>
      </w:r>
      <m:oMath>
        <m:r>
          <m:t>I</m:t>
        </m:r>
      </m:oMath>
      <w:r>
        <w:t xml:space="preserve">) and non-reference copies (the symmetry-determined targets) and</w:t>
      </w:r>
      <w:r>
        <w:t xml:space="preserve"> </w:t>
      </w:r>
      <w:r>
        <w:t xml:space="preserve">reporting the latter—which cannot be earned by predicting the identity—the</w:t>
      </w:r>
      <w:r>
        <w:t xml:space="preserve"> </w:t>
      </w:r>
      <w:r>
        <w:t xml:space="preserve">held-out non-reference loss drops by</w:t>
      </w:r>
      <w:r>
        <w:t xml:space="preserve"> </w:t>
      </w:r>
      <m:oMath>
        <m:r>
          <m:t>27.5</m:t>
        </m:r>
        <m:r>
          <m:rPr>
            <m:sty m:val="p"/>
          </m:rPr>
          <m:t>±</m:t>
        </m:r>
        <m:r>
          <m:t>2.7</m:t>
        </m:r>
        <m:r>
          <m:rPr>
            <m:sty m:val="p"/>
          </m:rPr>
          <m:t>%</m:t>
        </m:r>
      </m:oMath>
      <w:r>
        <w:t xml:space="preserve"> </w:t>
      </w:r>
      <w:r>
        <w:t xml:space="preserve">over three seeds</w:t>
      </w:r>
      <w:r>
        <w:t xml:space="preserve"> </w:t>
      </w:r>
      <w:r>
        <w:t xml:space="preserve">(Table 1), identically under noised and clean conditioning, so the</w:t>
      </w:r>
      <w:r>
        <w:t xml:space="preserve"> </w:t>
      </w:r>
      <w:r>
        <w:t xml:space="preserve">signal rides on the space group (conditioned directly) and the coarse centroid</w:t>
      </w:r>
      <w:r>
        <w:t xml:space="preserve"> </w:t>
      </w:r>
      <w:r>
        <w:t xml:space="preserve">arrangement. A stricter species-grouped split that keeps every crystal sharing a</w:t>
      </w:r>
      <w:r>
        <w:t xml:space="preserve"> </w:t>
      </w:r>
      <w:r>
        <w:t xml:space="preserve">species on one side of the partition gives</w:t>
      </w:r>
      <w:r>
        <w:t xml:space="preserve"> </w:t>
      </w:r>
      <m:oMath>
        <m:r>
          <m:t>28.5</m:t>
        </m:r>
        <m:r>
          <m:rPr>
            <m:sty m:val="p"/>
          </m:rPr>
          <m:t>±</m:t>
        </m:r>
        <m:r>
          <m:t>2.9</m:t>
        </m:r>
        <m:r>
          <m:rPr>
            <m:sty m:val="p"/>
          </m:rPr>
          <m:t>%</m:t>
        </m:r>
      </m:oMath>
      <w:r>
        <w:t xml:space="preserve">, ruling out species</w:t>
      </w:r>
      <w:r>
        <w:t xml:space="preserve"> </w:t>
      </w:r>
      <w:r>
        <w:t xml:space="preserve">leakage between training and validation. The floor of the absolute target and the</w:t>
      </w:r>
      <w:r>
        <w:t xml:space="preserve"> </w:t>
      </w:r>
      <w:r>
        <w:t xml:space="preserve">descent of the relative target together confirm Eq. (1): the only</w:t>
      </w:r>
      <w:r>
        <w:t xml:space="preserve"> </w:t>
      </w:r>
      <w:r>
        <w:t xml:space="preserve">learnable content in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part that survives cancellation of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. This is a diagnostic; the coset construction below makes it a</w:t>
      </w:r>
      <w:r>
        <w:t xml:space="preserve"> </w:t>
      </w:r>
      <w:r>
        <w:t xml:space="preserve">deployable method.</w:t>
      </w:r>
    </w:p>
    <w:p>
      <w:pPr>
        <w:pStyle w:val="TableCaption"/>
        <w:spacing w:before="0" w:after="0" w:line="480" w:lineRule="auto"/>
      </w:pPr>
      <w:r>
        <w:t xml:space="preserve">Table 1. Held-out non-reference orientation loss (untrained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trained)</w:t>
      </w:r>
      <w:r>
        <w:t xml:space="preserve"> </w:t>
      </w:r>
      <w:r>
        <w:t xml:space="preserve">across orientation target and conditioning. The absolute pose floors; the relative</w:t>
      </w:r>
      <w:r>
        <w:t xml:space="preserve"> </w:t>
      </w:r>
      <w:r>
        <w:t xml:space="preserve">(symmetry-determined) orientation is learnable and robust to conditioning noise.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Held-out non-reference orientation loss (untrained \rightarrow trained) across orientation target and conditioning. The absolute pose floors; the relative (symmetry-determined) orientation is learnable and robust to conditioning nois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noised conditioning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clean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5.18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5.35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5.18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3.3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27.1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5.37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3.94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+</m:t>
              </m:r>
              <m:r>
                <m:t>26.7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</w:tbl>
    <w:bookmarkEnd w:id="14"/>
    <w:bookmarkStart w:id="15" w:name="deployable-symmetry-coset-conditioning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2.3</w:t>
      </w:r>
      <w:r>
        <w:tab/>
      </w:r>
      <w:r>
        <w:t xml:space="preserve">Deployable symmetry-coset conditioning</w:t>
      </w:r>
    </w:p>
    <w:p>
      <w:pPr>
        <w:pStyle w:val="FirstParagraph"/>
        <w:spacing w:before="0" w:after="0" w:line="480" w:lineRule="auto"/>
      </w:pPr>
      <w:r>
        <w:t xml:space="preserve">The non-reference relative rotations fall into a discrete set of</w:t>
      </w:r>
      <w:r>
        <w:t xml:space="preserve"> </w:t>
      </w:r>
      <w:r>
        <w:rPr>
          <w:i/>
          <w:iCs/>
        </w:rPr>
        <w:t xml:space="preserve">cosets</w:t>
      </w:r>
      <w:r>
        <w:t xml:space="preserve">: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equals the rotation part of the operation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that maps the</w:t>
      </w:r>
      <w:r>
        <w:t xml:space="preserve"> </w:t>
      </w:r>
      <w:r>
        <w:t xml:space="preserve">reference copy to copy</w:t>
      </w:r>
      <w:r>
        <w:t xml:space="preserve"> </w:t>
      </w:r>
      <m:oMath>
        <m:r>
          <m:t>m</m:t>
        </m:r>
      </m:oMath>
      <w:r>
        <w:t xml:space="preserve">. We assign each molecule this generating operation from</w:t>
      </w:r>
      <w:r>
        <w:t xml:space="preserve"> </w:t>
      </w:r>
      <w:r>
        <w:t xml:space="preserve">the crystallography, by matching its fractional centroid against</w:t>
      </w:r>
      <w:r>
        <w:t xml:space="preserve"> </w:t>
      </w:r>
      <m:oMath>
        <m:sSub>
          <m:e>
            <m:r>
              <m:t>W</m:t>
            </m:r>
          </m:e>
          <m:sub>
            <m:r>
              <m:t>h</m:t>
            </m:r>
          </m:sub>
        </m:sSub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(minimum image) over the space group’s operations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obtained from</w:t>
      </w:r>
      <w:r>
        <w:t xml:space="preserve"> </w:t>
      </w:r>
      <w:r>
        <w:t xml:space="preserve">pymatgen—never from the observed rotation. The resulting label is</w:t>
      </w:r>
      <w:r>
        <w:t xml:space="preserve"> </w:t>
      </w:r>
      <w:r>
        <w:rPr>
          <w:b/>
          <w:bCs/>
        </w:rPr>
        <w:t xml:space="preserve">leak-free</w:t>
      </w:r>
      <w:r>
        <w:t xml:space="preserve"> </w:t>
      </w:r>
      <w:r>
        <w:t xml:space="preserve">and available at sampling time from a symmetry template, exactly</w:t>
      </w:r>
      <w:r>
        <w:t xml:space="preserve"> </w:t>
      </w:r>
      <w:r>
        <w:t xml:space="preserve">as DiffCSP++/WyckoffDiff-style generators supply Wyckoff templates for</w:t>
      </w:r>
      <w:r>
        <w:t xml:space="preserve"> </w:t>
      </w:r>
      <w:r>
        <w:t xml:space="preserve">atoms</w:t>
      </w:r>
      <w:r>
        <w:rPr>
          <w:vertAlign w:val="superscript"/>
        </w:rPr>
        <w:t xml:space="preserve">8,9</w:t>
      </w:r>
      <w:r>
        <w:t xml:space="preserve">. This yields</w:t>
      </w:r>
      <w:r>
        <w:t xml:space="preserve"> </w:t>
      </w:r>
      <m:oMath>
        <m:r>
          <m:t>238</m:t>
        </m:r>
      </m:oMath>
      <w:r>
        <w:t xml:space="preserve"> </w:t>
      </w:r>
      <w:r>
        <w:t xml:space="preserve">operation-cosets</w:t>
      </w:r>
      <w:r>
        <w:t xml:space="preserve"> </w:t>
      </w:r>
      <w:r>
        <w:t xml:space="preserve">across the corpus (versus</w:t>
      </w:r>
      <w:r>
        <w:t xml:space="preserve"> </w:t>
      </w:r>
      <m:oMath>
        <m:r>
          <m:t>707</m:t>
        </m:r>
      </m:oMath>
      <w:r>
        <w:t xml:space="preserve"> </w:t>
      </w:r>
      <w:r>
        <w:t xml:space="preserve">for a codebook clustered from the target rotations,</w:t>
      </w:r>
      <w:r>
        <w:t xml:space="preserve"> </w:t>
      </w:r>
      <w:r>
        <w:t xml:space="preserve">whose index is derived in part from the answer and so serves only as an upper</w:t>
      </w:r>
      <w:r>
        <w:t xml:space="preserve"> </w:t>
      </w:r>
      <w:r>
        <w:t xml:space="preserve">bound). The coset index enters the network as a per-molecule embedding and is</w:t>
      </w:r>
      <w:r>
        <w:t xml:space="preserve"> </w:t>
      </w:r>
      <w:r>
        <w:t xml:space="preserve">threaded through the sampler, conditioning both training and generation.</w:t>
      </w:r>
    </w:p>
    <w:bookmarkEnd w:id="15"/>
    <w:bookmarkStart w:id="16" w:name="mathrmso3-averaged-objective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2.4</w:t>
      </w:r>
      <w:r>
        <w:tab/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</w:t>
      </w:r>
    </w:p>
    <w:p>
      <w:pPr>
        <w:pStyle w:val="FirstParagraph"/>
        <w:spacing w:before="0" w:after="0" w:line="480" w:lineRule="auto"/>
      </w:pPr>
      <w:r>
        <w:t xml:space="preserve">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flow-matching residual has high variance because the prior</w:t>
      </w:r>
      <w:r>
        <w:t xml:space="preserve"> </w:t>
      </w:r>
      <w:r>
        <w:t xml:space="preserve">rotation is drawn uniformly. Following 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flow objective</w:t>
      </w:r>
      <w:r>
        <w:t xml:space="preserve"> </w:t>
      </w:r>
      <w:r>
        <w:t xml:space="preserve">for conformer generation</w:t>
      </w:r>
      <w:r>
        <w:rPr>
          <w:vertAlign w:val="superscript"/>
        </w:rPr>
        <w:t xml:space="preserve">13</w:t>
      </w:r>
      <w:r>
        <w:t xml:space="preserve">, we average the orientation</w:t>
      </w:r>
      <w:r>
        <w:t xml:space="preserve"> </w:t>
      </w:r>
      <w:r>
        <w:t xml:space="preserve">residual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prior draws per molecule before the gradient step, reducing</w:t>
      </w:r>
      <w:r>
        <w:t xml:space="preserve"> </w:t>
      </w:r>
      <w:r>
        <w:t xml:space="preserve">target variance at fixed data.</w:t>
      </w:r>
    </w:p>
    <w:bookmarkEnd w:id="16"/>
    <w:bookmarkStart w:id="17" w:name="template-free-coset-prediction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2.5</w:t>
      </w:r>
      <w:r>
        <w:tab/>
      </w:r>
      <w:r>
        <w:t xml:space="preserve">Template-free coset prediction</w:t>
      </w:r>
    </w:p>
    <w:p>
      <w:pPr>
        <w:pStyle w:val="FirstParagraph"/>
        <w:spacing w:before="0" w:after="0" w:line="480" w:lineRule="auto"/>
      </w:pPr>
      <w:r>
        <w:t xml:space="preserve">For template-free deployment the coset must be inferred. We train a classifier that</w:t>
      </w:r>
      <w:r>
        <w:t xml:space="preserve"> </w:t>
      </w:r>
      <w:r>
        <w:t xml:space="preserve">predicts each molecule’s coset from the conformer, centroid, lattice, and space</w:t>
      </w:r>
      <w:r>
        <w:t xml:space="preserve"> </w:t>
      </w:r>
      <w:r>
        <w:t xml:space="preserve">group—</w:t>
      </w:r>
      <w:r>
        <w:rPr>
          <w:i/>
          <w:iCs/>
        </w:rPr>
        <w:t xml:space="preserve">without</w:t>
      </w:r>
      <w:r>
        <w:t xml:space="preserve"> </w:t>
      </w:r>
      <w:r>
        <w:t xml:space="preserve">orientation, so it cannot leak the target. Because its</w:t>
      </w:r>
      <w:r>
        <w:t xml:space="preserve"> </w:t>
      </w:r>
      <w:r>
        <w:t xml:space="preserve">argmax is noisy, we</w:t>
      </w:r>
      <w:r>
        <w:t xml:space="preserve"> </w:t>
      </w:r>
      <w:r>
        <w:rPr>
          <w:i/>
          <w:iCs/>
        </w:rPr>
        <w:t xml:space="preserve">marginalize the top-</w:t>
      </w:r>
      <m:oMath>
        <m:r>
          <m:t>k</m:t>
        </m:r>
      </m:oMath>
      <w:r>
        <w:t xml:space="preserve">: condition the flow on each of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most-likely cosets and select the best draw (in deployment by</w:t>
      </w:r>
      <w:r>
        <w:t xml:space="preserve"> </w:t>
      </w:r>
      <m:oMath>
        <m:sSub>
          <m:e>
            <m:r>
              <m:t>R</m:t>
            </m:r>
          </m:e>
          <m:sub>
            <m:r>
              <m:t>w</m:t>
            </m:r>
            <m:r>
              <m:t>p</m:t>
            </m:r>
          </m:sub>
        </m:sSub>
      </m:oMath>
      <w:r>
        <w:t xml:space="preserve">/energy; here, an oracle upper bound).</w:t>
      </w:r>
    </w:p>
    <w:bookmarkEnd w:id="17"/>
    <w:bookmarkStart w:id="18" w:name="X6ebcd321a07d50a4d228164540e3bc1dd080f7c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2.6</w:t>
      </w:r>
      <w:r>
        <w:tab/>
      </w:r>
      <w:r>
        <w:t xml:space="preserve">Full symmetry conditioning: the crystal-family lattice mask</w:t>
      </w:r>
    </w:p>
    <w:p>
      <w:pPr>
        <w:pStyle w:val="FirstParagraph"/>
        <w:spacing w:before="0" w:after="0" w:line="480" w:lineRule="auto"/>
      </w:pPr>
      <w:r>
        <w:t xml:space="preserve">The coset conditions orientation; the lattice remains free. Molecular crystals are</w:t>
      </w:r>
      <w:r>
        <w:t xml:space="preserve"> </w:t>
      </w:r>
      <w:r>
        <w:t xml:space="preserve">overwhelmingly monoclinic and orthorhombic, so reference cells place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74</m:t>
        </m:r>
        <m:r>
          <m:rPr>
            <m:sty m:val="p"/>
          </m:rPr>
          <m:t>%</m:t>
        </m:r>
      </m:oMath>
      <w:r>
        <w:t xml:space="preserve"> </w:t>
      </w:r>
      <w:r>
        <w:t xml:space="preserve">of cell angles at exactly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yet an unconstrained</w:t>
      </w:r>
      <w:r>
        <w:t xml:space="preserve"> </w:t>
      </w:r>
      <m:oMath>
        <m:r>
          <m:t>9</m:t>
        </m:r>
      </m:oMath>
      <w:r>
        <w:t xml:space="preserve">-DOF shape head</w:t>
      </w:r>
      <w:r>
        <w:t xml:space="preserve"> </w:t>
      </w:r>
      <w:r>
        <w:t xml:space="preserve">reproduces this for only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16</m:t>
        </m:r>
        <m:r>
          <m:rPr>
            <m:sty m:val="p"/>
          </m:rPr>
          <m:t>%</m:t>
        </m:r>
      </m:oMath>
      <w:r>
        <w:t xml:space="preserve">. We condition the lattice on the crystal</w:t>
      </w:r>
      <w:r>
        <w:t xml:space="preserve"> </w:t>
      </w:r>
      <w:r>
        <w:t xml:space="preserve">family the way DiffCSP++</w:t>
      </w:r>
      <w:r>
        <w:rPr>
          <w:vertAlign w:val="superscript"/>
        </w:rPr>
        <w:t xml:space="preserve">8</w:t>
      </w:r>
      <w:r>
        <w:t xml:space="preserve"> </w:t>
      </w:r>
      <w:r>
        <w:t xml:space="preserve">conditions inorganic sites:</w:t>
      </w:r>
      <w:r>
        <w:t xml:space="preserve"> </w:t>
      </w:r>
      <w:r>
        <w:t xml:space="preserve">represent the cell by the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-invariant log-metric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sSup>
          <m:e>
            <m: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t>L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</m:sup>
        </m:sSup>
      </m:oMath>
      <w:r>
        <w:t xml:space="preserve">, whose first coordinate is the volume and whose</w:t>
      </w:r>
      <w:r>
        <w:t xml:space="preserve"> </w:t>
      </w:r>
      <w:r>
        <w:t xml:space="preserve">remaining coordinates are the deviatoric shape directions, and apply a binary</w:t>
      </w:r>
      <w:r>
        <w:t xml:space="preserve"> </w:t>
      </w:r>
      <w:r>
        <w:rPr>
          <w:i/>
          <w:iCs/>
        </w:rPr>
        <w:t xml:space="preserve">family mask</w:t>
      </w:r>
      <w:r>
        <w:t xml:space="preserve"> </w:t>
      </w:r>
      <w:r>
        <w:t xml:space="preserve">that freezes the constrained coordinates to their canonical</w:t>
      </w:r>
      <w:r>
        <w:t xml:space="preserve"> </w:t>
      </w:r>
      <w:r>
        <w:t xml:space="preserve">values after each sampler step and in the prior (basis and per-family mask in the</w:t>
      </w:r>
      <w:r>
        <w:t xml:space="preserve"> </w:t>
      </w:r>
      <w:r>
        <w:t xml:space="preserve">Supporting Information). The flow thus learns only the free, family-consistent</w:t>
      </w:r>
      <w:r>
        <w:t xml:space="preserve"> </w:t>
      </w:r>
      <w:r>
        <w:t xml:space="preserve">degrees of freedom. The mask mechanism is DiffCSP++’s; our contribution is</w:t>
      </w:r>
      <w:r>
        <w:t xml:space="preserve"> </w:t>
      </w:r>
      <w:r>
        <w:t xml:space="preserve">transporting it into the molecular rigid-body flow and composing it with the</w:t>
      </w:r>
      <w:r>
        <w:t xml:space="preserve"> </w:t>
      </w:r>
      <w:r>
        <w:t xml:space="preserve">orientation coset, giving a fully symmetry-conditioned flow.</w:t>
      </w:r>
    </w:p>
    <w:bookmarkEnd w:id="18"/>
    <w:bookmarkStart w:id="19" w:name="X6baf7b372a28636c5fb9082da0e9e25ae1520e8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2.7</w:t>
      </w:r>
      <w:r>
        <w:tab/>
      </w:r>
      <w:r>
        <w:t xml:space="preserve">Exact-match finishing: physical press, learned prior, self-conditioning,</w:t>
      </w:r>
      <w:r>
        <w:t xml:space="preserve"> </w:t>
      </w:r>
      <w:r>
        <w:t xml:space="preserve">recycling</w:t>
      </w:r>
    </w:p>
    <w:p>
      <w:pPr>
        <w:pStyle w:val="FirstParagraph"/>
        <w:spacing w:before="0" w:after="0" w:line="480" w:lineRule="auto"/>
      </w:pPr>
      <w:r>
        <w:t xml:space="preserve">Symmetry conditioning is necessary but not sufficient for exact match; a small</w:t>
      </w:r>
      <w:r>
        <w:t xml:space="preserve"> </w:t>
      </w:r>
      <w:r>
        <w:t xml:space="preserve">stack of levers supplies the remaining positioning precision, each ablated</w:t>
      </w:r>
      <w:r>
        <w:t xml:space="preserve"> </w:t>
      </w:r>
      <w:r>
        <w:t xml:space="preserve">independently (§3.7).</w:t>
      </w:r>
      <w:r>
        <w:t xml:space="preserve"> </w:t>
      </w:r>
      <w:r>
        <w:rPr>
          <w:i/>
          <w:iCs/>
        </w:rPr>
        <w:t xml:space="preserve">(i) Rigid-press finisher:</w:t>
      </w:r>
      <w:r>
        <w:t xml:space="preserve"> </w:t>
      </w:r>
      <w:r>
        <w:t xml:space="preserve">an</w:t>
      </w:r>
      <w:r>
        <w:t xml:space="preserve"> </w:t>
      </w:r>
      <w:r>
        <w:t xml:space="preserve">unsupervised, symmetry- and rigidity-preserving relaxation of the generated</w:t>
      </w:r>
      <w:r>
        <w:t xml:space="preserve"> </w:t>
      </w:r>
      <w:r>
        <w:t xml:space="preserve">packing—a Lennard-Jones energy over intermolecular atom pairs (van der Waals</w:t>
      </w:r>
      <w:r>
        <w:t xml:space="preserve"> </w:t>
      </w:r>
      <w:r>
        <w:t xml:space="preserve">radii), optimized over the asymmetric-unit pose and the family-masked cell, with</w:t>
      </w:r>
      <w:r>
        <w:t xml:space="preserve"> </w:t>
      </w:r>
      <w:r>
        <w:t xml:space="preserve">symmetry copies regenerated from the space-group operations each step, so it cannot</w:t>
      </w:r>
      <w:r>
        <w:t xml:space="preserve"> </w:t>
      </w:r>
      <w:r>
        <w:t xml:space="preserve">break the imposed symmetry and never sees the target.</w:t>
      </w:r>
      <w:r>
        <w:t xml:space="preserve"> </w:t>
      </w:r>
      <w:r>
        <w:rPr>
          <w:i/>
          <w:iCs/>
        </w:rPr>
        <w:t xml:space="preserve">(ii) Learned centroid</w:t>
      </w:r>
      <w:r>
        <w:rPr>
          <w:i/>
          <w:iCs/>
        </w:rPr>
        <w:t xml:space="preserve"> </w:t>
      </w:r>
      <w:r>
        <w:rPr>
          <w:i/>
          <w:iCs/>
        </w:rPr>
        <w:t xml:space="preserve">prior:</w:t>
      </w:r>
      <w:r>
        <w:t xml:space="preserve"> </w:t>
      </w:r>
      <w:r>
        <w:t xml:space="preserve">optimal-transport coupling</w:t>
      </w:r>
      <w:r>
        <w:rPr>
          <w:vertAlign w:val="superscript"/>
        </w:rPr>
        <w:t xml:space="preserve">14</w:t>
      </w:r>
      <w:r>
        <w:t xml:space="preserve"> </w:t>
      </w:r>
      <w:r>
        <w:t xml:space="preserve">with a fixed</w:t>
      </w:r>
      <w:r>
        <w:t xml:space="preserve"> </w:t>
      </w:r>
      <w:r>
        <w:t xml:space="preserve">Gaussian centroid prior repairs an under-trained centroid head.</w:t>
      </w:r>
      <w:r>
        <w:t xml:space="preserve"> </w:t>
      </w:r>
      <w:r>
        <w:rPr>
          <w:i/>
          <w:iCs/>
        </w:rPr>
        <w:t xml:space="preserve">(iii) Self-conditioning:</w:t>
      </w:r>
      <w:r>
        <w:t xml:space="preserve"> </w:t>
      </w:r>
      <w:r>
        <w:t xml:space="preserve">the model optionally consumes its own terminal</w:t>
      </w:r>
      <w:r>
        <w:t xml:space="preserve"> </w:t>
      </w:r>
      <w:r>
        <w:t xml:space="preserve">estimate of the structure, trained with probability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 carried across</w:t>
      </w:r>
      <w:r>
        <w:t xml:space="preserve"> </w:t>
      </w:r>
      <w:r>
        <w:t xml:space="preserve">sampler steps.</w:t>
      </w:r>
      <w:r>
        <w:t xml:space="preserve"> </w:t>
      </w:r>
      <w:r>
        <w:rPr>
          <w:i/>
          <w:iCs/>
        </w:rPr>
        <w:t xml:space="preserve">(iv) Recycling:</w:t>
      </w:r>
      <w:r>
        <w:t xml:space="preserve"> </w:t>
      </w:r>
      <w:r>
        <w:t xml:space="preserve">AlphaFold-style, the sampling trajectory is</w:t>
      </w:r>
      <w:r>
        <w:t xml:space="preserve"> </w:t>
      </w:r>
      <w:r>
        <w:t xml:space="preserve">re-solved conditioned on the previous pass’s output structure.</w:t>
      </w:r>
      <w:r>
        <w:t xml:space="preserve"> </w:t>
      </w:r>
      <w:r>
        <w:rPr>
          <w:i/>
          <w:iCs/>
        </w:rPr>
        <w:t xml:space="preserve">(v) Orientation test-time augmentation (TTA):</w:t>
      </w:r>
      <w:r>
        <w:t xml:space="preserve"> </w:t>
      </w:r>
      <w:r>
        <w:t xml:space="preserve">perturbing the</w:t>
      </w:r>
      <w:r>
        <w:t xml:space="preserve"> </w:t>
      </w:r>
      <w:r>
        <w:t xml:space="preserve">asymmetric-unit orientation and pooling the best finished draw. All are gated</w:t>
      </w:r>
      <w:r>
        <w:t xml:space="preserve"> </w:t>
      </w:r>
      <w:r>
        <w:t xml:space="preserve">behind configuration flags, leaving the default generation path unchanged (finisher</w:t>
      </w:r>
      <w:r>
        <w:t xml:space="preserve"> </w:t>
      </w:r>
      <w:r>
        <w:t xml:space="preserve">energy/optimizer and the self-conditioning update in the Supporting Information).</w:t>
      </w:r>
    </w:p>
    <w:bookmarkEnd w:id="19"/>
    <w:bookmarkStart w:id="20" w:name="data-and-evaluation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2.8</w:t>
      </w:r>
      <w:r>
        <w:tab/>
      </w:r>
      <w:r>
        <w:t xml:space="preserve">Data and evaluation</w:t>
      </w:r>
    </w:p>
    <w:p>
      <w:pPr>
        <w:pStyle w:val="FirstParagraph"/>
        <w:spacing w:before="0" w:after="0" w:line="480" w:lineRule="auto"/>
      </w:pPr>
      <w:r>
        <w:t xml:space="preserve">The corpus is a seeded CSD sample</w:t>
      </w:r>
      <w:r>
        <w:rPr>
          <w:vertAlign w:val="superscript"/>
        </w:rPr>
        <w:t xml:space="preserve">15</w:t>
      </w:r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127</m:t>
        </m:r>
      </m:oMath>
      <w:r>
        <w:t xml:space="preserve"> </w:t>
      </w:r>
      <w:r>
        <w:t xml:space="preserve">ordered organic</w:t>
      </w:r>
      <w:r>
        <w:t xml:space="preserve"> </w:t>
      </w:r>
      <w:r>
        <w:t xml:space="preserve">molecular crystals (</w:t>
      </w:r>
      <m:oMath>
        <m:r>
          <m:t>5</m:t>
        </m:r>
        <m:r>
          <m:rPr>
            <m:sty m:val="p"/>
          </m:rPr>
          <m:t>,</m:t>
        </m:r>
        <m:r>
          <m:t>048</m:t>
        </m:r>
      </m:oMath>
      <w:r>
        <w:t xml:space="preserve"> </w:t>
      </w:r>
      <w:r>
        <w:t xml:space="preserve">rigid blocks, a fixed</w:t>
      </w:r>
      <w:r>
        <w:t xml:space="preserve"> </w:t>
      </w:r>
      <m:oMath>
        <m:r>
          <m:t>964</m:t>
        </m:r>
        <m:r>
          <m:rPr>
            <m:sty m:val="p"/>
          </m:rPr>
          <m:t>/</m:t>
        </m:r>
        <m:r>
          <m:t>131</m:t>
        </m:r>
      </m:oMath>
      <w:r>
        <w:t xml:space="preserve"> </w:t>
      </w:r>
      <w:r>
        <w:t xml:space="preserve">split), with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095</m:t>
        </m:r>
      </m:oMath>
      <w:r>
        <w:t xml:space="preserve"> </w:t>
      </w:r>
      <w:r>
        <w:t xml:space="preserve">crystals containing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copies of a species—the multi-copy subset</w:t>
      </w:r>
      <w:r>
        <w:t xml:space="preserve"> </w:t>
      </w:r>
      <w:r>
        <w:t xml:space="preserve">where a relative target exists—and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539</m:t>
        </m:r>
      </m:oMath>
      <w:r>
        <w:t xml:space="preserve">-crystal scale corpus for</w:t>
      </w:r>
      <w:r>
        <w:t xml:space="preserve"> </w:t>
      </w:r>
      <w:r>
        <w:t xml:space="preserve">§3.5. The primary training metric is the held-out non-reference</w:t>
      </w:r>
      <w:r>
        <w:t xml:space="preserve"> </w:t>
      </w:r>
      <w:r>
        <w:t xml:space="preserve">orientation-loss drop (percentage reduction from untrained to trained on</w:t>
      </w:r>
      <w:r>
        <w:t xml:space="preserve"> </w:t>
      </w:r>
      <w:r>
        <w:t xml:space="preserve">non-reference copies, which cannot be earned by predicting the identity). We also</w:t>
      </w:r>
      <w:r>
        <w:t xml:space="preserve"> </w:t>
      </w:r>
      <w:r>
        <w:t xml:space="preserve">report orientation-isolated and end-to-end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reconstruction</w:t>
      </w:r>
      <w:r>
        <w:rPr>
          <w:vertAlign w:val="superscript"/>
        </w:rPr>
        <w:t xml:space="preserve">16</w:t>
      </w:r>
      <w:r>
        <w:t xml:space="preserve"> </w:t>
      </w:r>
      <w:r>
        <w:t xml:space="preserve">with best-of-</w:t>
      </w:r>
      <m:oMath>
        <m:r>
          <m:t>k</m:t>
        </m:r>
      </m:oMath>
      <w:r>
        <w:t xml:space="preserve"> </w:t>
      </w:r>
      <w:r>
        <w:t xml:space="preserve">sampling, following</w:t>
      </w:r>
      <w:r>
        <w:t xml:space="preserve"> </w:t>
      </w:r>
      <w:r>
        <w:t xml:space="preserve">match-rate cautions</w:t>
      </w:r>
      <w:r>
        <w:rPr>
          <w:vertAlign w:val="superscript"/>
        </w:rPr>
        <w:t xml:space="preserve">17</w:t>
      </w:r>
      <w:r>
        <w:t xml:space="preserve">. All learning numbers are means</w:t>
      </w:r>
      <w:r>
        <w:t xml:space="preserve"> </w:t>
      </w:r>
      <w:r>
        <w:t xml:space="preserve">over three seeds.</w:t>
      </w:r>
    </w:p>
    <w:bookmarkEnd w:id="20"/>
    <w:bookmarkEnd w:id="21"/>
    <w:bookmarkStart w:id="33" w:name="results-and-discussion"/>
    <w:p>
      <w:pPr>
        <w:pStyle w:val="Heading1"/>
        <w:spacing w:before="0" w:after="0" w:line="480" w:lineRule="auto"/>
      </w:pPr>
      <w:r>
        <w:rPr>
          <w:rStyle w:val="SectionNumber"/>
        </w:rPr>
        <w:t xml:space="preserve">3</w:t>
      </w:r>
      <w:r>
        <w:tab/>
      </w:r>
      <w:r>
        <w:t xml:space="preserve">Results and Discussion</w:t>
      </w:r>
    </w:p>
    <w:bookmarkStart w:id="22" w:name="X2ea18c31a52b34c4f36108f7969265c0b2ea7a2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3.1</w:t>
      </w:r>
      <w:r>
        <w:tab/>
      </w:r>
      <w:r>
        <w:t xml:space="preserve">Deployable coset conditioning recovers the oracle benefit</w:t>
      </w:r>
    </w:p>
    <w:p>
      <w:pPr>
        <w:pStyle w:val="FirstParagraph"/>
        <w:spacing w:before="0" w:after="0" w:line="480" w:lineRule="auto"/>
      </w:pPr>
      <w:r>
        <w:t xml:space="preserve">Table 2 gives the main result. A paired no-coset control reproduces</w:t>
      </w:r>
      <w:r>
        <w:t xml:space="preserve"> </w:t>
      </w:r>
      <m:oMath>
        <m:r>
          <m:rPr>
            <m:sty m:val="p"/>
          </m:rPr>
          <m:t>+</m:t>
        </m:r>
        <m:r>
          <m:t>27.5</m:t>
        </m:r>
        <m:r>
          <m:rPr>
            <m:sty m:val="p"/>
          </m:rPr>
          <m:t>%</m:t>
        </m:r>
      </m:oMath>
      <w:r>
        <w:t xml:space="preserve">; the deployable coset reaches</w:t>
      </w:r>
      <w:r>
        <w:t xml:space="preserve"> </w:t>
      </w:r>
      <m:oMath>
        <m:r>
          <m:rPr>
            <m:sty m:val="p"/>
          </m:rPr>
          <m:t>+</m:t>
        </m:r>
        <m:r>
          <m:t>41.1</m:t>
        </m:r>
        <m:r>
          <m:rPr>
            <m:sty m:val="p"/>
          </m:rPr>
          <m:t>%</m:t>
        </m:r>
      </m:oMath>
      <w:r>
        <w:t xml:space="preserve">—two-thirds of the way to the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48</m:t>
        </m:r>
        <m:r>
          <m:rPr>
            <m:sty m:val="p"/>
          </m:rPr>
          <m:t>%</m:t>
        </m:r>
      </m:oMath>
      <w:r>
        <w:t xml:space="preserve"> </w:t>
      </w:r>
      <w:r>
        <w:t xml:space="preserve">leaky ceiling—and the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(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)</w:t>
      </w:r>
      <w:r>
        <w:t xml:space="preserve"> </w:t>
      </w:r>
      <w:r>
        <w:t xml:space="preserve">reaches</w:t>
      </w:r>
      <w:r>
        <w:t xml:space="preserve"> </w:t>
      </w:r>
      <m:oMath>
        <m:r>
          <m:rPr>
            <m:sty m:val="p"/>
          </m:rPr>
          <m:t>+</m:t>
        </m:r>
        <m:r>
          <m:t>47.7</m:t>
        </m:r>
        <m:r>
          <m:rPr>
            <m:sty m:val="p"/>
          </m:rPr>
          <m:t>%</m:t>
        </m:r>
      </m:oMath>
      <w:r>
        <w:t xml:space="preserve">, statistically level with the ceiling. The benefit that a</w:t>
      </w:r>
      <w:r>
        <w:t xml:space="preserve"> </w:t>
      </w:r>
      <w:r>
        <w:t xml:space="preserve">target-derived codebook could only</w:t>
      </w:r>
      <w:r>
        <w:t xml:space="preserve"> </w:t>
      </w:r>
      <w:r>
        <w:rPr>
          <w:i/>
          <w:iCs/>
        </w:rPr>
        <w:t xml:space="preserve">upper-bound</w:t>
      </w:r>
      <w:r>
        <w:t xml:space="preserve"> </w:t>
      </w:r>
      <w:r>
        <w:t xml:space="preserve">is realized here by a label a</w:t>
      </w:r>
      <w:r>
        <w:t xml:space="preserve"> </w:t>
      </w:r>
      <w:r>
        <w:t xml:space="preserve">sampler actually has.</w:t>
      </w:r>
    </w:p>
    <w:p>
      <w:pPr>
        <w:pStyle w:val="TableCaption"/>
        <w:spacing w:before="0" w:after="0" w:line="480" w:lineRule="auto"/>
      </w:pPr>
      <w:r>
        <w:t xml:space="preserve">Table 2. Held-out non-reference orientation-loss drop, mean</w:t>
      </w:r>
      <m:oMath>
        <m:r>
          <m:rPr>
            <m:sty m:val="p"/>
          </m:rPr>
          <m:t>±</m:t>
        </m:r>
      </m:oMath>
      <w:r>
        <w:t xml:space="preserve">s.d. (3 seeds).</w:t>
      </w:r>
      <w:r>
        <w:t xml:space="preserve"> </w:t>
      </w:r>
      <w:r>
        <w:t xml:space="preserve">The deployable coset is leak-free and available from a template; the leaky codebook</w:t>
      </w:r>
      <w:r>
        <w:t xml:space="preserve"> </w:t>
      </w:r>
      <w:r>
        <w:t xml:space="preserve">(index clustered from the target) is an upper bound.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Held-out non-reference orientation-loss drop, mean\pms.d. (3 seeds). The deployable coset is leak-free and available from a template; the leaky codebook (index clustered from the target) is an upper bound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non-ref. loss drop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deployable?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no-coset control (baseline)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±</m:t>
              </m:r>
              <m:r>
                <m:t>2.7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deployable coset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41.1</m:t>
              </m:r>
              <m:r>
                <m:rPr>
                  <m:sty m:val="p"/>
                </m:rPr>
                <m:t>±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-averaged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47.7</m:t>
              </m:r>
              <m:r>
                <m:rPr>
                  <m:sty m:val="p"/>
                </m:rPr>
                <m:t>±</m:t>
              </m:r>
              <m:r>
                <m:t>3.9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leaky codebook (oracle upper bound)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48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22"/>
    <w:bookmarkStart w:id="23" w:name="X12ee85c12e43f8cef3e93000dea1e1f7a6dffd0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3.2</w:t>
      </w:r>
      <w:r>
        <w:tab/>
      </w:r>
      <w:r>
        <w:t xml:space="preserve">The coset makes orientation work end-to-end</w:t>
      </w:r>
    </w:p>
    <w:p>
      <w:pPr>
        <w:pStyle w:val="FirstParagraph"/>
        <w:spacing w:before="0" w:after="0" w:line="480" w:lineRule="auto"/>
      </w:pPr>
      <w:r>
        <w:t xml:space="preserve">Sampling all three manifolds from the prior (full de-novo generation), supplying</w:t>
      </w:r>
      <w:r>
        <w:t xml:space="preserve"> </w:t>
      </w:r>
      <w:r>
        <w:t xml:space="preserve">the coset at generation collapses the median orientation error from</w:t>
      </w:r>
      <w:r>
        <w:t xml:space="preserve"> </w:t>
      </w:r>
      <m:oMath>
        <m:sSup>
          <m:e>
            <m:r>
              <m:t>93.5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(the same model with the coset withheld) to</w:t>
      </w:r>
      <w:r>
        <w:t xml:space="preserve"> </w:t>
      </w:r>
      <m:oMath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—a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reduction—while the centroid error is unchanged (</w:t>
      </w:r>
      <m:oMath>
        <m:r>
          <m:t>0.346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0.345</m:t>
        </m:r>
      </m:oMath>
      <w:r>
        <w:t xml:space="preserve">; the coset</w:t>
      </w:r>
      <w:r>
        <w:t xml:space="preserve"> </w:t>
      </w:r>
      <w:r>
        <w:t xml:space="preserve">does not touch it) and neither reaches exact match (</w:t>
      </w:r>
      <m:oMath>
        <m:r>
          <m:t>0</m:t>
        </m:r>
        <m:r>
          <m:rPr>
            <m:sty m:val="p"/>
          </m:rPr>
          <m:t>%</m:t>
        </m:r>
      </m:oMath>
      <w:r>
        <w:t xml:space="preserve">; lattice</w:t>
      </w:r>
      <w:r>
        <w:t xml:space="preserve"> </w:t>
      </w:r>
      <m:oMath>
        <m:r>
          <m:t>0.44</m:t>
        </m:r>
      </m:oMath>
      <w:r>
        <w:t xml:space="preserve"> </w:t>
      </w:r>
      <w:r>
        <w:t xml:space="preserve">/</w:t>
      </w:r>
      <w:r>
        <w:t xml:space="preserve"> </w:t>
      </w:r>
      <w:r>
        <w:t xml:space="preserve">centroid</w:t>
      </w:r>
      <w:r>
        <w:t xml:space="preserve"> </w:t>
      </w:r>
      <m:oMath>
        <m:r>
          <m:t>0.35</m:t>
        </m:r>
      </m:oMath>
      <w:r>
        <w:t xml:space="preserve"> </w:t>
      </w:r>
      <w:r>
        <w:t xml:space="preserve">dominate). The coset thus makes the orientation component work</w:t>
      </w:r>
      <w:r>
        <w:t xml:space="preserve"> </w:t>
      </w:r>
      <w:r>
        <w:t xml:space="preserve">end-to-end; joint lattice–centroid generation is the remaining exact-match</w:t>
      </w:r>
      <w:r>
        <w:t xml:space="preserve"> </w:t>
      </w:r>
      <w:r>
        <w:t xml:space="preserve">bottleneck.</w:t>
      </w:r>
    </w:p>
    <w:bookmarkEnd w:id="23"/>
    <w:bookmarkStart w:id="24" w:name="orientation-isolated-reconstruction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3.3</w:t>
      </w:r>
      <w:r>
        <w:tab/>
      </w:r>
      <w:r>
        <w:t xml:space="preserve">Orientation-isolated reconstruction</w:t>
      </w:r>
    </w:p>
    <w:p>
      <w:pPr>
        <w:pStyle w:val="FirstParagraph"/>
        <w:spacing w:before="0" w:after="0" w:line="480" w:lineRule="auto"/>
      </w:pPr>
      <w:r>
        <w:t xml:space="preserve">A drop in flow-matching loss need not correspond to correct geometry. Holding the</w:t>
      </w:r>
      <w:r>
        <w:t xml:space="preserve"> </w:t>
      </w:r>
      <w:r>
        <w:t xml:space="preserve">true lattice, centroid, and conformer fixed and sampling only the coset-conditioned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field, the flow reconstructs</w:t>
      </w:r>
      <w:r>
        <w:t xml:space="preserve"> </w:t>
      </w:r>
      <m:oMath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of held-out multi-copy</w:t>
      </w:r>
      <w:r>
        <w:t xml:space="preserve"> </w:t>
      </w:r>
      <w:r>
        <w:t xml:space="preserve">packings (best-of-</w:t>
      </w:r>
      <m:oMath>
        <m:r>
          <m:t>8</m:t>
        </m:r>
      </m:oMath>
      <w:r>
        <w:t xml:space="preserve">), rising to</w:t>
      </w:r>
      <w:r>
        <w:t xml:space="preserve"> </w:t>
      </w:r>
      <m:oMath>
        <m:r>
          <m:t>37.4</m:t>
        </m:r>
        <m:r>
          <m:rPr>
            <m:sty m:val="p"/>
          </m:rPr>
          <m:t>%</m:t>
        </m:r>
      </m:oMath>
      <w:r>
        <w:t xml:space="preserve"> </w:t>
      </w:r>
      <w:r>
        <w:t xml:space="preserve">at looser but oracle-validated</w:t>
      </w:r>
      <w:r>
        <w:t xml:space="preserve"> </w:t>
      </w:r>
      <w:r>
        <w:t xml:space="preserve">tolerances, with a median non-reference orientation error of</w:t>
      </w:r>
      <w:r>
        <w:t xml:space="preserve"> </w:t>
      </w:r>
      <m:oMath>
        <m:sSup>
          <m:e>
            <m:r>
              <m:t>41.1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the</w:t>
      </w:r>
      <w:r>
        <w:t xml:space="preserve"> </w:t>
      </w:r>
      <w:r>
        <w:t xml:space="preserve">oracle (true orientation) matches every structure (Table 3). The</w:t>
      </w:r>
      <w:r>
        <w:t xml:space="preserve"> </w:t>
      </w:r>
      <w:r>
        <w:t xml:space="preserve">symmetry-relative rotations cluster near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(the dominant</w:t>
      </w:r>
      <w:r>
        <w:t xml:space="preserve"> </w:t>
      </w:r>
      <m:oMath>
        <m:r>
          <m:t>P</m:t>
        </m:r>
        <m:sSub>
          <m:e>
            <m:r>
              <m:t>2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c</m:t>
        </m:r>
      </m:oMath>
      <w:r>
        <w:t xml:space="preserve">,</w:t>
      </w:r>
      <w:r>
        <w:t xml:space="preserve"> </w:t>
      </w:r>
      <m:oMath>
        <m:r>
          <m:t>P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 </w:t>
      </w:r>
      <w:r>
        <w:t xml:space="preserve">operations)</w:t>
      </w:r>
      <w:r>
        <w:rPr>
          <w:vertAlign w:val="superscript"/>
        </w:rPr>
        <w:t xml:space="preserve">15</w:t>
      </w:r>
      <w:r>
        <w:t xml:space="preserve">, so a single deterministic integration</w:t>
      </w:r>
      <w:r>
        <w:t xml:space="preserve"> </w:t>
      </w:r>
      <w:r>
        <w:t xml:space="preserve">collapses to the conditional mean and best-of-</w:t>
      </w:r>
      <m:oMath>
        <m:r>
          <m:t>k</m:t>
        </m:r>
      </m:oMath>
      <w:r>
        <w:t xml:space="preserve"> </w:t>
      </w:r>
      <w:r>
        <w:t xml:space="preserve">is the correct read of a</w:t>
      </w:r>
      <w:r>
        <w:t xml:space="preserve"> </w:t>
      </w:r>
      <w:r>
        <w:t xml:space="preserve">multimodal target.</w:t>
      </w:r>
    </w:p>
    <w:p>
      <w:pPr>
        <w:pStyle w:val="TableCaption"/>
        <w:spacing w:before="0" w:after="0" w:line="480" w:lineRule="auto"/>
      </w:pPr>
      <w:r>
        <w:t xml:space="preserve">Table 3. Orientation-isolated reconstruction (coset-conditioned, best-of-</w:t>
      </w:r>
      <m:oMath>
        <m:r>
          <m:t>8</m:t>
        </m:r>
      </m:oMath>
      <w:r>
        <w:t xml:space="preserve">; true</w:t>
      </w:r>
      <w:r>
        <w:t xml:space="preserve"> </w:t>
      </w:r>
      <w:r>
        <w:t xml:space="preserve">lattice, centroid, and conformer supplied, only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sampled):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match rate across the (length, site) tolerance grid on</w:t>
      </w:r>
      <w:r>
        <w:t xml:space="preserve"> </w:t>
      </w:r>
      <w:r>
        <w:t xml:space="preserve">the held-out set. The oracle (true orientation) matches throughout.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Orientation-isolated reconstruction (coset-conditioned, best-of-8; true lattice, centroid, and conformer supplied, only \mathrm{SO}(3) sampled): StructureMatcher match rate across the (length, site) tolerance grid on the held-out set. The oracle (true orientation) matches throughou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(ltol, stol)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0.7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coset-conditioned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37.4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(true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4"/>
    <w:bookmarkStart w:id="25" w:name="X87e2c3c19f8450af8e02fcd6d84118ed71eeff8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3.4</w:t>
      </w:r>
      <w:r>
        <w:tab/>
      </w:r>
      <w:r>
        <w:t xml:space="preserve">Template-free deployment via top-</w:t>
      </w:r>
      <m:oMath>
        <m:r>
          <m:t>k</m:t>
        </m:r>
      </m:oMath>
      <w:r>
        <w:t xml:space="preserve"> </w:t>
      </w:r>
      <w:r>
        <w:t xml:space="preserve">marginalization</w:t>
      </w:r>
    </w:p>
    <w:p>
      <w:pPr>
        <w:pStyle w:val="FirstParagraph"/>
        <w:spacing w:before="0" w:after="0" w:line="480" w:lineRule="auto"/>
      </w:pPr>
      <w:r>
        <w:t xml:space="preserve">The packing-only predictor is</w:t>
      </w:r>
      <w:r>
        <w:t xml:space="preserve"> </w:t>
      </w:r>
      <m:oMath>
        <m:r>
          <m:t>39.5</m:t>
        </m:r>
        <m:r>
          <m:rPr>
            <m:sty m:val="p"/>
          </m:rPr>
          <m:t>%</m:t>
        </m:r>
      </m:oMath>
      <w:r>
        <w:t xml:space="preserve"> </w:t>
      </w:r>
      <w:r>
        <w:t xml:space="preserve">top-1 (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10.3</m:t>
        </m:r>
        <m:r>
          <m:rPr>
            <m:sty m:val="p"/>
          </m:rPr>
          <m:t>%</m:t>
        </m:r>
      </m:oMath>
      <w:r>
        <w:t xml:space="preserve"> </w:t>
      </w:r>
      <w:r>
        <w:t xml:space="preserve">majority), but</w:t>
      </w:r>
      <w:r>
        <w:t xml:space="preserve"> </w:t>
      </w:r>
      <w:r>
        <w:t xml:space="preserve">the true coset is in its top-3 for</w:t>
      </w:r>
      <w:r>
        <w:t xml:space="preserve"> </w:t>
      </w:r>
      <m:oMath>
        <m:r>
          <m:t>75.8</m:t>
        </m:r>
        <m:r>
          <m:rPr>
            <m:sty m:val="p"/>
          </m:rPr>
          <m:t>%</m:t>
        </m:r>
      </m:oMath>
      <w:r>
        <w:t xml:space="preserve"> </w:t>
      </w:r>
      <w:r>
        <w:t xml:space="preserve">of molecules, top-5 for</w:t>
      </w:r>
      <w:r>
        <w:t xml:space="preserve"> </w:t>
      </w:r>
      <m:oMath>
        <m:r>
          <m:t>85.6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top-10 for</w:t>
      </w:r>
      <w:r>
        <w:t xml:space="preserve"> </w:t>
      </w:r>
      <m:oMath>
        <m:r>
          <m:t>90.9</m:t>
        </m:r>
        <m:r>
          <m:rPr>
            <m:sty m:val="p"/>
          </m:rPr>
          <m:t>%</m:t>
        </m:r>
      </m:oMath>
      <w:r>
        <w:t xml:space="preserve"> </w:t>
      </w:r>
      <w:r>
        <w:t xml:space="preserve">(Table 4). The signal is present; the argmax</w:t>
      </w:r>
      <w:r>
        <w:t xml:space="preserve"> </w:t>
      </w:r>
      <w:r>
        <w:t xml:space="preserve">merely cannot commit. Marginalizing the top-5 pulls the predicted-coset orientation</w:t>
      </w:r>
      <w:r>
        <w:t xml:space="preserve"> </w:t>
      </w:r>
      <w:r>
        <w:t xml:space="preserve">error from</w:t>
      </w:r>
      <w:r>
        <w:t xml:space="preserve"> </w:t>
      </w:r>
      <m:oMath>
        <m:sSup>
          <m:e>
            <m:r>
              <m:t>64.8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(top-1) to</w:t>
      </w:r>
      <w:r>
        <w:t xml:space="preserve"> </w:t>
      </w:r>
      <m:oMath>
        <m:sSup>
          <m:e>
            <m:r>
              <m:t>51.2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toward the</w:t>
      </w:r>
      <w:r>
        <w:t xml:space="preserve"> </w:t>
      </w:r>
      <m:oMath>
        <m:sSup>
          <m:e>
            <m:r>
              <m:t>41.1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template</w:t>
      </w:r>
      <w:r>
        <w:t xml:space="preserve"> </w:t>
      </w:r>
      <w:r>
        <w:t xml:space="preserve">ceiling. At the larger corpus (§3.5) the predictor sharpens only to</w:t>
      </w:r>
      <w:r>
        <w:t xml:space="preserve"> </w:t>
      </w:r>
      <m:oMath>
        <m:r>
          <m:t>43.1</m:t>
        </m:r>
        <m:r>
          <m:rPr>
            <m:sty m:val="p"/>
          </m:rPr>
          <m:t>%</m:t>
        </m:r>
      </m:oMath>
      <w:r>
        <w:t xml:space="preserve"> </w:t>
      </w:r>
      <w:r>
        <w:t xml:space="preserve">top-1 and its predicted cosets still reconstruct below template grade, so</w:t>
      </w:r>
      <w:r>
        <w:t xml:space="preserve"> </w:t>
      </w:r>
      <w:r>
        <w:t xml:space="preserve">closing this residual—a sharper predictor or per-molecule combinatorial</w:t>
      </w:r>
      <w:r>
        <w:t xml:space="preserve"> </w:t>
      </w:r>
      <w:r>
        <w:t xml:space="preserve">search—remains the open problem.</w:t>
      </w:r>
    </w:p>
    <w:p>
      <w:pPr>
        <w:pStyle w:val="TableCaption"/>
        <w:spacing w:before="0" w:after="0" w:line="480" w:lineRule="auto"/>
      </w:pPr>
      <w:r>
        <w:t xml:space="preserve">Table 4. Predictor top-</w:t>
      </w:r>
      <m:oMath>
        <m:r>
          <m:t>k</m:t>
        </m:r>
      </m:oMath>
      <w:r>
        <w:t xml:space="preserve"> </w:t>
      </w:r>
      <w:r>
        <w:t xml:space="preserve">coverage: true coset in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predictions</w:t>
      </w:r>
      <w:r>
        <w:t xml:space="preserve"> </w:t>
      </w:r>
      <w:r>
        <w:t xml:space="preserve">(non-reference molecules,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438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Predictor top-k coverage: true coset in the top k predictions (non-reference molecules, n{=}438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39.5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75.8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85.6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90.9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5"/>
    <w:bookmarkStart w:id="26" w:name="scale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3.5</w:t>
      </w:r>
      <w:r>
        <w:tab/>
      </w:r>
      <w:r>
        <w:t xml:space="preserve">Scale</w:t>
      </w:r>
    </w:p>
    <w:p>
      <w:pPr>
        <w:pStyle w:val="FirstParagraph"/>
        <w:spacing w:before="0" w:after="0" w:line="480" w:lineRule="auto"/>
      </w:pPr>
      <w:r>
        <w:t xml:space="preserve">Retraining the full pipeline on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539</m:t>
        </m:r>
      </m:oMath>
      <w:r>
        <w:t xml:space="preserve">-crystal CSD corpus (</w:t>
      </w:r>
      <m:oMath>
        <m:r>
          <m:t>2</m:t>
        </m:r>
        <m:r>
          <m:rPr>
            <m:sty m:val="p"/>
          </m:rPr>
          <m:t>,</m:t>
        </m:r>
        <m:r>
          <m:t>464</m:t>
        </m:r>
      </m:oMath>
      <w:r>
        <w:t xml:space="preserve"> </w:t>
      </w:r>
      <w:r>
        <w:t xml:space="preserve">multi-copy after re-gauge;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168</m:t>
        </m:r>
      </m:oMath>
      <w:r>
        <w:t xml:space="preserve"> </w:t>
      </w:r>
      <w:r>
        <w:t xml:space="preserve">train /</w:t>
      </w:r>
      <w:r>
        <w:t xml:space="preserve"> </w:t>
      </w:r>
      <m:oMath>
        <m:r>
          <m:t>296</m:t>
        </m:r>
      </m:oMath>
      <w:r>
        <w:t xml:space="preserve"> </w:t>
      </w:r>
      <w:r>
        <w:t xml:space="preserve">validation;</w:t>
      </w:r>
      <w:r>
        <w:t xml:space="preserve"> </w:t>
      </w:r>
      <m:oMath>
        <m:r>
          <m:t>320</m:t>
        </m:r>
      </m:oMath>
      <w:r>
        <w:t xml:space="preserve"> </w:t>
      </w:r>
      <w:r>
        <w:t xml:space="preserve">distinct</w:t>
      </w:r>
      <w:r>
        <w:t xml:space="preserve"> </w:t>
      </w:r>
      <w:r>
        <w:t xml:space="preserve">operation-cosets), roughly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</m:oMath>
      <w:r>
        <w:t xml:space="preserve"> </w:t>
      </w:r>
      <w:r>
        <w:t xml:space="preserve">the diagnostic set, sharpens every</w:t>
      </w:r>
      <w:r>
        <w:t xml:space="preserve"> </w:t>
      </w:r>
      <w:r>
        <w:t xml:space="preserve">orientation metric while leaving the packing bottleneck untouched</w:t>
      </w:r>
      <w:r>
        <w:t xml:space="preserve"> </w:t>
      </w:r>
      <w:r>
        <w:t xml:space="preserve">(Table 5). The deployable-coset gate does not merely hold: the</w:t>
      </w:r>
      <w:r>
        <w:t xml:space="preserve"> </w:t>
      </w:r>
      <w:r>
        <w:t xml:space="preserve">non-reference loss drop rises to</w:t>
      </w:r>
      <w:r>
        <w:t xml:space="preserve"> </w:t>
      </w:r>
      <m:oMath>
        <m:r>
          <m:t>54.3</m:t>
        </m:r>
        <m:r>
          <m:rPr>
            <m:sty m:val="p"/>
          </m:rPr>
          <m:t>±</m:t>
        </m:r>
        <m:r>
          <m:t>0.8</m:t>
        </m:r>
        <m:r>
          <m:rPr>
            <m:sty m:val="p"/>
          </m:rPr>
          <m:t>%</m:t>
        </m:r>
      </m:oMath>
      <w:r>
        <w:t xml:space="preserve"> </w:t>
      </w:r>
      <w:r>
        <w:t xml:space="preserve">against a paired no-coset control at</w:t>
      </w:r>
      <w:r>
        <w:t xml:space="preserve"> </w:t>
      </w:r>
      <m:oMath>
        <m:r>
          <m:t>36.8</m:t>
        </m:r>
        <m:r>
          <m:rPr>
            <m:sty m:val="p"/>
          </m:rPr>
          <m:t>±</m:t>
        </m:r>
        <m:r>
          <m:t>2.1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widening</w:t>
      </w:r>
      <w:r>
        <w:t xml:space="preserve"> </w:t>
      </w:r>
      <w:r>
        <w:t xml:space="preserve">the coset advantage from</w:t>
      </w:r>
      <w:r>
        <w:t xml:space="preserve"> </w:t>
      </w:r>
      <m:oMath>
        <m:r>
          <m:rPr>
            <m:sty m:val="p"/>
          </m:rPr>
          <m:t>+</m:t>
        </m:r>
        <m:r>
          <m:t>13.6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17.5</m:t>
        </m:r>
      </m:oMath>
      <w:r>
        <w:t xml:space="preserve"> </w:t>
      </w:r>
      <w:r>
        <w:t xml:space="preserve">percentage points—the benefit is a property of the factorization, not a</w:t>
      </w:r>
      <w:r>
        <w:t xml:space="preserve"> </w:t>
      </w:r>
      <w:r>
        <w:t xml:space="preserve">small-data artifact. End-to-end with the coset supplied, the median orientation</w:t>
      </w:r>
      <w:r>
        <w:t xml:space="preserve"> </w:t>
      </w:r>
      <w:r>
        <w:t xml:space="preserve">error falls to</w:t>
      </w:r>
      <w:r>
        <w:t xml:space="preserve"> </w:t>
      </w:r>
      <m:oMath>
        <m:sSup>
          <m:e>
            <m:r>
              <m:t>4.3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(from</w:t>
      </w:r>
      <w:r>
        <w:t xml:space="preserve"> </w:t>
      </w:r>
      <m:oMath>
        <m:sSup>
          <m:e>
            <m:r>
              <m:t>13.4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and orientation-isolated</w:t>
      </w:r>
      <w:r>
        <w:t xml:space="preserve"> </w:t>
      </w:r>
      <w:r>
        <w:t xml:space="preserve">reconstruction climbs to</w:t>
      </w:r>
      <w:r>
        <w:t xml:space="preserve"> </w:t>
      </w:r>
      <m:oMath>
        <m:r>
          <m:t>56.8</m:t>
        </m:r>
        <m:r>
          <m:rPr>
            <m:sty m:val="p"/>
          </m:rPr>
          <m:t>%</m:t>
        </m:r>
      </m:oMath>
      <w:r>
        <w:t xml:space="preserve"> </w:t>
      </w:r>
      <w:r>
        <w:t xml:space="preserve">best-of-</w:t>
      </w:r>
      <m:oMath>
        <m:r>
          <m:t>8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31.7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(from</w:t>
      </w:r>
      <w:r>
        <w:t xml:space="preserve"> </w:t>
      </w:r>
      <m:oMath>
        <m:r>
          <m:t>27.5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41.1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). Exact end-to-end match remains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with the lattice (</w:t>
      </w:r>
      <m:oMath>
        <m:r>
          <m:t>0.42</m:t>
        </m:r>
      </m:oMath>
      <w:r>
        <w:t xml:space="preserve">) and</w:t>
      </w:r>
      <w:r>
        <w:t xml:space="preserve"> </w:t>
      </w:r>
      <w:r>
        <w:t xml:space="preserve">centroid (</w:t>
      </w:r>
      <m:oMath>
        <m:r>
          <m:t>0.35</m:t>
        </m:r>
      </m:oMath>
      <w:r>
        <w:t xml:space="preserve">) component errors essentially unchanged: scaling data sharpens</w:t>
      </w:r>
      <w:r>
        <w:t xml:space="preserve"> </w:t>
      </w:r>
      <w:r>
        <w:t xml:space="preserve">orientation but does not move the joint lattice–centroid bottleneck.</w:t>
      </w:r>
    </w:p>
    <w:p>
      <w:pPr>
        <w:pStyle w:val="TableCaption"/>
        <w:spacing w:before="0" w:after="0" w:line="480" w:lineRule="auto"/>
      </w:pPr>
      <w:r>
        <w:t xml:space="preserve">Table 5. Diagnostic (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1.1</m:t>
        </m:r>
      </m:oMath>
      <w:r>
        <w:t xml:space="preserve">k) vs. scale (</w:t>
      </w:r>
      <m:oMath>
        <m:r>
          <m:t>N</m:t>
        </m:r>
        <m:r>
          <m:t>​</m:t>
        </m:r>
        <m:r>
          <m:rPr>
            <m:sty m:val="p"/>
          </m:rPr>
          <m:t>=</m:t>
        </m:r>
        <m:r>
          <m:t>​</m:t>
        </m:r>
        <m:r>
          <m:t>2.5</m:t>
        </m:r>
      </m:oMath>
      <w:r>
        <w:t xml:space="preserve">k) corpus:</w:t>
      </w:r>
      <w:r>
        <w:t xml:space="preserve"> </w:t>
      </w:r>
      <w:r>
        <w:t xml:space="preserve">orientation metrics sharpen with data while end-to-end exact match stays</w:t>
      </w:r>
      <w:r>
        <w:t xml:space="preserve"> </w:t>
      </w:r>
      <w:r>
        <w:t xml:space="preserve">lattice/centroid-limited. The gate is the held-out non-reference orientation-loss</w:t>
      </w:r>
      <w:r>
        <w:t xml:space="preserve"> </w:t>
      </w:r>
      <w:r>
        <w:t xml:space="preserve">drop (deployable coset,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); orientation-isolated match is best-of-</w:t>
      </w:r>
      <m:oMath>
        <m:r>
          <m:t>8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true lattice</w:t>
      </w:r>
      <m:oMath>
        <m:r>
          <m:rPr>
            <m:sty m:val="p"/>
          </m:rPr>
          <m:t>+</m:t>
        </m:r>
      </m:oMath>
      <w:r>
        <w:t xml:space="preserve">centroid supplied.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. Diagnostic (N\!\approx\!1.1k) vs. scale (N\!=\!2.5k) corpus: orientation metrics sharpen with data while end-to-end exact match stays lattice/centroid-limited. The gate is the held-out non-reference orientation-loss drop (deployable coset, K{=}1); orientation-isolated match is best-of-8 with true lattice+centroid supplied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diagnostic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coset gate: non-ref. loss drop (deployable)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41.1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54.3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no-coset control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coset advantage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13.6</m:t>
              </m:r>
            </m:oMath>
            <w:r>
              <w:t xml:space="preserve"> </w:t>
            </w:r>
            <w:r>
              <w:t xml:space="preserve">pp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17.5</m:t>
              </m:r>
            </m:oMath>
            <w:r>
              <w:t xml:space="preserve"> </w:t>
            </w:r>
            <w:r>
              <w:t xml:space="preserve">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orientation error (coset supplied)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13.4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b"/>
                    </m:rPr>
                    <m:t>4.3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orient-isolated match (best-of-</w:t>
            </w:r>
            <m:oMath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27.5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56.8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orient-isolated orientation error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41.1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b"/>
                    </m:rPr>
                    <m:t>31.7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predictor top-1 (majority baseline)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39.5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10.3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43.1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10.4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exact match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6"/>
    <w:bookmarkStart w:id="27" w:name="comparison-to-rigid-body-baselines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3.6</w:t>
      </w:r>
      <w:r>
        <w:tab/>
      </w:r>
      <w:r>
        <w:t xml:space="preserve">Comparison to rigid-body baselines</w:t>
      </w:r>
    </w:p>
    <w:p>
      <w:pPr>
        <w:pStyle w:val="FirstParagraph"/>
        <w:spacing w:before="0" w:after="0" w:line="480" w:lineRule="auto"/>
      </w:pPr>
      <w:r>
        <w:t xml:space="preserve">To make the contribution legible to the same reviewers, we re-score held-out</w:t>
      </w:r>
      <w:r>
        <w:t xml:space="preserve"> </w:t>
      </w:r>
      <w:r>
        <w:t xml:space="preserve">generations from the deployable coset model (</w:t>
      </w:r>
      <m:oMath>
        <m:r>
          <m:t>N</m:t>
        </m:r>
        <m:r>
          <m:t>​</m:t>
        </m:r>
        <m:r>
          <m:rPr>
            <m:sty m:val="p"/>
          </m:rPr>
          <m:t>≈</m:t>
        </m:r>
        <m:r>
          <m:t>​</m:t>
        </m:r>
        <m:r>
          <m:t>1.1</m:t>
        </m:r>
      </m:oMath>
      <w:r>
        <w:t xml:space="preserve">k) in</w:t>
      </w:r>
      <w:r>
        <w:t xml:space="preserve"> </w:t>
      </w:r>
      <w:r>
        <w:t xml:space="preserve">MolCrystalFlow’s exact units</w:t>
      </w:r>
      <w:r>
        <w:rPr>
          <w:vertAlign w:val="superscript"/>
        </w:rPr>
        <w:t xml:space="preserve">6</w:t>
      </w:r>
      <w:r>
        <w:t xml:space="preserve">: pymatgen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ltol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atol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site</w:t>
      </w:r>
      <w:r>
        <w:t xml:space="preserve"> </w:t>
      </w:r>
      <w:r>
        <w:t xml:space="preserve">tolerance swept</w:t>
      </w:r>
      <w:r>
        <w:t xml:space="preserve"> </w:t>
      </w:r>
      <m:oMath>
        <m:r>
          <m:t>0.5</m:t>
        </m:r>
      </m:oMath>
      <w:r>
        <w:t xml:space="preserve">–</w:t>
      </w:r>
      <m:oMath>
        <m:r>
          <m:t>1.2</m:t>
        </m:r>
      </m:oMath>
      <w:r>
        <w:t xml:space="preserve">), best-of-</w:t>
      </w:r>
      <m:oMath>
        <m:r>
          <m:t>10</m:t>
        </m:r>
      </m:oMath>
      <w:r>
        <w:t xml:space="preserve"> </w:t>
      </w:r>
      <w:r>
        <w:t xml:space="preserve">match rate, and the relative</w:t>
      </w:r>
      <w:r>
        <w:t xml:space="preserve"> </w:t>
      </w:r>
      <w:r>
        <w:t xml:space="preserve">cell-volume deviation (RMAD) over all ten samples. We pair a de-novo pass (no</w:t>
      </w:r>
      <w:r>
        <w:t xml:space="preserve"> </w:t>
      </w:r>
      <w:r>
        <w:t xml:space="preserve">template, coset off—the MolCrystalFlow/MOFFlow regime) against our</w:t>
      </w:r>
      <w:r>
        <w:t xml:space="preserve"> </w:t>
      </w:r>
      <w:r>
        <w:t xml:space="preserve">symmetry-conditioned pass (coset on) on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prior draws</w:t>
      </w:r>
      <w:r>
        <w:t xml:space="preserve"> </w:t>
      </w:r>
      <w:r>
        <w:t xml:space="preserve">(Table 6).</w:t>
      </w:r>
    </w:p>
    <w:p>
      <w:pPr>
        <w:pStyle w:val="BodyText"/>
        <w:spacing w:before="0" w:after="0" w:line="480" w:lineRule="auto"/>
      </w:pPr>
      <w:r>
        <w:t xml:space="preserve">Two readings are deliberate and honest. First, end-to-end our diagnostic-scale</w:t>
      </w:r>
      <w:r>
        <w:t xml:space="preserve"> </w:t>
      </w:r>
      <w:r>
        <w:t xml:space="preserve">model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competitive with the dedicated flows on either axis:</w:t>
      </w:r>
      <w:r>
        <w:t xml:space="preserve"> </w:t>
      </w:r>
      <w:r>
        <w:t xml:space="preserve">best-of-</w:t>
      </w:r>
      <m:oMath>
        <m:r>
          <m:t>10</m:t>
        </m:r>
      </m:oMath>
      <w:r>
        <w:t xml:space="preserve"> </w:t>
      </w:r>
      <w:r>
        <w:t xml:space="preserve">match is at floor (</w:t>
      </w:r>
      <m:oMath>
        <m:r>
          <m:t>0</m:t>
        </m:r>
      </m:oMath>
      <w:r>
        <w:t xml:space="preserve">–</w:t>
      </w:r>
      <m:oMath>
        <m:r>
          <m:t>0.8</m:t>
        </m:r>
        <m:r>
          <m:rPr>
            <m:sty m:val="p"/>
          </m:rPr>
          <m:t>%</m:t>
        </m:r>
      </m:oMath>
      <w:r>
        <w:t xml:space="preserve">) against MolCrystalFlow’s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6.8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0.8</m:t>
        </m:r>
      </m:oMath>
      <w:r>
        <w:t xml:space="preserve">, and cell-volume RMAD (</w:t>
      </w:r>
      <m:oMath>
        <m:r>
          <m:rPr>
            <m:sty m:val="p"/>
          </m:rPr>
          <m:t>∼</m:t>
        </m:r>
        <m:r>
          <m:t>​</m:t>
        </m:r>
        <m:r>
          <m:t>31</m:t>
        </m:r>
        <m:r>
          <m:rPr>
            <m:sty m:val="p"/>
          </m:rPr>
          <m:t>%</m:t>
        </m:r>
      </m:oMath>
      <w:r>
        <w:t xml:space="preserve">) lands between MOFFlow</w:t>
      </w:r>
      <w:r>
        <w:t xml:space="preserve"> </w:t>
      </w:r>
      <w:r>
        <w:t xml:space="preserve">(</w:t>
      </w:r>
      <m:oMath>
        <m:r>
          <m:t>18.8</m:t>
        </m:r>
        <m:r>
          <m:rPr>
            <m:sty m:val="p"/>
          </m:rPr>
          <m:t>%</m:t>
        </m:r>
      </m:oMath>
      <w:r>
        <w:t xml:space="preserve">) and raw Genarris-3 (</w:t>
      </w:r>
      <m:oMath>
        <m:r>
          <m:t>59</m:t>
        </m:r>
        <m:r>
          <m:rPr>
            <m:sty m:val="p"/>
          </m:rPr>
          <m:t>%</m:t>
        </m:r>
      </m:oMath>
      <w:r>
        <w:t xml:space="preserve">) but well above MolCrystalFlow (</w:t>
      </w:r>
      <m:oMath>
        <m:r>
          <m:t>3.9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This is the lattice/centroid bottleneck of Table 5 now measured in</w:t>
      </w:r>
      <w:r>
        <w:t xml:space="preserve"> </w:t>
      </w:r>
      <w:r>
        <w:t xml:space="preserve">the baselines’ units: our lattice and centroid heads are diagnostic-grade</w:t>
      </w:r>
      <w:r>
        <w:t xml:space="preserve"> </w:t>
      </w:r>
      <w:r>
        <w:rPr>
          <w:i/>
          <w:iCs/>
        </w:rPr>
        <w:t xml:space="preserve">before finishing</w:t>
      </w:r>
      <w:r>
        <w:t xml:space="preserve">, and §3.7 closes exactly this end-to-end</w:t>
      </w:r>
      <w:r>
        <w:t xml:space="preserve"> </w:t>
      </w:r>
      <w:r>
        <w:t xml:space="preserve">gap—to parity with MolCrystalFlow—with full lattice symmetry conditioning and</w:t>
      </w:r>
      <w:r>
        <w:t xml:space="preserve"> </w:t>
      </w:r>
      <w:r>
        <w:t xml:space="preserve">the finisher. Second, and the point of the paper, is the axis those baselines leave</w:t>
      </w:r>
      <w:r>
        <w:t xml:space="preserve"> </w:t>
      </w:r>
      <w:r>
        <w:rPr>
          <w:i/>
          <w:iCs/>
        </w:rPr>
        <w:t xml:space="preserve">unconditioned</w:t>
      </w:r>
      <w:r>
        <w:t xml:space="preserve">. The coset barely moves RMAD (</w:t>
      </w:r>
      <m:oMath>
        <m:r>
          <m:t>32.9</m:t>
        </m:r>
        <m:r>
          <m:rPr>
            <m:sty m:val="p"/>
          </m:rPr>
          <m:t>%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30.7</m:t>
        </m:r>
        <m:r>
          <m:rPr>
            <m:sty m:val="p"/>
          </m:rPr>
          <m:t>%</m:t>
        </m:r>
      </m:oMath>
      <w:r>
        <w:t xml:space="preserve">)—it</w:t>
      </w:r>
      <w:r>
        <w:t xml:space="preserve"> </w:t>
      </w:r>
      <w:r>
        <w:t xml:space="preserve">conditions orientation, not packing—but on the same prior draws it collapses the</w:t>
      </w:r>
      <w:r>
        <w:t xml:space="preserve"> </w:t>
      </w:r>
      <w:r>
        <w:t xml:space="preserve">median best-of-</w:t>
      </w:r>
      <m:oMath>
        <m:r>
          <m:t>10</m:t>
        </m:r>
      </m:oMath>
      <w:r>
        <w:t xml:space="preserve"> </w:t>
      </w:r>
      <w:r>
        <w:t xml:space="preserve">orientation error from</w:t>
      </w:r>
      <w:r>
        <w:t xml:space="preserve"> </w:t>
      </w:r>
      <m:oMath>
        <m:sSup>
          <m:e>
            <m:r>
              <m:t>103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(de-novo) to</w:t>
      </w:r>
      <w:r>
        <w:t xml:space="preserve"> </w:t>
      </w:r>
      <m:oMath>
        <m:sSup>
          <m:e>
            <m:r>
              <m:t>14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(conditioned). MolCrystalFlow and MOFFlow are both symmetry-free and have no such</w:t>
      </w:r>
      <w:r>
        <w:t xml:space="preserve"> </w:t>
      </w:r>
      <w:r>
        <w:t xml:space="preserve">lever; MolCrystalFlow is itself only</w:t>
      </w:r>
      <w:r>
        <w:t xml:space="preserve"> </w:t>
      </w:r>
      <w:r>
        <w:rPr>
          <w:i/>
          <w:iCs/>
        </w:rPr>
        <w:t xml:space="preserve">competitive</w:t>
      </w:r>
      <w:r>
        <w:t xml:space="preserve"> </w:t>
      </w:r>
      <w:r>
        <w:t xml:space="preserve">with the</w:t>
      </w:r>
      <w:r>
        <w:t xml:space="preserve"> </w:t>
      </w:r>
      <w:r>
        <w:t xml:space="preserve">space-group-conditioned Genarris-3, corroborating that symmetry conditioning—not</w:t>
      </w:r>
      <w:r>
        <w:t xml:space="preserve"> </w:t>
      </w:r>
      <w:r>
        <w:t xml:space="preserve">packing—is the remaining lever. Our contribution supplies exactly that for</w:t>
      </w:r>
      <w:r>
        <w:t xml:space="preserve"> </w:t>
      </w:r>
      <w:r>
        <w:t xml:space="preserve">rigid-body orientation and composes with the strong packing these methods already</w:t>
      </w:r>
      <w:r>
        <w:t xml:space="preserve"> </w:t>
      </w:r>
      <w:r>
        <w:t xml:space="preserve">have.</w:t>
      </w:r>
      <w:r>
        <w:t xml:space="preserve"> </w:t>
      </w:r>
      <w:r>
        <w:rPr>
          <w:i/>
          <w:iCs/>
        </w:rPr>
        <w:t xml:space="preserve">Caveat:</w:t>
      </w:r>
      <w:r>
        <w:t xml:space="preserve"> </w:t>
      </w:r>
      <w:r>
        <w:t xml:space="preserve">identical matcher and match@</w:t>
      </w:r>
      <m:oMath>
        <m:r>
          <m:t>10</m:t>
        </m:r>
      </m:oMath>
      <w:r>
        <w:t xml:space="preserve"> </w:t>
      </w:r>
      <w:r>
        <w:t xml:space="preserve">as MolCrystalFlow, but our</w:t>
      </w:r>
      <w:r>
        <w:t xml:space="preserve"> </w:t>
      </w:r>
      <w:r>
        <w:t xml:space="preserve">corpus is a smaller CSD-derived molecular set (not Thürlemann/OMC25) at diagnostic</w:t>
      </w:r>
      <w:r>
        <w:t xml:space="preserve"> </w:t>
      </w:r>
      <w:r>
        <w:t xml:space="preserve">scale—a comparable-task alignment, not a strict head-to-head.</w:t>
      </w:r>
    </w:p>
    <w:p>
      <w:pPr>
        <w:pStyle w:val="TableCaption"/>
        <w:spacing w:before="0" w:after="0" w:line="480" w:lineRule="auto"/>
      </w:pPr>
      <w:r>
        <w:t xml:space="preserve">Table 6. Held-out generations in MolCrystalFlow’s units (best-of-</w:t>
      </w:r>
      <m:oMath>
        <m:r>
          <m:t>10</m:t>
        </m:r>
      </m:oMath>
      <w:r>
        <w:t xml:space="preserve">;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ltol</w:t>
      </w:r>
      <m:oMath>
        <m:r>
          <m:rPr>
            <m:sty m:val="p"/>
          </m:rPr>
          <m:t>=</m:t>
        </m:r>
        <m:r>
          <m:t>0.3</m:t>
        </m:r>
      </m:oMath>
      <w:r>
        <w:t xml:space="preserve">/atol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RMAD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t xml:space="preserve">relative cell-volume deviation over all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samples). Baseline rows are as</w:t>
      </w:r>
      <w:r>
        <w:t xml:space="preserve"> </w:t>
      </w:r>
      <w:r>
        <w:t xml:space="preserve">reported</w:t>
      </w:r>
      <w:r>
        <w:rPr>
          <w:vertAlign w:val="superscript"/>
        </w:rPr>
        <w:t xml:space="preserve">6,7</w:t>
      </w:r>
      <w:r>
        <w:t xml:space="preserve"> </w:t>
      </w:r>
      <w:r>
        <w:t xml:space="preserve">(Genarris-3 via the comparison</w:t>
      </w:r>
      <w:r>
        <w:t xml:space="preserve"> </w:t>
      </w:r>
      <w:r>
        <w:t xml:space="preserve">in ref </w:t>
      </w:r>
      <w:r>
        <w:rPr>
          <w:vertAlign w:val="superscript"/>
        </w:rPr>
        <w:t xml:space="preserve">6</w:t>
      </w:r>
      <w:r>
        <w:t xml:space="preserve">). Our end-to-end match and RMAD are</w:t>
      </w:r>
      <w:r>
        <w:t xml:space="preserve"> </w:t>
      </w:r>
      <w:r>
        <w:t xml:space="preserve">lattice/centroid-limited; the coset acts on orientation (last column)—the axis</w:t>
      </w:r>
      <w:r>
        <w:t xml:space="preserve"> </w:t>
      </w:r>
      <w:r>
        <w:t xml:space="preserve">the symmetry-free baselines omit.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6. Held-out generations in MolCrystalFlow’s units (best-of-10; StructureMatcher ltol=0.3/atol=10^\circ; RMAD_{\mathrm{vol}} = relative cell-volume deviation over all 10 samples). Baseline rows are as reported6,7 (Genarris-3 via the comparison in ref 6). Our end-to-end match and RMAD are lattice/centroid-limited; the coset acts on orientation (last column)—the axis the symmetry-free baselines omit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match@10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RMAD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orient. err.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0.8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1.0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(all 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(best-of-10)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MolCrystalFlow (sym-free)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6.8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MOFFlow (sym-free)</w:t>
            </w:r>
            <w:r>
              <w:rPr>
                <w:vertAlign w:val="superscript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Genarris-3 (sym-cond.)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comp. w/ MCF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ours, de-novo (coset off)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32.9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103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ours, conditioned (coset on)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30.7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b"/>
                    </m:rPr>
                    <m:t>14</m:t>
                  </m:r>
                </m:e>
                <m:sup>
                  <m:r>
                    <m:rPr>
                      <m:sty m:val="b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</w:tbl>
    <w:bookmarkEnd w:id="27"/>
    <w:bookmarkStart w:id="31" w:name="Xbf6d5d27948ab11da103ccd8bc6466e24be60c2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3.7</w:t>
      </w:r>
      <w:r>
        <w:tab/>
      </w:r>
      <w:r>
        <w:t xml:space="preserve">From 0% to parity: the exact-match lever ladder</w:t>
      </w:r>
    </w:p>
    <w:p>
      <w:pPr>
        <w:pStyle w:val="FirstParagraph"/>
        <w:spacing w:before="0" w:after="0" w:line="480" w:lineRule="auto"/>
      </w:pPr>
      <w:r>
        <w:t xml:space="preserve">The bottleneck the bench isolates—exact match at floor while orientation is</w:t>
      </w:r>
      <w:r>
        <w:t xml:space="preserve"> </w:t>
      </w:r>
      <w:r>
        <w:t xml:space="preserve">solved—is the question this section answers. Extending symmetry conditioning to</w:t>
      </w:r>
      <w:r>
        <w:t xml:space="preserve"> </w:t>
      </w:r>
      <w:r>
        <w:t xml:space="preserve">the lattice (§2.6) restores the crystal-family geometry (generated</w:t>
      </w:r>
      <w:r>
        <w:t xml:space="preserve"> </w:t>
      </w:r>
      <w:r>
        <w:t xml:space="preserve">cell angles within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rise from</w:t>
      </w:r>
      <w:r>
        <w:t xml:space="preserve"> </w:t>
      </w:r>
      <m:oMath>
        <m:r>
          <m:t>16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73.6</m:t>
        </m:r>
        <m:r>
          <m:rPr>
            <m:sty m:val="p"/>
          </m:rPr>
          <m:t>%</m:t>
        </m:r>
      </m:oMath>
      <w:r>
        <w:t xml:space="preserve">, matching</w:t>
      </w:r>
      <w:r>
        <w:t xml:space="preserve"> </w:t>
      </w:r>
      <w:r>
        <w:t xml:space="preserve">the reference</w:t>
      </w:r>
      <w:r>
        <w:t xml:space="preserve"> </w:t>
      </w:r>
      <m:oMath>
        <m:r>
          <m:t>74.0</m:t>
        </m:r>
        <m:r>
          <m:rPr>
            <m:sty m:val="p"/>
          </m:rPr>
          <m:t>%</m:t>
        </m:r>
      </m:oMath>
      <w:r>
        <w:t xml:space="preserve">, ablation-isolated to the mask), but on its own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move exact match: the fully symmetry-conditioned flow still matches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131</m:t>
        </m:r>
      </m:oMath>
      <w:r>
        <w:t xml:space="preserve"> </w:t>
      </w:r>
      <w:r>
        <w:t xml:space="preserve">held-out crystals. Fixing crystal family perfectly is necessary, not</w:t>
      </w:r>
      <w:r>
        <w:t xml:space="preserve"> </w:t>
      </w:r>
      <w:r>
        <w:t xml:space="preserve">sufficient—the residual blocker is close-packing</w:t>
      </w:r>
      <w:r>
        <w:t xml:space="preserve"> </w:t>
      </w:r>
      <w:r>
        <w:rPr>
          <w:i/>
          <w:iCs/>
        </w:rPr>
        <w:t xml:space="preserve">precision</w:t>
      </w:r>
      <w:r>
        <w:t xml:space="preserve">. The finishing</w:t>
      </w:r>
      <w:r>
        <w:t xml:space="preserve"> </w:t>
      </w:r>
      <w:r>
        <w:t xml:space="preserve">stack of §2.7 supplies it, and we ablate each lever independently</w:t>
      </w:r>
      <w:r>
        <w:t xml:space="preserve"> </w:t>
      </w:r>
      <w:r>
        <w:t xml:space="preserve">(Table 7, Fig. 1; best-of-</w:t>
      </w:r>
      <m:oMath>
        <m:r>
          <m:t>10</m:t>
        </m:r>
      </m:oMath>
      <w:r>
        <w:t xml:space="preserve">,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, coset 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).</w:t>
      </w:r>
    </w:p>
    <w:p>
      <w:pPr>
        <w:pStyle w:val="BodyText"/>
        <w:spacing w:before="0" w:after="0" w:line="480" w:lineRule="auto"/>
      </w:pPr>
      <w:r>
        <w:t xml:space="preserve">The rigid-press finisher alone unblocks match (</w:t>
      </w:r>
      <m:oMath>
        <m:r>
          <m:t>0</m:t>
        </m:r>
        <m:r>
          <m:rPr>
            <m:sty m:val="p"/>
          </m:rPr>
          <m:t>%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1.5</m:t>
        </m:r>
        <m:r>
          <m:rPr>
            <m:sty m:val="p"/>
          </m:rPr>
          <m:t>%</m:t>
        </m:r>
      </m:oMath>
      <w:r>
        <w:t xml:space="preserve">; the raw flow</w:t>
      </w:r>
      <w:r>
        <w:t xml:space="preserve"> </w:t>
      </w:r>
      <w:r>
        <w:t xml:space="preserve">matches nothing); repairing the centroid head doubles it to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; corpus scale</w:t>
      </w:r>
      <w:r>
        <w:t xml:space="preserve"> </w:t>
      </w:r>
      <w:r>
        <w:t xml:space="preserve">(</w:t>
      </w:r>
      <m:oMath>
        <m:r>
          <m:t>2.3</m:t>
        </m:r>
        <m:r>
          <m:rPr>
            <m:sty m:val="p"/>
          </m:rPr>
          <m:t>×</m:t>
        </m:r>
      </m:oMath>
      <w:r>
        <w:t xml:space="preserve">) improves the averaged metrics (RMAD, coset error) but leaves exact</w:t>
      </w:r>
      <w:r>
        <w:t xml:space="preserve"> </w:t>
      </w:r>
      <w:r>
        <w:t xml:space="preserve">match flat at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, mirroring the orientation-scale finding of</w:t>
      </w:r>
      <w:r>
        <w:t xml:space="preserve"> </w:t>
      </w:r>
      <w:r>
        <w:t xml:space="preserve">§3.5. Self-conditioning is the first lever to move the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tolerance, and scoring at MolCrystalFlow’s own match@</w:t>
      </w:r>
      <m:oMath>
        <m:r>
          <m:t>10</m:t>
        </m:r>
      </m:oMath>
      <w:r>
        <w:t xml:space="preserve"> </w:t>
      </w:r>
      <w:r>
        <w:t xml:space="preserve">protocol with finer</w:t>
      </w:r>
      <w:r>
        <w:t xml:space="preserve"> </w:t>
      </w:r>
      <w:r>
        <w:t xml:space="preserve">(</w:t>
      </w:r>
      <m:oMath>
        <m:r>
          <m:t>100</m:t>
        </m:r>
      </m:oMath>
      <w:r>
        <w:t xml:space="preserve">-step) sampling reaches</w:t>
      </w:r>
      <w:r>
        <w:t xml:space="preserve"> </w:t>
      </w:r>
      <m:oMath>
        <m:r>
          <m:t>6.1</m:t>
        </m:r>
        <m:r>
          <m:rPr>
            <m:sty m:val="p"/>
          </m:rPr>
          <m:t>%</m:t>
        </m:r>
      </m:oMath>
      <w:r>
        <w:t xml:space="preserve">; AlphaFold-style recycling reaches</w:t>
      </w:r>
      <w:r>
        <w:t xml:space="preserve"> </w:t>
      </w:r>
      <m:oMath>
        <m:r>
          <m:rPr>
            <m:sty m:val="b"/>
          </m:rPr>
          <m:t>6.9</m:t>
        </m:r>
        <m:r>
          <m:rPr>
            <m:sty m:val="b"/>
          </m:rPr>
          <m:t>%</m:t>
        </m:r>
      </m:oMath>
      <w:r>
        <w:t xml:space="preserve">—statistical parity with MolCrystalFlow’s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8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CI</w:t>
      </w:r>
      <w:r>
        <w:t xml:space="preserve"> </w:t>
      </w:r>
      <m:oMath>
        <m:r>
          <m:t>3.66</m:t>
        </m:r>
      </m:oMath>
      <w:r>
        <w:t xml:space="preserve">–</w:t>
      </w:r>
      <m:oMath>
        <m:r>
          <m:t>12.54</m:t>
        </m:r>
      </m:oMath>
      <w:r>
        <w:t xml:space="preserve">, overlapping</w:t>
      </w:r>
      <w:r>
        <w:t xml:space="preserve"> </w:t>
      </w:r>
      <m:oMath>
        <m:r>
          <m:t>8</m:t>
        </m:r>
      </m:oMath>
      <w:r>
        <w:t xml:space="preserve">), from a flow that matched zero. An orientation-TTA</w:t>
      </w:r>
      <w:r>
        <w:t xml:space="preserve"> </w:t>
      </w:r>
      <w:r>
        <w:t xml:space="preserve">finishing pass (best-of-</w:t>
      </w:r>
      <m:oMath>
        <m:r>
          <m:t>30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the finishing candidates) reaches</w:t>
      </w:r>
      <w:r>
        <w:t xml:space="preserve"> </w:t>
      </w:r>
      <m:oMath>
        <m:r>
          <m:rPr>
            <m:sty m:val="b"/>
          </m:rPr>
          <m:t>10.7</m:t>
        </m:r>
        <m:r>
          <m:rPr>
            <m:sty m:val="b"/>
          </m:rPr>
          <m:t>%</m:t>
        </m:r>
      </m:oMath>
      <w:r>
        <w:t xml:space="preserve">, above MolCrystalFlow, though at a larger finishing budget than</w:t>
      </w:r>
      <w:r>
        <w:t xml:space="preserve"> </w:t>
      </w:r>
      <w:r>
        <w:t xml:space="preserve">strict match@</w:t>
      </w:r>
      <m:oMath>
        <m:r>
          <m:t>10</m:t>
        </m:r>
      </m:oMath>
      <w:r>
        <w:t xml:space="preserve">. The median atom-RMSD to the reference falls from</w:t>
      </w:r>
      <w:r>
        <w:t xml:space="preserve"> </w:t>
      </w:r>
      <m:oMath>
        <m:r>
          <m:t>1.02</m:t>
        </m:r>
      </m:oMath>
      <w:r>
        <w:t xml:space="preserve"> </w:t>
      </w:r>
      <w:r>
        <w:t xml:space="preserve">(raw) to</w:t>
      </w:r>
      <w:r>
        <w:t xml:space="preserve"> </w:t>
      </w:r>
      <m:oMath>
        <m:r>
          <m:t>0.77</m:t>
        </m:r>
      </m:oMath>
      <w:r>
        <w:t xml:space="preserve"> </w:t>
      </w:r>
      <w:r>
        <w:t xml:space="preserve">(best), and cell-volume RMAD from</w:t>
      </w:r>
      <w:r>
        <w:t xml:space="preserve"> </w:t>
      </w:r>
      <m:oMath>
        <m:r>
          <m:t>33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21</m:t>
        </m:r>
        <m:r>
          <m:rPr>
            <m:sty m:val="p"/>
          </m:rPr>
          <m:t>%</m:t>
        </m:r>
      </m:oMath>
      <w:r>
        <w:t xml:space="preserve">. Diminishing returns are</w:t>
      </w:r>
      <w:r>
        <w:t xml:space="preserve"> </w:t>
      </w:r>
      <w:r>
        <w:t xml:space="preserve">explicit: recycling and orientation-TTA both refine positioning, so stacking them</w:t>
      </w:r>
      <w:r>
        <w:t xml:space="preserve"> </w:t>
      </w:r>
      <w:r>
        <w:t xml:space="preserve">(</w:t>
      </w:r>
      <m:oMath>
        <m:r>
          <m:t>8.4</m:t>
        </m:r>
        <m:r>
          <m:rPr>
            <m:sty m:val="p"/>
          </m:rPr>
          <m:t>%</m:t>
        </m:r>
      </m:oMath>
      <w:r>
        <w:t xml:space="preserve">) underperforms TTA alone; corpus scale and cell relaxation add nothing to</w:t>
      </w:r>
      <w:r>
        <w:t xml:space="preserve"> </w:t>
      </w:r>
      <w:r>
        <w:t xml:space="preserve">match. These diminishing returns mark the effective ceiling for the current architecture.</w:t>
      </w:r>
    </w:p>
    <w:p>
      <w:pPr>
        <w:pStyle w:val="CaptionedFigure"/>
        <w:spacing w:before="0" w:after="0" w:line="480" w:lineRule="auto"/>
      </w:pPr>
      <w:r>
        <w:drawing>
          <wp:inline>
            <wp:extent cx="5334000" cy="23584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fig3_ladd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0" w:after="0" w:line="480" w:lineRule="auto"/>
      </w:pPr>
      <w:r>
        <w:t xml:space="preserve">Figure 1. The exact-match lever ladder (coset 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, best-of-</w:t>
      </w:r>
      <m:oMath>
        <m:r>
          <m:t>10</m:t>
        </m:r>
      </m:oMath>
      <w:r>
        <w:t xml:space="preserve">,</w:t>
      </w:r>
      <w:r>
        <w:t xml:space="preserve"> </w:t>
      </w:r>
      <w:r>
        <w:rPr>
          <w:smallCaps/>
        </w:rPr>
        <w:t xml:space="preserve">StructureMatcher</w:t>
      </w:r>
      <w:r>
        <w:t xml:space="preserve">).</w:t>
      </w:r>
      <w:r>
        <w:t xml:space="preserve"> </w:t>
      </w:r>
      <w:r>
        <w:rPr>
          <w:b/>
          <w:bCs/>
        </w:rPr>
        <w:t xml:space="preserve">(a)</w:t>
      </w:r>
      <w:r>
        <w:t xml:space="preserve"> Each lever added in turn lifts held-out</w:t>
      </w:r>
      <w:r>
        <w:t xml:space="preserve"> </w:t>
      </w:r>
      <w:r>
        <w:t xml:space="preserve">exact match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(raw fully symmetry-conditioned flow) to</w:t>
      </w:r>
      <w:r>
        <w:t xml:space="preserve"> </w:t>
      </w:r>
      <m:oMath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nor/>
            <m:sty m:val="p"/>
          </m:rPr>
          <m:t>stol</m:t>
        </m:r>
        <m:r>
          <m:t> </m:t>
        </m:r>
        <m:r>
          <m:t>1.0</m:t>
        </m:r>
      </m:oMath>
      <w:r>
        <w:t xml:space="preserve">, at parity with MolCrystalFlow (dashed); the orientation-TTA</w:t>
      </w:r>
      <w:r>
        <w:t xml:space="preserve"> </w:t>
      </w:r>
      <w:r>
        <w:t xml:space="preserve">pass reaches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at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finishing budget.</w:t>
      </w:r>
      <w:r>
        <w:t xml:space="preserve"> </w:t>
      </w:r>
      <w:r>
        <w:rPr>
          <w:b/>
          <w:bCs/>
        </w:rPr>
        <w:t xml:space="preserve">(b)</w:t>
      </w:r>
      <w:r>
        <w:t xml:space="preserve"> The best</w:t>
      </w:r>
      <w:r>
        <w:t xml:space="preserve"> </w:t>
      </w:r>
      <w:r>
        <w:t xml:space="preserve">configuration across the site-tolerance sweep against MolCrystalFlow’s reported</w:t>
      </w:r>
      <w:r>
        <w:t xml:space="preserve"> </w:t>
      </w:r>
      <w:r>
        <w:t xml:space="preserve">match@</w:t>
      </w:r>
      <m:oMath>
        <m:r>
          <m:t>10</m:t>
        </m:r>
      </m:oMath>
      <w:r>
        <w:t xml:space="preserve">: strict match@</w:t>
      </w:r>
      <m:oMath>
        <m:r>
          <m:t>10</m:t>
        </m:r>
      </m:oMath>
      <w:r>
        <w:t xml:space="preserve"> </w:t>
      </w:r>
      <w:r>
        <w:t xml:space="preserve">is at parity, orientation-TTA clears it.</w:t>
      </w:r>
    </w:p>
    <w:p>
      <w:pPr>
        <w:pStyle w:val="TableCaption"/>
        <w:spacing w:before="0" w:after="0" w:line="480" w:lineRule="auto"/>
      </w:pPr>
      <w:r>
        <w:t xml:space="preserve">Table 7. Exact-match lever ladder: held-out best-of-</w:t>
      </w:r>
      <m:oMath>
        <m:r>
          <m:t>10</m:t>
        </m:r>
      </m:oMath>
      <w:r>
        <w:t xml:space="preserve"> </w:t>
      </w:r>
      <w:r>
        <w:t xml:space="preserve">match (coset on,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131</m:t>
        </m:r>
      </m:oMath>
      <w:r>
        <w:t xml:space="preserve">;</w:t>
      </w:r>
      <w:r>
        <w:t xml:space="preserve"> </w:t>
      </w:r>
      <w:r>
        <w:rPr>
          <w:smallCaps/>
        </w:rPr>
        <w:t xml:space="preserve">StructureMatcher</w:t>
      </w:r>
      <w:r>
        <w:t xml:space="preserve"> </w:t>
      </w:r>
      <w:r>
        <w:t xml:space="preserve">ltol</w:t>
      </w:r>
      <m:oMath>
        <m:r>
          <m:rPr>
            <m:sty m:val="p"/>
          </m:rPr>
          <m:t>=</m:t>
        </m:r>
        <m:r>
          <m:t>0.3</m:t>
        </m:r>
      </m:oMath>
      <w:r>
        <w:t xml:space="preserve">/atol</w:t>
      </w:r>
      <m:oMath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frozen cell). Each row adds</w:t>
      </w:r>
      <w:r>
        <w:t xml:space="preserve"> </w:t>
      </w:r>
      <w:r>
        <w:t xml:space="preserve">one lever to the row above. Strict match@</w:t>
      </w:r>
      <m:oMath>
        <m:r>
          <m:t>10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model draws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single</w:t>
      </w:r>
      <w:r>
        <w:t xml:space="preserve"> </w:t>
      </w:r>
      <w:r>
        <w:t xml:space="preserve">finish; orientation-TTA is best-of-</w:t>
      </w:r>
      <m:oMath>
        <m:r>
          <m:t>30</m:t>
        </m:r>
      </m:oMath>
      <w:r>
        <w:t xml:space="preserve"> </w:t>
      </w:r>
      <w:r>
        <w:t xml:space="preserve">(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finishing candidates).</w:t>
      </w:r>
      <w:r>
        <w:t xml:space="preserve"> </w:t>
      </w:r>
      <w:r>
        <w:t xml:space="preserve">MolCrystalFlow is the symmetry-free rigid-body flow.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. Exact-match lever ladder: held-out best-of-10 match (coset on, n{=}131; StructureMatcher ltol=0.3/atol=10^\circ; frozen cell). Each row adds one lever to the row above. Strict match@10 is 10 model draws \times single finish; orientation-TTA is best-of-30 (3\times finishing candidates). MolCrystalFlow is the symmetry-free rigid-body flow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0.8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stol</w:t>
            </w:r>
            <w:r>
              <w:t xml:space="preserve"> </w:t>
            </w:r>
            <m:oMath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flow (fully sym-conditioned)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mask + coset, no polish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rigid-press finisher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physical packing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centroid fix (OT + prior)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repairs centroid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scale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RMAD/coset, not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self-conditioning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to move tight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match@</w:t>
            </w:r>
            <m:oMath>
              <m:r>
                <m:t>10</m:t>
              </m:r>
            </m:oMath>
            <w:r>
              <w:t xml:space="preserve"> </w:t>
            </w:r>
            <w:r>
              <w:t xml:space="preserve">+ steps</w:t>
            </w:r>
            <m:oMath>
              <m:r>
                <m:rPr>
                  <m:sty m:val="p"/>
                </m:rPr>
                <m:t>=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MCF protocol + finer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recycling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6.1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6.9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strict; parity w/ MCF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orientation-TTA (best-of-</w:t>
            </w:r>
            <m:oMath>
              <m:r>
                <m:t>30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10.7</m:t>
              </m:r>
              <m:r>
                <m:rPr>
                  <m:sty m:val="b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finish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MolCrystalFlow (sym-free)</w:t>
            </w:r>
            <w:r>
              <w:rPr>
                <w:vertAlign w:val="superscript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6.8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  <m:r>
                <m:t>​</m:t>
              </m:r>
              <m:r>
                <m:t>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</w:tbl>
    <w:bookmarkEnd w:id="31"/>
    <w:bookmarkStart w:id="32" w:name="limitations"/>
    <w:p>
      <w:pPr>
        <w:pStyle w:val="Heading2"/>
        <w:spacing w:before="0" w:after="0" w:line="480" w:lineRule="auto"/>
      </w:pPr>
      <w:r>
        <w:rPr>
          <w:rStyle w:val="SectionNumber"/>
        </w:rPr>
        <w:t xml:space="preserve">3.8</w:t>
      </w:r>
      <w:r>
        <w:tab/>
      </w:r>
      <w:r>
        <w:t xml:space="preserve">Limitations</w:t>
      </w:r>
    </w:p>
    <w:p>
      <w:pPr>
        <w:pStyle w:val="FirstParagraph"/>
        <w:spacing w:before="0" w:after="0" w:line="480" w:lineRule="auto"/>
      </w:pPr>
      <w:r>
        <w:t xml:space="preserve">Evaluation is by reconstruction against known CSD structures under simulated</w:t>
      </w:r>
      <w:r>
        <w:t xml:space="preserve"> </w:t>
      </w:r>
      <w:r>
        <w:t xml:space="preserve">conditioning, not de-novo discovery; a stable–unique–novel evaluation is not</w:t>
      </w:r>
      <w:r>
        <w:t xml:space="preserve"> </w:t>
      </w:r>
      <w:r>
        <w:t xml:space="preserve">informative here because the universal interatomic potentials used to judge</w:t>
      </w:r>
      <w:r>
        <w:t xml:space="preserve"> </w:t>
      </w:r>
      <w:r>
        <w:t xml:space="preserve">stability are trained on inorganic data</w:t>
      </w:r>
      <w:r>
        <w:rPr>
          <w:vertAlign w:val="superscript"/>
        </w:rPr>
        <w:t xml:space="preserve">18</w:t>
      </w:r>
      <w:r>
        <w:t xml:space="preserve"> </w:t>
      </w:r>
      <w:r>
        <w:t xml:space="preserve">and do not transfer to</w:t>
      </w:r>
      <w:r>
        <w:t xml:space="preserve"> </w:t>
      </w:r>
      <w:r>
        <w:t xml:space="preserve">organic molecular crystals. The analysis is scoped to rigid, largely organic</w:t>
      </w:r>
      <w:r>
        <w:t xml:space="preserve"> </w:t>
      </w:r>
      <w:r>
        <w:t xml:space="preserve">(C/H/N/O-dominated) molecules on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positions, where the</w:t>
      </w:r>
      <w:r>
        <w:t xml:space="preserve"> </w:t>
      </w:r>
      <w:r>
        <w:t xml:space="preserve">asymmetric-unit pose is genuinely free; molecules on special positions carry a site</w:t>
      </w:r>
      <w:r>
        <w:t xml:space="preserve"> </w:t>
      </w:r>
      <w:r>
        <w:t xml:space="preserve">symmetry that further constrains the pose and should be more favorable, and</w:t>
      </w:r>
      <w:r>
        <w:t xml:space="preserve"> </w:t>
      </w:r>
      <w:r>
        <w:t xml:space="preserve">flexible molecules are excluded by the rigid-conformer gate. The present analysis</w:t>
      </w:r>
      <w:r>
        <w:t xml:space="preserve"> </w:t>
      </w:r>
      <w:r>
        <w:t xml:space="preserve">predicts that rigid-body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generation is most effective precisely</w:t>
      </w:r>
      <w:r>
        <w:t xml:space="preserve"> </w:t>
      </w:r>
      <w:r>
        <w:t xml:space="preserve">where orientation is externally constrained, consistent with MOFFlow’s success on</w:t>
      </w:r>
      <w:r>
        <w:t xml:space="preserve"> </w:t>
      </w:r>
      <w:r>
        <w:t xml:space="preserve">framework-connected blocks</w:t>
      </w:r>
      <w:r>
        <w:rPr>
          <w:vertAlign w:val="superscript"/>
        </w:rPr>
        <w:t xml:space="preserve">7</w:t>
      </w:r>
      <w:r>
        <w:t xml:space="preserve">. The MolCrystalFlow comparison is</w:t>
      </w:r>
      <w:r>
        <w:t xml:space="preserve"> </w:t>
      </w:r>
      <w:r>
        <w:t xml:space="preserve">comparable-task rather than a strict head-to-head—our corpus is a smaller</w:t>
      </w:r>
      <w:r>
        <w:t xml:space="preserve"> </w:t>
      </w:r>
      <w:r>
        <w:t xml:space="preserve">CSD-derived molecular set at diagnostic scale—and the strict match@</w:t>
      </w:r>
      <m:oMath>
        <m:r>
          <m:t>10</m:t>
        </m:r>
      </m:oMath>
      <w:r>
        <w:t xml:space="preserve"> </w:t>
      </w:r>
      <w:r>
        <w:t xml:space="preserve">parity</w:t>
      </w:r>
      <w:r>
        <w:t xml:space="preserve"> </w:t>
      </w:r>
      <w:r>
        <w:t xml:space="preserve">carries a wide confidence interval, while the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figure uses a larger</w:t>
      </w:r>
      <w:r>
        <w:t xml:space="preserve"> </w:t>
      </w:r>
      <w:r>
        <w:t xml:space="preserve">finishing budget than strict match@</w:t>
      </w:r>
      <m:oMath>
        <m:r>
          <m:t>10</m:t>
        </m:r>
      </m:oMath>
      <w:r>
        <w:t xml:space="preserve">. Template-free reconstruction is not yet at</w:t>
      </w:r>
      <w:r>
        <w:t xml:space="preserve"> </w:t>
      </w:r>
      <w:r>
        <w:t xml:space="preserve">the template ceiling (top-1</w:t>
      </w:r>
      <w:r>
        <w:t xml:space="preserve"> </w:t>
      </w:r>
      <m:oMath>
        <m:r>
          <m:t>39</m:t>
        </m:r>
      </m:oMath>
      <w:r>
        <w:t xml:space="preserve">–</w:t>
      </w:r>
      <m:oMath>
        <m:r>
          <m:t>43</m:t>
        </m:r>
        <m:r>
          <m:rPr>
            <m:sty m:val="p"/>
          </m:rPr>
          <m:t>%</m:t>
        </m:r>
      </m:oMath>
      <w:r>
        <w:t xml:space="preserve">). Because the learnable signal is visible</w:t>
      </w:r>
      <w:r>
        <w:t xml:space="preserve"> </w:t>
      </w:r>
      <w:r>
        <w:t xml:space="preserve">only when the metric isolates orientation and samples the multimodal target, we</w:t>
      </w:r>
      <w:r>
        <w:t xml:space="preserve"> </w:t>
      </w:r>
      <w:r>
        <w:t xml:space="preserve">report geodesic error and controlled best-of-</w:t>
      </w:r>
      <m:oMath>
        <m:r>
          <m:t>k</m:t>
        </m:r>
      </m:oMath>
      <w:r>
        <w:t xml:space="preserve"> </w:t>
      </w:r>
      <w:r>
        <w:t xml:space="preserve">match rather than a single</w:t>
      </w:r>
      <w:r>
        <w:t xml:space="preserve"> </w:t>
      </w:r>
      <w:r>
        <w:t xml:space="preserve">match-rate number</w:t>
      </w:r>
      <w:r>
        <w:rPr>
          <w:vertAlign w:val="superscript"/>
        </w:rPr>
        <w:t xml:space="preserve">17</w:t>
      </w:r>
      <w:r>
        <w:t xml:space="preserve">.</w:t>
      </w:r>
    </w:p>
    <w:bookmarkEnd w:id="32"/>
    <w:bookmarkEnd w:id="33"/>
    <w:bookmarkStart w:id="34" w:name="conclusions"/>
    <w:p>
      <w:pPr>
        <w:pStyle w:val="Heading1"/>
        <w:spacing w:before="0" w:after="0" w:line="480" w:lineRule="auto"/>
      </w:pPr>
      <w:r>
        <w:rPr>
          <w:rStyle w:val="SectionNumber"/>
        </w:rPr>
        <w:t xml:space="preserve">4</w:t>
      </w:r>
      <w:r>
        <w:tab/>
      </w:r>
      <w:r>
        <w:t xml:space="preserve">Conclusions</w:t>
      </w:r>
    </w:p>
    <w:p>
      <w:pPr>
        <w:pStyle w:val="FirstParagraph"/>
        <w:spacing w:before="0" w:after="0" w:line="480" w:lineRule="auto"/>
      </w:pPr>
      <w:r>
        <w:t xml:space="preserve">The learnable content of a rigid-body orientation field is the</w:t>
      </w:r>
      <w:r>
        <w:t xml:space="preserve"> </w:t>
      </w:r>
      <w:r>
        <w:t xml:space="preserve">space-group-determined relative rotation; a deployable, leak-free coset label</w:t>
      </w:r>
      <w:r>
        <w:t xml:space="preserve"> </w:t>
      </w:r>
      <w:r>
        <w:t xml:space="preserve">delivers it,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-averaged objective reaches the oracle codebook, the</w:t>
      </w:r>
      <w:r>
        <w:t xml:space="preserve"> </w:t>
      </w:r>
      <w:r>
        <w:t xml:space="preserve">coset makes orientation work end-to-end, and top-</w:t>
      </w:r>
      <m:oMath>
        <m:r>
          <m:t>k</m:t>
        </m:r>
      </m:oMath>
      <w:r>
        <w:t xml:space="preserve"> </w:t>
      </w:r>
      <w:r>
        <w:t xml:space="preserve">marginalization opens a</w:t>
      </w:r>
      <w:r>
        <w:t xml:space="preserve"> </w:t>
      </w:r>
      <w:r>
        <w:t xml:space="preserve">template-free path. Extending symmetry conditioning to the lattice yields the first</w:t>
      </w:r>
      <w:r>
        <w:t xml:space="preserve"> </w:t>
      </w:r>
      <w:r>
        <w:t xml:space="preserve">fully symmetry-conditioned molecular-crystal flow, and composed with an</w:t>
      </w:r>
      <w:r>
        <w:t xml:space="preserve"> </w:t>
      </w:r>
      <w:r>
        <w:t xml:space="preserve">unsupervised symmetry-preserving finisher and a fully-ablated lever stack it reaches</w:t>
      </w:r>
      <w:r>
        <w:t xml:space="preserve"> </w:t>
      </w:r>
      <w:r>
        <w:t xml:space="preserve">exact-match parity with the symmetry-free rigid-body flows (</w:t>
      </w:r>
      <m:oMath>
        <m:r>
          <m:t>0</m:t>
        </m:r>
        <m:r>
          <m:rPr>
            <m:sty m:val="p"/>
          </m:rPr>
          <m:t>%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6.9</m:t>
        </m:r>
        <m:r>
          <m:rPr>
            <m:sty m:val="p"/>
          </m:rPr>
          <m:t>%</m:t>
        </m:r>
      </m:oMath>
      <w:r>
        <w:t xml:space="preserve"> </w:t>
      </w:r>
      <w:r>
        <w:t xml:space="preserve">strict,</w:t>
      </w:r>
      <w:r>
        <w:t xml:space="preserve"> </w:t>
      </w:r>
      <m:oMath>
        <m:r>
          <m:t>10.7</m:t>
        </m:r>
        <m:r>
          <m:rPr>
            <m:sty m:val="p"/>
          </m:rPr>
          <m:t>%</m:t>
        </m:r>
      </m:oMath>
      <w:r>
        <w:t xml:space="preserve"> </w:t>
      </w:r>
      <w:r>
        <w:t xml:space="preserve">with orientation TTA), with each lever’s contribution quantified. This gives rigid-body molecular-crystal</w:t>
      </w:r>
      <w:r>
        <w:t xml:space="preserve"> </w:t>
      </w:r>
      <w:r>
        <w:t xml:space="preserve">generators</w:t>
      </w:r>
      <w:r>
        <w:rPr>
          <w:vertAlign w:val="superscript"/>
        </w:rPr>
        <w:t xml:space="preserve">6</w:t>
      </w:r>
      <w:r>
        <w:t xml:space="preserve"> </w:t>
      </w:r>
      <w:r>
        <w:t xml:space="preserve">a concrete recipe: condition both</w:t>
      </w:r>
      <w:r>
        <w:t xml:space="preserve"> </w:t>
      </w:r>
      <w:r>
        <w:t xml:space="preserve">orientation (on the generating coset) and the lattice (on the crystal family),</w:t>
      </w:r>
      <w:r>
        <w:t xml:space="preserve"> </w:t>
      </w:r>
      <w:r>
        <w:t xml:space="preserve">sample only the free pose, and finish with a symmetry-preserving physical</w:t>
      </w:r>
      <w:r>
        <w:t xml:space="preserve"> </w:t>
      </w:r>
      <w:r>
        <w:t xml:space="preserve">relaxation.</w:t>
      </w:r>
    </w:p>
    <w:bookmarkEnd w:id="34"/>
    <w:bookmarkStart w:id="35" w:name="acknowledgements"/>
    <w:p>
      <w:pPr>
        <w:pStyle w:val="Heading1"/>
        <w:spacing w:before="0" w:after="0" w:line="480" w:lineRule="auto"/>
      </w:pPr>
      <w:r>
        <w:t xml:space="preserve">Acknowledgements</w:t>
      </w:r>
    </w:p>
    <w:p>
      <w:pPr>
        <w:pStyle w:val="FirstParagraph"/>
        <w:spacing w:before="0" w:after="0" w:line="480" w:lineRule="auto"/>
      </w:pPr>
      <w:r>
        <w:t xml:space="preserve">The author thanks the Cambridge Crystallographic Data Centre for access to the</w:t>
      </w:r>
      <w:r>
        <w:t xml:space="preserve"> </w:t>
      </w:r>
      <w:r>
        <w:t xml:space="preserve">Cambridge Structural Database under an academic licence. No external funding</w:t>
      </w:r>
      <w:r>
        <w:t xml:space="preserve"> </w:t>
      </w:r>
      <w:r>
        <w:t xml:space="preserve">supported this work. The author declares no competing financial interest. During</w:t>
      </w:r>
      <w:r>
        <w:t xml:space="preserve"> </w:t>
      </w:r>
      <w:r>
        <w:t xml:space="preserve">the preparation of this manuscript, the author used Claude Opus 4.8 (Anthropic)</w:t>
      </w:r>
      <w:r>
        <w:t xml:space="preserve"> </w:t>
      </w:r>
      <w:r>
        <w:t xml:space="preserve">for language editing of the text; the author reviewed and edited all output and</w:t>
      </w:r>
      <w:r>
        <w:t xml:space="preserve"> </w:t>
      </w:r>
      <w:r>
        <w:t xml:space="preserve">takes full responsibility for the content of this work.</w:t>
      </w:r>
    </w:p>
    <w:bookmarkEnd w:id="35"/>
    <w:bookmarkStart w:id="37" w:name="data-and-software-availability"/>
    <w:p>
      <w:pPr>
        <w:pStyle w:val="Heading1"/>
        <w:spacing w:before="0" w:after="0" w:line="480" w:lineRule="auto"/>
      </w:pPr>
      <w:r>
        <w:t xml:space="preserve">Data and Software Availability</w:t>
      </w:r>
    </w:p>
    <w:p>
      <w:pPr>
        <w:pStyle w:val="FirstParagraph"/>
        <w:spacing w:before="0" w:after="0" w:line="480" w:lineRule="auto"/>
      </w:pPr>
      <w:r>
        <w:t xml:space="preserve">The SymMC-Flow source code, the CSD refcode manifest, and the export and</w:t>
      </w:r>
      <w:r>
        <w:t xml:space="preserve"> </w:t>
      </w:r>
      <w:r>
        <w:t xml:space="preserve">factorization pipeline are openly available at</w:t>
      </w:r>
      <w:r>
        <w:t xml:space="preserve"> </w:t>
      </w:r>
      <w:hyperlink r:id="rId36">
        <w:r>
          <w:rPr>
            <w:rStyle w:val="Hyperlink"/>
          </w:rPr>
          <w:t xml:space="preserve">https://github.com/fronkt/symmc-flow</w:t>
        </w:r>
      </w:hyperlink>
      <w:r>
        <w:t xml:space="preserve"> </w:t>
      </w:r>
      <w:r>
        <w:t xml:space="preserve">and archived at</w:t>
      </w:r>
      <w:r>
        <w:t xml:space="preserve"> </w:t>
      </w:r>
      <w:r>
        <w:t xml:space="preserve">Zenodo</w:t>
      </w:r>
      <w:r>
        <w:rPr>
          <w:vertAlign w:val="superscript"/>
        </w:rPr>
        <w:t xml:space="preserve">19</w:t>
      </w:r>
      <w:r>
        <w:t xml:space="preserve">. The Cambridge Structural Database is</w:t>
      </w:r>
      <w:r>
        <w:t xml:space="preserve"> </w:t>
      </w:r>
      <w:r>
        <w:t xml:space="preserve">licence-restricted; the underlying crystal structures are not redistributed, but</w:t>
      </w:r>
      <w:r>
        <w:t xml:space="preserve"> </w:t>
      </w:r>
      <w:r>
        <w:t xml:space="preserve">the deposited refcode manifest reproduces the corpus from a licensed CSD</w:t>
      </w:r>
      <w:r>
        <w:t xml:space="preserve"> </w:t>
      </w:r>
      <w:r>
        <w:t xml:space="preserve">installation. The Supporting Information document contains the extended methods.</w:t>
      </w:r>
    </w:p>
    <w:bookmarkEnd w:id="37"/>
    <w:bookmarkStart w:id="38" w:name="associated-content"/>
    <w:p>
      <w:pPr>
        <w:pStyle w:val="Heading1"/>
        <w:spacing w:before="0" w:after="0" w:line="480" w:lineRule="auto"/>
      </w:pPr>
      <w:r>
        <w:t xml:space="preserve">Associated Content</w:t>
      </w:r>
    </w:p>
    <w:p>
      <w:pPr>
        <w:pStyle w:val="FirstParagraph"/>
        <w:spacing w:before="0" w:after="0" w:line="480" w:lineRule="auto"/>
      </w:pPr>
      <w:r>
        <w:t xml:space="preserve">oindent extbf</w:t>
      </w:r>
      <w:r>
        <w:t xml:space="preserve">Supporting Information.</w:t>
      </w:r>
      <w:r>
        <w:t xml:space="preserve"> </w:t>
      </w:r>
      <w:r>
        <w:t xml:space="preserve">Rigid-body factorization, intrinsic gauge, manifold parametrizations, and</w:t>
      </w:r>
      <w:r>
        <w:t xml:space="preserve"> </w:t>
      </w:r>
      <w:r>
        <w:t xml:space="preserve">deployable coset recovery; the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asym</m:t>
            </m:r>
          </m:sub>
        </m:sSub>
      </m:oMath>
      <w:r>
        <w:t xml:space="preserve"> </w:t>
      </w:r>
      <w:r>
        <w:t xml:space="preserve">conditional probe; the</w:t>
      </w:r>
      <w:r>
        <w:t xml:space="preserve"> </w:t>
      </w:r>
      <w:r>
        <w:t xml:space="preserve">crystal-family lattice mask (log-metric basis and per-family free/frozen</w:t>
      </w:r>
      <w:r>
        <w:t xml:space="preserve"> </w:t>
      </w:r>
      <w:r>
        <w:t xml:space="preserve">coordinates); the rigid-press finisher energy and optimizer and the</w:t>
      </w:r>
      <w:r>
        <w:t xml:space="preserve"> </w:t>
      </w:r>
      <w:r>
        <w:t xml:space="preserve">self-conditioning and recycling update rules; and per-seed numbers with the</w:t>
      </w:r>
      <w:r>
        <w:t xml:space="preserve"> </w:t>
      </w:r>
      <w:r>
        <w:t xml:space="preserve">tolerance sweep (PDF).</w:t>
      </w:r>
    </w:p>
    <w:bookmarkEnd w:id="38"/>
    <w:bookmarkStart w:id="63" w:name="references"/>
    <w:p>
      <w:pPr>
        <w:pStyle w:val="Heading1"/>
        <w:spacing w:before="0" w:after="0" w:line="480" w:lineRule="auto"/>
      </w:pPr>
      <w:r>
        <w:t xml:space="preserve">References</w:t>
      </w:r>
    </w:p>
    <w:bookmarkStart w:id="62" w:name="refs"/>
    <w:bookmarkStart w:id="39" w:name="ref-xie2022cdvae"/>
    <w:p>
      <w:pPr>
        <w:pStyle w:val="Bibliography"/>
        <w:spacing w:before="0" w:after="0" w:line="480" w:lineRule="auto"/>
      </w:pPr>
      <w:r>
        <w:t xml:space="preserve">(1)</w:t>
      </w:r>
      <w:r>
        <w:t xml:space="preserve"> </w:t>
      </w:r>
      <w:r>
        <w:t xml:space="preserve">	</w:t>
      </w:r>
      <w:r>
        <w:t xml:space="preserve">Xie, T.; Fu, X.; Ganea, O.-E.; Barzilay, R.; Jaakkola, T. Crystal Diffusion Variational Autoencoder for Periodic Material Generation.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2022.</w:t>
      </w:r>
    </w:p>
    <w:bookmarkEnd w:id="39"/>
    <w:bookmarkStart w:id="40" w:name="ref-jiao2023diffcsp"/>
    <w:p>
      <w:pPr>
        <w:pStyle w:val="Bibliography"/>
        <w:spacing w:before="0" w:after="0" w:line="480" w:lineRule="auto"/>
      </w:pPr>
      <w:r>
        <w:t xml:space="preserve">(2)</w:t>
      </w:r>
      <w:r>
        <w:t xml:space="preserve"> </w:t>
      </w:r>
      <w:r>
        <w:t xml:space="preserve">	</w:t>
      </w:r>
      <w:r>
        <w:t xml:space="preserve">Jiao, R.; Huang, W.; Lin, P.; Han, J.; Chen, P.; Lu, Y.; Liu, Y. Crystal Structure Prediction by Joint Equivariant Diffusion.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40"/>
    <w:bookmarkStart w:id="41" w:name="ref-miller2024flowmm"/>
    <w:p>
      <w:pPr>
        <w:pStyle w:val="Bibliography"/>
        <w:spacing w:before="0" w:after="0" w:line="480" w:lineRule="auto"/>
      </w:pPr>
      <w:r>
        <w:t xml:space="preserve">(3)</w:t>
      </w:r>
      <w:r>
        <w:t xml:space="preserve"> </w:t>
      </w:r>
      <w:r>
        <w:t xml:space="preserve">	</w:t>
      </w:r>
      <w:r>
        <w:t xml:space="preserve">Miller, B. K.; Chen, R. T. Q.; Sriram, A.; Wood, B. M.</w:t>
      </w:r>
      <w:r>
        <w:t xml:space="preserve"> </w:t>
      </w:r>
      <w:r>
        <w:t xml:space="preserve">FlowMM</w:t>
      </w:r>
      <w:r>
        <w:t xml:space="preserve">: Generating Materials with Riemannian Flow Matching. 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; 2024.</w:t>
      </w:r>
    </w:p>
    <w:bookmarkEnd w:id="41"/>
    <w:bookmarkStart w:id="42" w:name="ref-lipman2023flowmatching"/>
    <w:p>
      <w:pPr>
        <w:pStyle w:val="Bibliography"/>
        <w:spacing w:before="0" w:after="0" w:line="480" w:lineRule="auto"/>
      </w:pPr>
      <w:r>
        <w:t xml:space="preserve">(4)</w:t>
      </w:r>
      <w:r>
        <w:t xml:space="preserve"> </w:t>
      </w:r>
      <w:r>
        <w:t xml:space="preserve">	</w:t>
      </w:r>
      <w:r>
        <w:t xml:space="preserve">Lipman, Y.; Chen, R. T. Q.; Ben-Hamu, H.; Nickel, M.; Le, M. Flow Matching for Generative Modeling.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42"/>
    <w:bookmarkStart w:id="43" w:name="ref-chen2024riemannian"/>
    <w:p>
      <w:pPr>
        <w:pStyle w:val="Bibliography"/>
        <w:spacing w:before="0" w:after="0" w:line="480" w:lineRule="auto"/>
      </w:pPr>
      <w:r>
        <w:t xml:space="preserve">(5)</w:t>
      </w:r>
      <w:r>
        <w:t xml:space="preserve"> </w:t>
      </w:r>
      <w:r>
        <w:t xml:space="preserve">	</w:t>
      </w:r>
      <w:r>
        <w:t xml:space="preserve">Chen, R. T. Q.; Lipman, Y. Flow Matching on General Geometries.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2024.</w:t>
      </w:r>
    </w:p>
    <w:bookmarkEnd w:id="43"/>
    <w:bookmarkStart w:id="44" w:name="ref-zeng2026molcrystalflow"/>
    <w:p>
      <w:pPr>
        <w:pStyle w:val="Bibliography"/>
        <w:spacing w:before="0" w:after="0" w:line="480" w:lineRule="auto"/>
      </w:pPr>
      <w:r>
        <w:t xml:space="preserve">(6)</w:t>
      </w:r>
      <w:r>
        <w:t xml:space="preserve"> </w:t>
      </w:r>
      <w:r>
        <w:t xml:space="preserve">	</w:t>
      </w:r>
      <w:r>
        <w:t xml:space="preserve">Zeng, C.; Sullivan, H. W.; Egg, T.; Martirossyan, M. M.; Höllmer, P.; Jin, J.; Hennig, R. G.; Roitberg, A.; Martiniani, S.; Tadmor, E. B.; Liu, M.</w:t>
      </w:r>
      <w:r>
        <w:t xml:space="preserve"> </w:t>
      </w:r>
      <w:r>
        <w:t xml:space="preserve">MolCrystalFlow</w:t>
      </w:r>
      <w:r>
        <w:t xml:space="preserve">: Molecular Crystal Structure Prediction via Flow Matching.</w:t>
      </w:r>
      <w:r>
        <w:t xml:space="preserve"> </w:t>
      </w:r>
      <w:r>
        <w:rPr>
          <w:i/>
          <w:iCs/>
        </w:rPr>
        <w:t xml:space="preserve">arXiv preprint arXiv:2602.16020</w:t>
      </w:r>
      <w:r>
        <w:t xml:space="preserve"> </w:t>
      </w:r>
      <w:r>
        <w:rPr>
          <w:b/>
          <w:bCs/>
        </w:rPr>
        <w:t xml:space="preserve">2026</w:t>
      </w:r>
      <w:r>
        <w:t xml:space="preserve">.</w:t>
      </w:r>
    </w:p>
    <w:bookmarkEnd w:id="44"/>
    <w:bookmarkStart w:id="45" w:name="ref-kim2025mofflow"/>
    <w:p>
      <w:pPr>
        <w:pStyle w:val="Bibliography"/>
        <w:spacing w:before="0" w:after="0" w:line="480" w:lineRule="auto"/>
      </w:pPr>
      <w:r>
        <w:t xml:space="preserve">(7)</w:t>
      </w:r>
      <w:r>
        <w:t xml:space="preserve"> </w:t>
      </w:r>
      <w:r>
        <w:t xml:space="preserve">	</w:t>
      </w:r>
      <w:r>
        <w:t xml:space="preserve">Kim, N.; Kim, S.; Kim, M.; Park, J.; Ahn, S.</w:t>
      </w:r>
      <w:r>
        <w:t xml:space="preserve"> </w:t>
      </w:r>
      <w:r>
        <w:t xml:space="preserve">MOFFlow</w:t>
      </w:r>
      <w:r>
        <w:t xml:space="preserve">: Flow Matching for Structure Prediction of Metal-Organic Frameworks.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2025.</w:t>
      </w:r>
    </w:p>
    <w:bookmarkEnd w:id="45"/>
    <w:bookmarkStart w:id="46" w:name="ref-jiao2024diffcsppp"/>
    <w:p>
      <w:pPr>
        <w:pStyle w:val="Bibliography"/>
        <w:spacing w:before="0" w:after="0" w:line="480" w:lineRule="auto"/>
      </w:pPr>
      <w:r>
        <w:t xml:space="preserve">(8)</w:t>
      </w:r>
      <w:r>
        <w:t xml:space="preserve"> </w:t>
      </w:r>
      <w:r>
        <w:t xml:space="preserve">	</w:t>
      </w:r>
      <w:r>
        <w:t xml:space="preserve">Jiao, R.; Huang, W.; Liu, Y.; Zhao, D.; Liu, Y. Space Group Constrained Crystal Generation.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2024.</w:t>
      </w:r>
    </w:p>
    <w:bookmarkEnd w:id="46"/>
    <w:bookmarkStart w:id="47" w:name="ref-wyckoffdiff2025"/>
    <w:p>
      <w:pPr>
        <w:pStyle w:val="Bibliography"/>
        <w:spacing w:before="0" w:after="0" w:line="480" w:lineRule="auto"/>
      </w:pPr>
      <w:r>
        <w:t xml:space="preserve">(9)</w:t>
      </w:r>
      <w:r>
        <w:t xml:space="preserve"> </w:t>
      </w:r>
      <w:r>
        <w:t xml:space="preserve">	</w:t>
      </w:r>
      <w:r>
        <w:t xml:space="preserve">Kelvinius, F. E.; Andersson, O. B.; Parackal, A. S.; Qian, D.; Armiento, R.; Lindsten, F.</w:t>
      </w:r>
      <w:r>
        <w:t xml:space="preserve"> </w:t>
      </w:r>
      <w:r>
        <w:t xml:space="preserve">WyckoffDiff</w:t>
      </w:r>
      <w:r>
        <w:t xml:space="preserve">: A Generative Diffusion Model for Crystal Symmetry.</w:t>
      </w:r>
      <w:r>
        <w:t xml:space="preserve"> </w:t>
      </w:r>
      <w:r>
        <w:rPr>
          <w:i/>
          <w:iCs/>
        </w:rPr>
        <w:t xml:space="preserve">arXiv preprint arXiv:2502.06485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47"/>
    <w:bookmarkStart w:id="48" w:name="ref-symmcd2025"/>
    <w:p>
      <w:pPr>
        <w:pStyle w:val="Bibliography"/>
        <w:spacing w:before="0" w:after="0" w:line="480" w:lineRule="auto"/>
      </w:pPr>
      <w:r>
        <w:t xml:space="preserve">(10)</w:t>
      </w:r>
      <w:r>
        <w:t xml:space="preserve"> </w:t>
      </w:r>
      <w:r>
        <w:t xml:space="preserve">	</w:t>
      </w:r>
      <w:r>
        <w:t xml:space="preserve">Levy, D.; Panigrahi, S. S.; Kaba, S.-O.; Zhu, Q.; Lee, K. L. K.; Galkin, M.; Miret, S.; Ravanbakhsh, S.</w:t>
      </w:r>
      <w:r>
        <w:t xml:space="preserve"> </w:t>
      </w:r>
      <w:r>
        <w:t xml:space="preserve">SymmCD</w:t>
      </w:r>
      <w:r>
        <w:t xml:space="preserve">: Symmetry-Preserving Crystal Generation with Diffusion Models.</w:t>
      </w:r>
      <w:r>
        <w:t xml:space="preserve"> </w:t>
      </w:r>
      <w:r>
        <w:rPr>
          <w:i/>
          <w:iCs/>
        </w:rPr>
        <w:t xml:space="preserve">arXiv preprint arXiv:2502.03638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48"/>
    <w:bookmarkStart w:id="49" w:name="ref-mu2026nextcrystal"/>
    <w:p>
      <w:pPr>
        <w:pStyle w:val="Bibliography"/>
        <w:spacing w:before="0" w:after="0" w:line="480" w:lineRule="auto"/>
      </w:pPr>
      <w:r>
        <w:t xml:space="preserve">(11)</w:t>
      </w:r>
      <w:r>
        <w:t xml:space="preserve"> </w:t>
      </w:r>
      <w:r>
        <w:t xml:space="preserve">	</w:t>
      </w:r>
      <w:r>
        <w:t xml:space="preserve">Mu, J.; He, L.; Zhu, X.; Yin, S.</w:t>
      </w:r>
      <w:r>
        <w:t xml:space="preserve"> </w:t>
      </w:r>
      <w:r>
        <w:t xml:space="preserve">NextCrystal</w:t>
      </w:r>
      <w:r>
        <w:t xml:space="preserve">: A Symmetry-Driven Generative Framework for Crystal Structure Prediction.</w:t>
      </w:r>
      <w:r>
        <w:t xml:space="preserve"> </w:t>
      </w:r>
      <w:r>
        <w:rPr>
          <w:i/>
          <w:iCs/>
        </w:rPr>
        <w:t xml:space="preserve">arXiv preprint arXiv:2602.17176</w:t>
      </w:r>
      <w:r>
        <w:t xml:space="preserve"> </w:t>
      </w:r>
      <w:r>
        <w:rPr>
          <w:b/>
          <w:bCs/>
        </w:rPr>
        <w:t xml:space="preserve">2026</w:t>
      </w:r>
      <w:r>
        <w:t xml:space="preserve">.</w:t>
      </w:r>
    </w:p>
    <w:bookmarkEnd w:id="49"/>
    <w:bookmarkStart w:id="50" w:name="ref-satorras2021egnn"/>
    <w:p>
      <w:pPr>
        <w:pStyle w:val="Bibliography"/>
        <w:spacing w:before="0" w:after="0" w:line="480" w:lineRule="auto"/>
      </w:pPr>
      <w:r>
        <w:t xml:space="preserve">(12)</w:t>
      </w:r>
      <w:r>
        <w:t xml:space="preserve"> </w:t>
      </w:r>
      <w:r>
        <w:t xml:space="preserve">	</w:t>
      </w:r>
      <w:r>
        <w:t xml:space="preserve">Satorras, V. G.; Hoogeboom, E.; Welling, M.</w:t>
      </w:r>
      <w:r>
        <w:t xml:space="preserve"> </w:t>
      </w:r>
      <w:r>
        <w:t xml:space="preserve">E</w:t>
      </w:r>
      <w:r>
        <w:t xml:space="preserve">(n) Equivariant Graph Neural Networks. 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; 2021.</w:t>
      </w:r>
    </w:p>
    <w:bookmarkEnd w:id="50"/>
    <w:bookmarkStart w:id="51" w:name="ref-cao2025so3averaged"/>
    <w:p>
      <w:pPr>
        <w:pStyle w:val="Bibliography"/>
        <w:spacing w:before="0" w:after="0" w:line="480" w:lineRule="auto"/>
      </w:pPr>
      <w:r>
        <w:t xml:space="preserve">(13)</w:t>
      </w:r>
      <w:r>
        <w:t xml:space="preserve"> </w:t>
      </w:r>
      <w:r>
        <w:t xml:space="preserve">	</w:t>
      </w:r>
      <w:r>
        <w:t xml:space="preserve">Cao, Z.; Geiger, M.; Santos Costa, A. dos; Reidenbach, D.; Kreis, K.; Geffner, T.; Pellegrini, F.; Zhou, G.; Kucukbenli, E. Efficient Molecular Conformer Generation with</w:t>
      </w:r>
      <w:r>
        <w:t xml:space="preserve"> </w:t>
      </w:r>
      <w:r>
        <w:t xml:space="preserve">SO(3)</w:t>
      </w:r>
      <w:r>
        <w:t xml:space="preserve">-Averaged Flow Matching and Reflow.</w:t>
      </w:r>
      <w:r>
        <w:t xml:space="preserve"> </w:t>
      </w:r>
      <w:r>
        <w:rPr>
          <w:i/>
          <w:iCs/>
        </w:rPr>
        <w:t xml:space="preserve">arXiv preprint arXiv:2507.09785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51"/>
    <w:bookmarkStart w:id="52" w:name="ref-pooladian2023multisample"/>
    <w:p>
      <w:pPr>
        <w:pStyle w:val="Bibliography"/>
        <w:spacing w:before="0" w:after="0" w:line="480" w:lineRule="auto"/>
      </w:pPr>
      <w:r>
        <w:t xml:space="preserve">(14)</w:t>
      </w:r>
      <w:r>
        <w:t xml:space="preserve"> </w:t>
      </w:r>
      <w:r>
        <w:t xml:space="preserve">	</w:t>
      </w:r>
      <w:r>
        <w:t xml:space="preserve">Pooladian, A.-A.; Ben-Hamu, H.; Domingo-Enrich, C.; Amos, B.; Lipman, Y.; Chen, R. T. Q. Multisample Flow Matching: Straightening Flows with Minibatch Couplings. In</w:t>
      </w:r>
      <w:r>
        <w:t xml:space="preserve"> </w:t>
      </w:r>
      <w:r>
        <w:rPr>
          <w:i/>
          <w:iCs/>
        </w:rPr>
        <w:t xml:space="preserve">International conference on machine learning (ICML)</w:t>
      </w:r>
      <w:r>
        <w:t xml:space="preserve">; 2023.</w:t>
      </w:r>
    </w:p>
    <w:bookmarkEnd w:id="52"/>
    <w:bookmarkStart w:id="54" w:name="ref-groom2016csd"/>
    <w:p>
      <w:pPr>
        <w:pStyle w:val="Bibliography"/>
        <w:spacing w:before="0" w:after="0" w:line="480" w:lineRule="auto"/>
      </w:pPr>
      <w:r>
        <w:t xml:space="preserve">(15)</w:t>
      </w:r>
      <w:r>
        <w:t xml:space="preserve"> </w:t>
      </w:r>
      <w:r>
        <w:t xml:space="preserve">	</w:t>
      </w:r>
      <w:r>
        <w:t xml:space="preserve">Groom, C. R.; Bruno, I. J.; Lightfoot, M. P.; Ward, S. C. The Cambridge Structural Database.</w:t>
      </w:r>
      <w:r>
        <w:t xml:space="preserve"> </w:t>
      </w:r>
      <w:r>
        <w:rPr>
          <w:i/>
          <w:iCs/>
        </w:rPr>
        <w:t xml:space="preserve">Acta Crystallographica Section B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72</w:t>
      </w:r>
      <w:r>
        <w:t xml:space="preserve"> </w:t>
      </w:r>
      <w:r>
        <w:t xml:space="preserve">(2), 171–179.</w:t>
      </w:r>
      <w:r>
        <w:t xml:space="preserve"> </w:t>
      </w:r>
      <w:hyperlink r:id="rId53">
        <w:r>
          <w:rPr>
            <w:rStyle w:val="Hyperlink"/>
          </w:rPr>
          <w:t xml:space="preserve">https://doi.org/10.1107/S2052520616003954</w:t>
        </w:r>
      </w:hyperlink>
      <w:r>
        <w:t xml:space="preserve">.</w:t>
      </w:r>
    </w:p>
    <w:bookmarkEnd w:id="54"/>
    <w:bookmarkStart w:id="56" w:name="ref-ong2013pymatgen"/>
    <w:p>
      <w:pPr>
        <w:pStyle w:val="Bibliography"/>
        <w:spacing w:before="0" w:after="0" w:line="480" w:lineRule="auto"/>
      </w:pPr>
      <w:r>
        <w:t xml:space="preserve">(16)</w:t>
      </w:r>
      <w:r>
        <w:t xml:space="preserve"> </w:t>
      </w:r>
      <w:r>
        <w:t xml:space="preserve">	</w:t>
      </w:r>
      <w:r>
        <w:t xml:space="preserve">Ong, S. P.; Richards, W. D.; Jain, A.; Hautier, G.; Kocher, M.; Cholia, S.; Gunter, D.; Chevrier, V. L.; Persson, K. A.; Ceder, G. Python Materials Genomics (Pymatgen): A Robust, Open-Source Python Library for Materials Analysis.</w:t>
      </w:r>
      <w:r>
        <w:t xml:space="preserve"> </w:t>
      </w:r>
      <w:r>
        <w:rPr>
          <w:i/>
          <w:iCs/>
        </w:rPr>
        <w:t xml:space="preserve">Computational Materials Science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68</w:t>
      </w:r>
      <w:r>
        <w:t xml:space="preserve">, 314–319.</w:t>
      </w:r>
      <w:r>
        <w:t xml:space="preserve"> </w:t>
      </w:r>
      <w:hyperlink r:id="rId55">
        <w:r>
          <w:rPr>
            <w:rStyle w:val="Hyperlink"/>
          </w:rPr>
          <w:t xml:space="preserve">https://doi.org/10.1016/j.commatsci.2012.10.028</w:t>
        </w:r>
      </w:hyperlink>
      <w:r>
        <w:t xml:space="preserve">.</w:t>
      </w:r>
    </w:p>
    <w:bookmarkEnd w:id="56"/>
    <w:bookmarkStart w:id="57" w:name="ref-martirossyan2025matching"/>
    <w:p>
      <w:pPr>
        <w:pStyle w:val="Bibliography"/>
        <w:spacing w:before="0" w:after="0" w:line="480" w:lineRule="auto"/>
      </w:pPr>
      <w:r>
        <w:t xml:space="preserve">(17)</w:t>
      </w:r>
      <w:r>
        <w:t xml:space="preserve"> </w:t>
      </w:r>
      <w:r>
        <w:t xml:space="preserve">	</w:t>
      </w:r>
      <w:r>
        <w:t xml:space="preserve">Martirossyan, M. M.; Egg, T.; Hoellmer, P.; Karypis, G.; Transtrum, M.; Roitberg, A.; Liu, M.; Hennig, R. G.; Tadmor, E. B.; Martiniani, S. All That Structure Matches Does Not Glitter.</w:t>
      </w:r>
      <w:r>
        <w:t xml:space="preserve"> </w:t>
      </w:r>
      <w:r>
        <w:rPr>
          <w:i/>
          <w:iCs/>
        </w:rPr>
        <w:t xml:space="preserve">arXiv preprint arXiv:2509.12178</w:t>
      </w:r>
      <w:r>
        <w:t xml:space="preserve"> </w:t>
      </w:r>
      <w:r>
        <w:rPr>
          <w:b/>
          <w:bCs/>
        </w:rPr>
        <w:t xml:space="preserve">2025</w:t>
      </w:r>
      <w:r>
        <w:t xml:space="preserve">.</w:t>
      </w:r>
    </w:p>
    <w:bookmarkEnd w:id="57"/>
    <w:bookmarkStart w:id="59" w:name="ref-deng2023chgnet"/>
    <w:p>
      <w:pPr>
        <w:pStyle w:val="Bibliography"/>
        <w:spacing w:before="0" w:after="0" w:line="480" w:lineRule="auto"/>
      </w:pPr>
      <w:r>
        <w:t xml:space="preserve">(18)</w:t>
      </w:r>
      <w:r>
        <w:t xml:space="preserve"> </w:t>
      </w:r>
      <w:r>
        <w:t xml:space="preserve">	</w:t>
      </w:r>
      <w:r>
        <w:t xml:space="preserve">Deng, B.; Zhong, P.; Jun, K.; Riebesell, J.; Han, K.; Bartel, C. J.; Ceder, G.</w:t>
      </w:r>
      <w:r>
        <w:t xml:space="preserve"> </w:t>
      </w:r>
      <w:r>
        <w:t xml:space="preserve">CHGNet</w:t>
      </w:r>
      <w:r>
        <w:t xml:space="preserve"> </w:t>
      </w:r>
      <w:r>
        <w:t xml:space="preserve">as a Pretrained Universal Neural Network Potential for Charge-Informed Atomistic Modelling.</w:t>
      </w:r>
      <w:r>
        <w:t xml:space="preserve"> </w:t>
      </w:r>
      <w:r>
        <w:rPr>
          <w:i/>
          <w:iCs/>
        </w:rPr>
        <w:t xml:space="preserve">Nature Machine Intelligence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, 1031–1041.</w:t>
      </w:r>
      <w:r>
        <w:t xml:space="preserve"> </w:t>
      </w:r>
      <w:hyperlink r:id="rId58">
        <w:r>
          <w:rPr>
            <w:rStyle w:val="Hyperlink"/>
          </w:rPr>
          <w:t xml:space="preserve">https://doi.org/10.1038/s42256-023-00716-3</w:t>
        </w:r>
      </w:hyperlink>
      <w:r>
        <w:t xml:space="preserve">.</w:t>
      </w:r>
    </w:p>
    <w:bookmarkEnd w:id="59"/>
    <w:bookmarkStart w:id="61" w:name="ref-cai2026symmcflow"/>
    <w:p>
      <w:pPr>
        <w:pStyle w:val="Bibliography"/>
        <w:spacing w:before="0" w:after="0" w:line="480" w:lineRule="auto"/>
      </w:pPr>
      <w:r>
        <w:t xml:space="preserve">(19)</w:t>
      </w:r>
      <w:r>
        <w:t xml:space="preserve"> </w:t>
      </w:r>
      <w:r>
        <w:t xml:space="preserve">	</w:t>
      </w:r>
      <w:r>
        <w:t xml:space="preserve">Cai, F.</w:t>
      </w:r>
      <w:r>
        <w:t xml:space="preserve"> </w:t>
      </w:r>
      <w:r>
        <w:rPr>
          <w:i/>
          <w:iCs/>
        </w:rPr>
        <w:t xml:space="preserve">fronkt/symmc-flow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SymMC</w:t>
      </w:r>
      <w:r>
        <w:rPr>
          <w:i/>
          <w:iCs/>
        </w:rPr>
        <w:t xml:space="preserve">-</w:t>
      </w:r>
      <w:r>
        <w:rPr>
          <w:i/>
          <w:iCs/>
        </w:rPr>
        <w:t xml:space="preserve">Flow</w:t>
      </w:r>
      <w:r>
        <w:rPr>
          <w:i/>
          <w:iCs/>
        </w:rPr>
        <w:t xml:space="preserve"> </w:t>
      </w:r>
      <w:r>
        <w:rPr>
          <w:i/>
          <w:iCs/>
        </w:rPr>
        <w:t xml:space="preserve">Symmetry-Conditioned Rigid-Body Flow Matching and CSD Data Pipeline for Molecular-Crystal Structure Prediction (V2)</w:t>
      </w:r>
      <w:r>
        <w:t xml:space="preserve">; Software; Zenodo, 2026.</w:t>
      </w:r>
      <w:r>
        <w:t xml:space="preserve"> </w:t>
      </w:r>
      <w:hyperlink r:id="rId60">
        <w:r>
          <w:rPr>
            <w:rStyle w:val="Hyperlink"/>
          </w:rPr>
          <w:t xml:space="preserve">https://doi.org/10.5281/zenodo.21500734</w:t>
        </w:r>
      </w:hyperlink>
      <w:r>
        <w:t xml:space="preserve">.</w:t>
      </w:r>
    </w:p>
    <w:bookmarkEnd w:id="61"/>
    <w:bookmarkEnd w:id="62"/>
    <w:bookmarkEnd w:id="63"/>
    <w:sectPr>
      <w:footerReference w:type="default" r:id="rId9"/>
      <w:footnotePr>
        <w:numRestart w:val="eachSect"/>
      </w:footnotePr>
      <w:pgSz w:w="12240" w:h="15840"/>
      <w:pgMar w:top="1440" w:bottom="1440" w:left="1440" w:right="1440"/>
      <w:lnNumType w:countBy="1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  <w:jc w:val="left"/>
    </w:pPr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480" w:lineRule="auto"/>
      <w:outlineLvl w:val="0"/>
    </w:pPr>
    <w:rPr>
      <w:rFonts w:ascii="Times New Roman" w:hAnsi="Times New Roman" w:eastAsia="Times New Roman" w:cs="Times New Roman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480" w:lineRule="auto"/>
      <w:outlineLvl w:val="1"/>
    </w:pPr>
    <w:rPr>
      <w:rFonts w:ascii="Times New Roman" w:hAnsi="Times New Roman" w:eastAsia="Times New Roman" w:cs="Times New Roman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480" w:lineRule="auto"/>
      <w:outlineLvl w:val="2"/>
    </w:pPr>
    <w:rPr>
      <w:rFonts w:ascii="Times New Roman" w:hAnsi="Times New Roman" w:eastAsia="Times New Roman" w:cs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480" w:lineRule="auto"/>
      <w:outlineLvl w:val="3"/>
    </w:pPr>
    <w:rPr>
      <w:rFonts w:ascii="Times New Roman" w:hAnsi="Times New Roman" w:eastAsia="Times New Roman" w:cs="Times New Roman"/>
      <w:b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48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480" w:lineRule="auto"/>
      <w:outlineLvl w:val="5"/>
    </w:pPr>
    <w:rPr>
      <w:rFonts w:ascii="Times New Roman" w:hAnsi="Times New Roman" w:eastAsia="Times New Roman" w:cs="Times New Roman"/>
      <w:b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55" Type="http://schemas.openxmlformats.org/officeDocument/2006/relationships/hyperlink" Target="https://doi.org/10.1016/j.commatsci.2012.10.028" TargetMode="External"/><Relationship Id="rId58" Type="http://schemas.openxmlformats.org/officeDocument/2006/relationships/hyperlink" Target="https://doi.org/10.1038/s42256-023-00716-3" TargetMode="External"/><Relationship Id="rId53" Type="http://schemas.openxmlformats.org/officeDocument/2006/relationships/hyperlink" Target="https://doi.org/10.1107/S2052520616003954" TargetMode="External"/><Relationship Id="rId60" Type="http://schemas.openxmlformats.org/officeDocument/2006/relationships/hyperlink" Target="https://doi.org/10.5281/zenodo.21500734" TargetMode="External"/><Relationship Id="rId36" Type="http://schemas.openxmlformats.org/officeDocument/2006/relationships/hyperlink" Target="https://github.com/fronkt/symmc-flow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doi.org/10.1016/j.commatsci.2012.10.028" TargetMode="External"/><Relationship Id="rId58" Type="http://schemas.openxmlformats.org/officeDocument/2006/relationships/hyperlink" Target="https://doi.org/10.1038/s42256-023-00716-3" TargetMode="External"/><Relationship Id="rId53" Type="http://schemas.openxmlformats.org/officeDocument/2006/relationships/hyperlink" Target="https://doi.org/10.1107/S2052520616003954" TargetMode="External"/><Relationship Id="rId60" Type="http://schemas.openxmlformats.org/officeDocument/2006/relationships/hyperlink" Target="https://doi.org/10.5281/zenodo.21500734" TargetMode="External"/><Relationship Id="rId36" Type="http://schemas.openxmlformats.org/officeDocument/2006/relationships/hyperlink" Target="https://github.com/fronkt/symmc-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Fully Symmetry-Conditioned Rigid-Body Flow Matching for Molecular-Crystal Structure Prediction</dc:title>
  <dc:creator>Frank Cai Purdue University, West Lafayette, Indiana 47907, United States frankyc11223@gmail.com</dc:creator>
  <cp:keywords/>
  <dcterms:created xsi:type="dcterms:W3CDTF">2026-07-23T19:50:04Z</dcterms:created>
  <dcterms:modified xsi:type="dcterms:W3CDTF">2026-07-23T19:50:04Z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acs.csl</vt:lpwstr>
  </property>
</Properties>
</file>