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2DD14" w14:textId="77777777" w:rsidR="00E63AEC" w:rsidRDefault="00422001">
      <w:pPr>
        <w:pStyle w:val="Title"/>
      </w:pPr>
      <w:r>
        <w:rPr>
          <w:b/>
          <w:bCs/>
        </w:rPr>
        <w:t>Supplementary Information:</w:t>
      </w:r>
      <w:r>
        <w:br/>
      </w:r>
      <w:r>
        <w:rPr>
          <w:b/>
          <w:bCs/>
        </w:rPr>
        <w:t>What an SO(3) orientation flow can and cannot learn in molecular-crystal structure prediction</w:t>
      </w:r>
    </w:p>
    <w:p w14:paraId="3328082E" w14:textId="77777777" w:rsidR="00E63AEC" w:rsidRDefault="00422001">
      <w:pPr>
        <w:pStyle w:val="Author"/>
      </w:pPr>
      <w:r>
        <w:t>Frank Cai</w:t>
      </w:r>
    </w:p>
    <w:p w14:paraId="21CEA43B" w14:textId="77777777" w:rsidR="00E63AEC" w:rsidRDefault="00422001">
      <w:pPr>
        <w:pStyle w:val="Heading1"/>
      </w:pPr>
      <w:bookmarkStart w:id="0" w:name="Xa3415be1f22dff295cacdafca496209d170ff52"/>
      <w:r>
        <w:t>Method validation on single-block inorganic benchmarks</w:t>
      </w:r>
    </w:p>
    <w:p w14:paraId="0F7F24E8" w14:textId="77777777" w:rsidR="00E63AEC" w:rsidRDefault="00422001">
      <w:pPr>
        <w:pStyle w:val="FirstParagraph"/>
      </w:pPr>
      <w:r>
        <w:t xml:space="preserve">The orientation analysis in the main text isolates a target obstruction that is specific to multi-copy molecular crystals. To confirm that the underlying SymMC-Flow architecture, training objective, and Runge–Kutta sampler are sound independently of that obstruction, we benchmarked the model on two standard </w:t>
      </w:r>
      <w:r>
        <w:t>single-block datasets, carbon-24 and MP-20, in which each atom is its own rigid block and the orientation head is inactive (</w:t>
      </w:r>
      <m:oMath>
        <m:sSub>
          <m:sSubPr>
            <m:ctrlPr>
              <w:rPr>
                <w:rFonts w:ascii="Cambria Math" w:hAnsi="Cambria Math"/>
              </w:rPr>
            </m:ctrlPr>
          </m:sSubPr>
          <m:e>
            <m:r>
              <w:rPr>
                <w:rFonts w:ascii="Cambria Math" w:hAnsi="Cambria Math"/>
              </w:rPr>
              <m:t>λ</m:t>
            </m:r>
          </m:e>
          <m:sub>
            <m:r>
              <m:rPr>
                <m:nor/>
              </m:rPr>
              <m:t>orient</m:t>
            </m:r>
          </m:sub>
        </m:sSub>
        <m:r>
          <m:rPr>
            <m:sty m:val="p"/>
          </m:rPr>
          <w:rPr>
            <w:rFonts w:ascii="Cambria Math" w:hAnsi="Cambria Math"/>
          </w:rPr>
          <m:t>=</m:t>
        </m:r>
        <m:r>
          <w:rPr>
            <w:rFonts w:ascii="Cambria Math" w:hAnsi="Cambria Math"/>
          </w:rPr>
          <m:t>0</m:t>
        </m:r>
      </m:oMath>
      <w:r>
        <w:t>). These results are reported for completeness; they are not the contribution of this paper.</w:t>
      </w:r>
    </w:p>
    <w:p w14:paraId="1BB797F9" w14:textId="77777777" w:rsidR="00E63AEC" w:rsidRDefault="00422001">
      <w:pPr>
        <w:pStyle w:val="Heading4"/>
      </w:pPr>
      <w:bookmarkStart w:id="1" w:name="protocol."/>
      <w:r>
        <w:t>Protocol.</w:t>
      </w:r>
    </w:p>
    <w:p w14:paraId="6D4DEE11" w14:textId="77777777" w:rsidR="00E63AEC" w:rsidRDefault="00422001">
      <w:pPr>
        <w:pStyle w:val="FirstParagraph"/>
      </w:pPr>
      <w:r>
        <w:t>We compare against joint equivariant diffusion</w:t>
      </w:r>
      <w:r>
        <w:rPr>
          <w:vertAlign w:val="superscript"/>
        </w:rPr>
        <w:t>1</w:t>
      </w:r>
      <w:r>
        <w:t xml:space="preserve"> using its released models, with matched evaluation: </w:t>
      </w:r>
      <m:oMath>
        <m:r>
          <w:rPr>
            <w:rFonts w:ascii="Cambria Math" w:hAnsi="Cambria Math"/>
          </w:rPr>
          <m:t>256</m:t>
        </m:r>
      </m:oMath>
      <w:r>
        <w:t xml:space="preserve"> held-out targets, </w:t>
      </w:r>
      <m:oMath>
        <m:r>
          <w:rPr>
            <w:rFonts w:ascii="Cambria Math" w:hAnsi="Cambria Math"/>
          </w:rPr>
          <m:t>20</m:t>
        </m:r>
      </m:oMath>
      <w:r>
        <w:t xml:space="preserve"> samples per target, and the same root-mean-square structure distance routine for both methods. Match rate at </w:t>
      </w:r>
      <m:oMath>
        <m:r>
          <w:rPr>
            <w:rFonts w:ascii="Cambria Math" w:hAnsi="Cambria Math"/>
          </w:rPr>
          <m:t>k</m:t>
        </m:r>
      </m:oMath>
      <w:r>
        <w:t xml:space="preserve"> (“match@</w:t>
      </w:r>
      <m:oMath>
        <m:r>
          <w:rPr>
            <w:rFonts w:ascii="Cambria Math" w:hAnsi="Cambria Math"/>
          </w:rPr>
          <m:t>k</m:t>
        </m:r>
      </m:oMath>
      <w:r>
        <w:t>”</w:t>
      </w:r>
      <w:r>
        <w:t xml:space="preserve">) is the fraction of targets for which at least one of </w:t>
      </w:r>
      <m:oMath>
        <m:r>
          <w:rPr>
            <w:rFonts w:ascii="Cambria Math" w:hAnsi="Cambria Math"/>
          </w:rPr>
          <m:t>k</m:t>
        </m:r>
      </m:oMath>
      <w:r>
        <w:t xml:space="preserve"> samples matches the reference under StructureMatcher</w:t>
      </w:r>
      <w:r>
        <w:rPr>
          <w:vertAlign w:val="superscript"/>
        </w:rPr>
        <w:t>2</w:t>
      </w:r>
      <w:r>
        <w:t xml:space="preserve">. SymMC-Flow samples in </w:t>
      </w:r>
      <m:oMath>
        <m:r>
          <w:rPr>
            <w:rFonts w:ascii="Cambria Math" w:hAnsi="Cambria Math"/>
          </w:rPr>
          <m:t>50</m:t>
        </m:r>
      </m:oMath>
      <w:r>
        <w:t xml:space="preserve"> Runge–Kutta steps, against roughly </w:t>
      </w:r>
      <m:oMath>
        <m:r>
          <w:rPr>
            <w:rFonts w:ascii="Cambria Math" w:hAnsi="Cambria Math"/>
          </w:rPr>
          <m:t>1</m:t>
        </m:r>
        <m:r>
          <m:rPr>
            <m:sty m:val="p"/>
          </m:rPr>
          <w:rPr>
            <w:rFonts w:ascii="Cambria Math" w:hAnsi="Cambria Math"/>
          </w:rPr>
          <m:t>,</m:t>
        </m:r>
        <m:r>
          <w:rPr>
            <w:rFonts w:ascii="Cambria Math" w:hAnsi="Cambria Math"/>
          </w:rPr>
          <m:t>000</m:t>
        </m:r>
      </m:oMath>
      <w:r>
        <w:t xml:space="preserve"> steps for the diffusion baseline.</w:t>
      </w:r>
    </w:p>
    <w:p w14:paraId="61B2EE5F" w14:textId="77777777" w:rsidR="00E63AEC" w:rsidRDefault="00422001">
      <w:pPr>
        <w:pStyle w:val="Heading4"/>
      </w:pPr>
      <w:bookmarkStart w:id="2" w:name="outcome."/>
      <w:bookmarkEnd w:id="1"/>
      <w:r>
        <w:t>Outcome.</w:t>
      </w:r>
    </w:p>
    <w:p w14:paraId="286F9771" w14:textId="77777777" w:rsidR="00E63AEC" w:rsidRDefault="00422001">
      <w:pPr>
        <w:pStyle w:val="FirstParagraph"/>
      </w:pPr>
      <w:r>
        <w:t>Table </w:t>
      </w:r>
      <w:hyperlink w:anchor="tab:inorganic">
        <w:r>
          <w:rPr>
            <w:rStyle w:val="Hyperlink"/>
          </w:rPr>
          <w:t>1</w:t>
        </w:r>
      </w:hyperlink>
      <w:r>
        <w:t xml:space="preserve"> shows a mixed result: each method wins two of the four match cells. SymMC-Flow leads on carbon-24 match@1 and on MP-20 match@20, while the diffusion baseline leads on MP-20 match@1 and on </w:t>
      </w:r>
      <w:r>
        <w:t>carbon-24 match@20 and produces tighter RMSE on matched structures. The honest summary is that SymMC-Flow is competitive at roughly an order of magnitude fewer sampling steps, not a uniform improvement. This is sufficient to establish that the flow and sampler are well-behaved, which is all the main-text analysis requires.</w:t>
      </w:r>
    </w:p>
    <w:p w14:paraId="5C11973A" w14:textId="77777777" w:rsidR="00E63AEC" w:rsidRDefault="00422001">
      <w:pPr>
        <w:pStyle w:val="TableCaption"/>
      </w:pPr>
      <w:bookmarkStart w:id="3" w:name="tab:inorganic"/>
      <w:r>
        <w:t>SymMC-Flow versus a diffusion baseline</w:t>
      </w:r>
      <w:r>
        <w:rPr>
          <w:vertAlign w:val="superscript"/>
        </w:rPr>
        <w:t>1</w:t>
      </w:r>
      <w:r>
        <w:t xml:space="preserve"> on single-block inorganic CSP under a matched evaluation (</w:t>
      </w:r>
      <m:oMath>
        <m:r>
          <w:rPr>
            <w:rFonts w:ascii="Cambria Math" w:hAnsi="Cambria Math"/>
          </w:rPr>
          <m:t>256</m:t>
        </m:r>
      </m:oMath>
      <w:r>
        <w:t xml:space="preserve"> targets, </w:t>
      </w:r>
      <m:oMath>
        <m:r>
          <w:rPr>
            <w:rFonts w:ascii="Cambria Math" w:hAnsi="Cambria Math"/>
          </w:rPr>
          <m:t>20</m:t>
        </m:r>
      </m:oMath>
      <w:r>
        <w:t xml:space="preserve"> </w:t>
      </w:r>
      <w:r>
        <w:t>samples, identical RMSD routine). Match rates in percent; higher is better. Each method wins two of the four cells.</w:t>
      </w:r>
    </w:p>
    <w:tbl>
      <w:tblPr>
        <w:tblStyle w:val="Table"/>
        <w:tblW w:w="0" w:type="auto"/>
        <w:tblLook w:val="0020" w:firstRow="1" w:lastRow="0" w:firstColumn="0" w:lastColumn="0" w:noHBand="0" w:noVBand="0"/>
        <w:tblCaption w:val="SymMC-Flow versus a diffusion baseline1 on single-block inorganic CSP under a matched evaluation (256 targets, 20 samples, identical RMSD routine). Match rates in percent; higher is better. Each method wins two of the four cells."/>
      </w:tblPr>
      <w:tblGrid>
        <w:gridCol w:w="1288"/>
        <w:gridCol w:w="1356"/>
        <w:gridCol w:w="1597"/>
        <w:gridCol w:w="2058"/>
      </w:tblGrid>
      <w:tr w:rsidR="00E63AEC" w14:paraId="0B81F3E6" w14:textId="77777777" w:rsidTr="00E63AEC">
        <w:trPr>
          <w:cnfStyle w:val="100000000000" w:firstRow="1" w:lastRow="0" w:firstColumn="0" w:lastColumn="0" w:oddVBand="0" w:evenVBand="0" w:oddHBand="0" w:evenHBand="0" w:firstRowFirstColumn="0" w:firstRowLastColumn="0" w:lastRowFirstColumn="0" w:lastRowLastColumn="0"/>
          <w:tblHeader/>
        </w:trPr>
        <w:tc>
          <w:tcPr>
            <w:tcW w:w="0" w:type="auto"/>
          </w:tcPr>
          <w:p w14:paraId="29E3695C" w14:textId="77777777" w:rsidR="00E63AEC" w:rsidRDefault="00422001">
            <w:pPr>
              <w:pStyle w:val="Compact"/>
            </w:pPr>
            <w:r>
              <w:t>dataset</w:t>
            </w:r>
          </w:p>
        </w:tc>
        <w:tc>
          <w:tcPr>
            <w:tcW w:w="0" w:type="auto"/>
          </w:tcPr>
          <w:p w14:paraId="144DA75F" w14:textId="77777777" w:rsidR="00E63AEC" w:rsidRDefault="00422001">
            <w:pPr>
              <w:pStyle w:val="Compact"/>
            </w:pPr>
            <w:r>
              <w:t>metric</w:t>
            </w:r>
          </w:p>
        </w:tc>
        <w:tc>
          <w:tcPr>
            <w:tcW w:w="0" w:type="auto"/>
          </w:tcPr>
          <w:p w14:paraId="021A9CCA" w14:textId="77777777" w:rsidR="00E63AEC" w:rsidRDefault="00422001">
            <w:pPr>
              <w:pStyle w:val="Compact"/>
              <w:jc w:val="center"/>
            </w:pPr>
            <w:r>
              <w:t>SymMC-Flow</w:t>
            </w:r>
          </w:p>
        </w:tc>
        <w:tc>
          <w:tcPr>
            <w:tcW w:w="0" w:type="auto"/>
          </w:tcPr>
          <w:p w14:paraId="51FDAA7A" w14:textId="77777777" w:rsidR="00E63AEC" w:rsidRDefault="00422001">
            <w:pPr>
              <w:pStyle w:val="Compact"/>
              <w:jc w:val="center"/>
            </w:pPr>
            <w:r>
              <w:t>diffusion baseline</w:t>
            </w:r>
          </w:p>
        </w:tc>
      </w:tr>
      <w:tr w:rsidR="00E63AEC" w14:paraId="3BCD7399" w14:textId="77777777">
        <w:tc>
          <w:tcPr>
            <w:tcW w:w="0" w:type="auto"/>
          </w:tcPr>
          <w:p w14:paraId="1376866A" w14:textId="77777777" w:rsidR="00E63AEC" w:rsidRDefault="00422001">
            <w:pPr>
              <w:pStyle w:val="Compact"/>
            </w:pPr>
            <w:r>
              <w:t>carbon-24</w:t>
            </w:r>
          </w:p>
        </w:tc>
        <w:tc>
          <w:tcPr>
            <w:tcW w:w="0" w:type="auto"/>
          </w:tcPr>
          <w:p w14:paraId="450F4B67" w14:textId="77777777" w:rsidR="00E63AEC" w:rsidRDefault="00422001">
            <w:pPr>
              <w:pStyle w:val="Compact"/>
            </w:pPr>
            <w:r>
              <w:t>match@1</w:t>
            </w:r>
          </w:p>
        </w:tc>
        <w:tc>
          <w:tcPr>
            <w:tcW w:w="0" w:type="auto"/>
          </w:tcPr>
          <w:p w14:paraId="76CC7F6A" w14:textId="77777777" w:rsidR="00E63AEC" w:rsidRDefault="00422001">
            <w:pPr>
              <w:pStyle w:val="Compact"/>
              <w:jc w:val="center"/>
            </w:pPr>
            <w:r>
              <w:rPr>
                <w:b/>
                <w:bCs/>
              </w:rPr>
              <w:t>26.7</w:t>
            </w:r>
          </w:p>
        </w:tc>
        <w:tc>
          <w:tcPr>
            <w:tcW w:w="0" w:type="auto"/>
          </w:tcPr>
          <w:p w14:paraId="1E40ECE9" w14:textId="77777777" w:rsidR="00E63AEC" w:rsidRDefault="00422001">
            <w:pPr>
              <w:pStyle w:val="Compact"/>
              <w:jc w:val="center"/>
            </w:pPr>
            <w:r>
              <w:t>18.8</w:t>
            </w:r>
          </w:p>
        </w:tc>
      </w:tr>
      <w:tr w:rsidR="00E63AEC" w14:paraId="508A03E5" w14:textId="77777777">
        <w:tc>
          <w:tcPr>
            <w:tcW w:w="0" w:type="auto"/>
          </w:tcPr>
          <w:p w14:paraId="53D87CF6" w14:textId="77777777" w:rsidR="00E63AEC" w:rsidRDefault="00422001">
            <w:pPr>
              <w:pStyle w:val="Compact"/>
            </w:pPr>
            <w:r>
              <w:lastRenderedPageBreak/>
              <w:t>carbon-24</w:t>
            </w:r>
          </w:p>
        </w:tc>
        <w:tc>
          <w:tcPr>
            <w:tcW w:w="0" w:type="auto"/>
          </w:tcPr>
          <w:p w14:paraId="333ED50A" w14:textId="77777777" w:rsidR="00E63AEC" w:rsidRDefault="00422001">
            <w:pPr>
              <w:pStyle w:val="Compact"/>
            </w:pPr>
            <w:r>
              <w:t>match@20</w:t>
            </w:r>
          </w:p>
        </w:tc>
        <w:tc>
          <w:tcPr>
            <w:tcW w:w="0" w:type="auto"/>
          </w:tcPr>
          <w:p w14:paraId="0C7FBB26" w14:textId="77777777" w:rsidR="00E63AEC" w:rsidRDefault="00422001">
            <w:pPr>
              <w:pStyle w:val="Compact"/>
              <w:jc w:val="center"/>
            </w:pPr>
            <w:r>
              <w:t>79.7</w:t>
            </w:r>
          </w:p>
        </w:tc>
        <w:tc>
          <w:tcPr>
            <w:tcW w:w="0" w:type="auto"/>
          </w:tcPr>
          <w:p w14:paraId="1B3B6478" w14:textId="77777777" w:rsidR="00E63AEC" w:rsidRDefault="00422001">
            <w:pPr>
              <w:pStyle w:val="Compact"/>
              <w:jc w:val="center"/>
            </w:pPr>
            <w:r>
              <w:rPr>
                <w:b/>
                <w:bCs/>
              </w:rPr>
              <w:t>89.1</w:t>
            </w:r>
          </w:p>
        </w:tc>
      </w:tr>
      <w:tr w:rsidR="00E63AEC" w14:paraId="0C02E4A5" w14:textId="77777777">
        <w:tc>
          <w:tcPr>
            <w:tcW w:w="0" w:type="auto"/>
          </w:tcPr>
          <w:p w14:paraId="59C439C9" w14:textId="77777777" w:rsidR="00E63AEC" w:rsidRDefault="00422001">
            <w:pPr>
              <w:pStyle w:val="Compact"/>
            </w:pPr>
            <w:r>
              <w:t>MP-20</w:t>
            </w:r>
          </w:p>
        </w:tc>
        <w:tc>
          <w:tcPr>
            <w:tcW w:w="0" w:type="auto"/>
          </w:tcPr>
          <w:p w14:paraId="57E9CCCE" w14:textId="77777777" w:rsidR="00E63AEC" w:rsidRDefault="00422001">
            <w:pPr>
              <w:pStyle w:val="Compact"/>
            </w:pPr>
            <w:r>
              <w:t>match@1</w:t>
            </w:r>
          </w:p>
        </w:tc>
        <w:tc>
          <w:tcPr>
            <w:tcW w:w="0" w:type="auto"/>
          </w:tcPr>
          <w:p w14:paraId="3F62CD2F" w14:textId="77777777" w:rsidR="00E63AEC" w:rsidRDefault="00422001">
            <w:pPr>
              <w:pStyle w:val="Compact"/>
              <w:jc w:val="center"/>
            </w:pPr>
            <w:r>
              <w:t>41.4</w:t>
            </w:r>
          </w:p>
        </w:tc>
        <w:tc>
          <w:tcPr>
            <w:tcW w:w="0" w:type="auto"/>
          </w:tcPr>
          <w:p w14:paraId="4C664F74" w14:textId="77777777" w:rsidR="00E63AEC" w:rsidRDefault="00422001">
            <w:pPr>
              <w:pStyle w:val="Compact"/>
              <w:jc w:val="center"/>
            </w:pPr>
            <w:r>
              <w:rPr>
                <w:b/>
                <w:bCs/>
              </w:rPr>
              <w:t>48.0</w:t>
            </w:r>
          </w:p>
        </w:tc>
      </w:tr>
      <w:tr w:rsidR="00E63AEC" w14:paraId="460D7649" w14:textId="77777777">
        <w:tc>
          <w:tcPr>
            <w:tcW w:w="0" w:type="auto"/>
          </w:tcPr>
          <w:p w14:paraId="660A36B3" w14:textId="77777777" w:rsidR="00E63AEC" w:rsidRDefault="00422001">
            <w:pPr>
              <w:pStyle w:val="Compact"/>
            </w:pPr>
            <w:r>
              <w:t>MP-20</w:t>
            </w:r>
          </w:p>
        </w:tc>
        <w:tc>
          <w:tcPr>
            <w:tcW w:w="0" w:type="auto"/>
          </w:tcPr>
          <w:p w14:paraId="30E16A0A" w14:textId="77777777" w:rsidR="00E63AEC" w:rsidRDefault="00422001">
            <w:pPr>
              <w:pStyle w:val="Compact"/>
            </w:pPr>
            <w:r>
              <w:t>match@20</w:t>
            </w:r>
          </w:p>
        </w:tc>
        <w:tc>
          <w:tcPr>
            <w:tcW w:w="0" w:type="auto"/>
          </w:tcPr>
          <w:p w14:paraId="52ADC285" w14:textId="77777777" w:rsidR="00E63AEC" w:rsidRDefault="00422001">
            <w:pPr>
              <w:pStyle w:val="Compact"/>
              <w:jc w:val="center"/>
            </w:pPr>
            <w:r>
              <w:rPr>
                <w:b/>
                <w:bCs/>
              </w:rPr>
              <w:t>80.5</w:t>
            </w:r>
          </w:p>
        </w:tc>
        <w:tc>
          <w:tcPr>
            <w:tcW w:w="0" w:type="auto"/>
          </w:tcPr>
          <w:p w14:paraId="6F0C4DB1" w14:textId="77777777" w:rsidR="00E63AEC" w:rsidRDefault="00422001">
            <w:pPr>
              <w:pStyle w:val="Compact"/>
              <w:jc w:val="center"/>
            </w:pPr>
            <w:r>
              <w:t>76.2</w:t>
            </w:r>
          </w:p>
        </w:tc>
      </w:tr>
    </w:tbl>
    <w:p w14:paraId="0D7FB972" w14:textId="77777777" w:rsidR="00E63AEC" w:rsidRDefault="00422001">
      <w:pPr>
        <w:pStyle w:val="Heading4"/>
      </w:pPr>
      <w:bookmarkStart w:id="4" w:name="caveat-on-benchmarks."/>
      <w:bookmarkEnd w:id="2"/>
      <w:bookmarkEnd w:id="3"/>
      <w:r>
        <w:t>Caveat on benchmarks.</w:t>
      </w:r>
    </w:p>
    <w:p w14:paraId="77FA059B" w14:textId="77777777" w:rsidR="00E63AEC" w:rsidRDefault="00422001">
      <w:pPr>
        <w:pStyle w:val="FirstParagraph"/>
      </w:pPr>
      <w:r>
        <w:t>Recent work shows that carbon-24 contains a large fraction of duplicate structures and that match-rate metrics can mislead when identical building blocks exhibit structural variety</w:t>
      </w:r>
      <w:r>
        <w:rPr>
          <w:vertAlign w:val="superscript"/>
        </w:rPr>
        <w:t>3</w:t>
      </w:r>
      <w:r>
        <w:t>. The numbers above should be read as a sanity check on the architecture under the field’s conventional protocol rather than as a definitive ranking.</w:t>
      </w:r>
    </w:p>
    <w:p w14:paraId="4DB5F82E" w14:textId="77777777" w:rsidR="00E63AEC" w:rsidRDefault="00422001">
      <w:pPr>
        <w:pStyle w:val="Heading1"/>
      </w:pPr>
      <w:bookmarkStart w:id="5" w:name="X4f47f143e10da0f17ed290bc25dae3785349f15"/>
      <w:bookmarkEnd w:id="0"/>
      <w:bookmarkEnd w:id="4"/>
      <w:r>
        <w:t>Is the absolute molecular orientation uniform on SO(3)?</w:t>
      </w:r>
    </w:p>
    <w:p w14:paraId="58FED3B4" w14:textId="77777777" w:rsidR="00E63AEC" w:rsidRDefault="00422001">
      <w:pPr>
        <w:pStyle w:val="FirstParagraph"/>
      </w:pPr>
      <w:r>
        <w:t xml:space="preserve">The main-text claim that the free asymmetric-unit pose </w:t>
      </w:r>
      <m:oMath>
        <m:sSub>
          <m:sSubPr>
            <m:ctrlPr>
              <w:rPr>
                <w:rFonts w:ascii="Cambria Math" w:hAnsi="Cambria Math"/>
              </w:rPr>
            </m:ctrlPr>
          </m:sSubPr>
          <m:e>
            <m:r>
              <w:rPr>
                <w:rFonts w:ascii="Cambria Math" w:hAnsi="Cambria Math"/>
              </w:rPr>
              <m:t>R</m:t>
            </m:r>
          </m:e>
          <m:sub>
            <m:r>
              <m:rPr>
                <m:nor/>
              </m:rPr>
              <m:t>asym</m:t>
            </m:r>
          </m:sub>
        </m:sSub>
      </m:oMath>
      <w:r>
        <w:t xml:space="preserve"> carries no learnable signal predicts that the absolute per-molecule orientations should be close to Haar-uniform on </w:t>
      </w:r>
      <m:oMath>
        <m:r>
          <m:rPr>
            <m:sty m:val="p"/>
          </m:rPr>
          <w:rPr>
            <w:rFonts w:ascii="Cambria Math" w:hAnsi="Cambria Math"/>
          </w:rPr>
          <m:t>SO(</m:t>
        </m:r>
        <m:r>
          <w:rPr>
            <w:rFonts w:ascii="Cambria Math" w:hAnsi="Cambria Math"/>
          </w:rPr>
          <m:t>3</m:t>
        </m:r>
        <m:r>
          <m:rPr>
            <m:sty m:val="p"/>
          </m:rPr>
          <w:rPr>
            <w:rFonts w:ascii="Cambria Math" w:hAnsi="Cambria Math"/>
          </w:rPr>
          <m:t>)</m:t>
        </m:r>
      </m:oMath>
      <w:r>
        <w:t xml:space="preserve">, since a uniform target offers nothing to predict. For Haar-uniform rotations the geodesic angle </w:t>
      </w:r>
      <m:oMath>
        <m:r>
          <w:rPr>
            <w:rFonts w:ascii="Cambria Math" w:hAnsi="Cambria Math"/>
          </w:rPr>
          <m:t>θ</m:t>
        </m:r>
      </m:oMath>
      <w:r>
        <w:t xml:space="preserve"> from the identity </w:t>
      </w:r>
      <w:r>
        <w:t xml:space="preserve">has density </w:t>
      </w:r>
      <m:oMath>
        <m:r>
          <w:rPr>
            <w:rFonts w:ascii="Cambria Math" w:hAnsi="Cambria Math"/>
          </w:rPr>
          <m:t>p</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1</m:t>
        </m:r>
        <m:r>
          <m:rPr>
            <m:sty m:val="p"/>
          </m:rPr>
          <w:rPr>
            <w:rFonts w:ascii="Cambria Math" w:hAnsi="Cambria Math"/>
          </w:rPr>
          <m:t>-</m:t>
        </m:r>
        <m:r>
          <m:rPr>
            <m:sty m:val="p"/>
          </m:rPr>
          <w:rPr>
            <w:rFonts w:ascii="Cambria Math" w:hAnsi="Cambria Math"/>
          </w:rPr>
          <m:t>cos</m:t>
        </m:r>
        <m:r>
          <w:rPr>
            <w:rFonts w:ascii="Cambria Math" w:hAnsi="Cambria Math"/>
          </w:rPr>
          <m:t>θ</m:t>
        </m:r>
        <m:r>
          <m:rPr>
            <m:sty m:val="p"/>
          </m:rPr>
          <w:rPr>
            <w:rFonts w:ascii="Cambria Math" w:hAnsi="Cambria Math"/>
          </w:rPr>
          <m:t>)/</m:t>
        </m:r>
        <m:r>
          <w:rPr>
            <w:rFonts w:ascii="Cambria Math" w:hAnsi="Cambria Math"/>
          </w:rPr>
          <m:t>π</m:t>
        </m:r>
      </m:oMath>
      <w:r>
        <w:t xml:space="preserve"> on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π</m:t>
        </m:r>
        <m:r>
          <m:rPr>
            <m:sty m:val="p"/>
          </m:rPr>
          <w:rPr>
            <w:rFonts w:ascii="Cambria Math" w:hAnsi="Cambria Math"/>
          </w:rPr>
          <m:t>]</m:t>
        </m:r>
      </m:oMath>
      <w:r>
        <w:t xml:space="preserve">, with mean </w:t>
      </w:r>
      <m:oMath>
        <m:sSup>
          <m:sSupPr>
            <m:ctrlPr>
              <w:rPr>
                <w:rFonts w:ascii="Cambria Math" w:hAnsi="Cambria Math"/>
              </w:rPr>
            </m:ctrlPr>
          </m:sSupPr>
          <m:e>
            <m:r>
              <w:rPr>
                <w:rFonts w:ascii="Cambria Math" w:hAnsi="Cambria Math"/>
              </w:rPr>
              <m:t>126.5</m:t>
            </m:r>
          </m:e>
          <m:sup>
            <m:r>
              <m:rPr>
                <m:sty m:val="p"/>
              </m:rPr>
              <w:rPr>
                <w:rFonts w:ascii="Cambria Math" w:hAnsi="Cambria Math"/>
              </w:rPr>
              <m:t>∘</m:t>
            </m:r>
          </m:sup>
        </m:sSup>
      </m:oMath>
      <w:r>
        <w:t>. Figure </w:t>
      </w:r>
      <w:hyperlink w:anchor="fig:rasym">
        <w:r>
          <w:rPr>
            <w:rStyle w:val="Hyperlink"/>
          </w:rPr>
          <w:t>1</w:t>
        </w:r>
      </w:hyperlink>
      <w:r>
        <w:t xml:space="preserve"> compares the empirical distribution of the reference-copy orientations, which equal </w:t>
      </w:r>
      <m:oMath>
        <m:sSub>
          <m:sSubPr>
            <m:ctrlPr>
              <w:rPr>
                <w:rFonts w:ascii="Cambria Math" w:hAnsi="Cambria Math"/>
              </w:rPr>
            </m:ctrlPr>
          </m:sSubPr>
          <m:e>
            <m:r>
              <w:rPr>
                <w:rFonts w:ascii="Cambria Math" w:hAnsi="Cambria Math"/>
              </w:rPr>
              <m:t>R</m:t>
            </m:r>
          </m:e>
          <m:sub>
            <m:r>
              <m:rPr>
                <m:nor/>
              </m:rPr>
              <m:t>asym</m:t>
            </m:r>
          </m:sub>
        </m:sSub>
      </m:oMath>
      <w:r>
        <w:t xml:space="preserve"> up to the operation generating the first-detected copy, to this density. The empirical distribution tracks the Haar curve across the full angular range, with mean </w:t>
      </w:r>
      <m:oMath>
        <m:sSup>
          <m:sSupPr>
            <m:ctrlPr>
              <w:rPr>
                <w:rFonts w:ascii="Cambria Math" w:hAnsi="Cambria Math"/>
              </w:rPr>
            </m:ctrlPr>
          </m:sSupPr>
          <m:e>
            <m:r>
              <w:rPr>
                <w:rFonts w:ascii="Cambria Math" w:hAnsi="Cambria Math"/>
              </w:rPr>
              <m:t>122.6</m:t>
            </m:r>
          </m:e>
          <m:sup>
            <m:r>
              <m:rPr>
                <m:sty m:val="p"/>
              </m:rPr>
              <w:rPr>
                <w:rFonts w:ascii="Cambria Math" w:hAnsi="Cambria Math"/>
              </w:rPr>
              <m:t>∘</m:t>
            </m:r>
          </m:sup>
        </m:sSup>
      </m:oMath>
      <w:r>
        <w:t xml:space="preserve"> (</w:t>
      </w:r>
      <m:oMath>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467</m:t>
        </m:r>
      </m:oMath>
      <w:r>
        <w:t xml:space="preserve">). A one-sample Kolmogorov–Smirnov test against the Haar law gives </w:t>
      </w:r>
      <m:oMath>
        <m:r>
          <w:rPr>
            <w:rFonts w:ascii="Cambria Math" w:hAnsi="Cambria Math"/>
          </w:rPr>
          <m:t>D</m:t>
        </m:r>
        <m:r>
          <m:rPr>
            <m:sty m:val="p"/>
          </m:rPr>
          <w:rPr>
            <w:rFonts w:ascii="Cambria Math" w:hAnsi="Cambria Math"/>
          </w:rPr>
          <m:t>=</m:t>
        </m:r>
        <m:r>
          <w:rPr>
            <w:rFonts w:ascii="Cambria Math" w:hAnsi="Cambria Math"/>
          </w:rPr>
          <m:t>0.04</m:t>
        </m:r>
      </m:oMath>
      <w:r>
        <w:t xml:space="preserve">, a small </w:t>
      </w:r>
      <w:r>
        <w:t>but nonzero deviation localized to a near-identity excess that comes from the gauge-defining copies, whose self-alignment lands near the identity. The absolute orientation is therefore close to uniform, consistent with the predict-zero floor, and the residual deviation is a gauge artifact rather than a broad packing preference.</w:t>
      </w:r>
    </w:p>
    <w:p w14:paraId="430C75CF" w14:textId="77777777" w:rsidR="00E63AEC" w:rsidRDefault="00422001">
      <w:pPr>
        <w:pStyle w:val="CaptionedFigure"/>
      </w:pPr>
      <w:bookmarkStart w:id="6" w:name="fig:rasym"/>
      <w:r>
        <w:rPr>
          <w:noProof/>
        </w:rPr>
        <w:drawing>
          <wp:inline distT="0" distB="0" distL="0" distR="0" wp14:anchorId="7C263E03" wp14:editId="6225F445">
            <wp:extent cx="3307080" cy="2344361"/>
            <wp:effectExtent l="0" t="0" r="0" b="0"/>
            <wp:docPr id="15" name="Picture"/>
            <wp:cNvGraphicFramePr/>
            <a:graphic xmlns:a="http://schemas.openxmlformats.org/drawingml/2006/main">
              <a:graphicData uri="http://schemas.openxmlformats.org/drawingml/2006/picture">
                <pic:pic xmlns:pic="http://schemas.openxmlformats.org/drawingml/2006/picture">
                  <pic:nvPicPr>
                    <pic:cNvPr id="16" name="Picture" descr="figures/figS_rasym.png"/>
                    <pic:cNvPicPr>
                      <a:picLocks noChangeAspect="1" noChangeArrowheads="1"/>
                    </pic:cNvPicPr>
                  </pic:nvPicPr>
                  <pic:blipFill>
                    <a:blip r:embed="rId5"/>
                    <a:stretch>
                      <a:fillRect/>
                    </a:stretch>
                  </pic:blipFill>
                  <pic:spPr bwMode="auto">
                    <a:xfrm>
                      <a:off x="0" y="0"/>
                      <a:ext cx="3307080" cy="2344361"/>
                    </a:xfrm>
                    <a:prstGeom prst="rect">
                      <a:avLst/>
                    </a:prstGeom>
                    <a:noFill/>
                    <a:ln w="9525">
                      <a:noFill/>
                      <a:headEnd/>
                      <a:tailEnd/>
                    </a:ln>
                  </pic:spPr>
                </pic:pic>
              </a:graphicData>
            </a:graphic>
          </wp:inline>
        </w:drawing>
      </w:r>
    </w:p>
    <w:p w14:paraId="501062BC" w14:textId="77777777" w:rsidR="00E63AEC" w:rsidRDefault="00422001">
      <w:pPr>
        <w:pStyle w:val="ImageCaption"/>
      </w:pPr>
      <w:r>
        <w:t xml:space="preserve">Empirical distribution of absolute reference-copy orientations (geodesic angle from the identity) against the Haar-uniform </w:t>
      </w:r>
      <m:oMath>
        <m:r>
          <w:rPr>
            <w:rFonts w:ascii="Cambria Math" w:hAnsi="Cambria Math"/>
          </w:rPr>
          <m:t>SO(</m:t>
        </m:r>
        <m:r>
          <w:rPr>
            <w:rFonts w:ascii="Cambria Math" w:hAnsi="Cambria Math"/>
          </w:rPr>
          <m:t>3</m:t>
        </m:r>
        <m:r>
          <w:rPr>
            <w:rFonts w:ascii="Cambria Math" w:hAnsi="Cambria Math"/>
          </w:rPr>
          <m:t>)</m:t>
        </m:r>
      </m:oMath>
      <w:r>
        <w:t xml:space="preserve"> density. The two </w:t>
      </w:r>
      <w:r>
        <w:t>agree across the range apart from a small near-identity excess from gauge-defining copies.</w:t>
      </w:r>
    </w:p>
    <w:p w14:paraId="1FA8ACA7" w14:textId="77777777" w:rsidR="00E63AEC" w:rsidRDefault="00422001">
      <w:pPr>
        <w:pStyle w:val="Heading1"/>
      </w:pPr>
      <w:bookmarkStart w:id="7" w:name="X536fd7ed3d32b6ce12e9983606bcd57ece96f51"/>
      <w:bookmarkEnd w:id="5"/>
      <w:bookmarkEnd w:id="6"/>
      <w:r>
        <w:lastRenderedPageBreak/>
        <w:t xml:space="preserve">Is </w:t>
      </w:r>
      <m:oMath>
        <m:sSub>
          <m:sSubPr>
            <m:ctrlPr>
              <w:rPr>
                <w:rFonts w:ascii="Cambria Math" w:hAnsi="Cambria Math"/>
              </w:rPr>
            </m:ctrlPr>
          </m:sSubPr>
          <m:e>
            <m:r>
              <w:rPr>
                <w:rFonts w:ascii="Cambria Math" w:hAnsi="Cambria Math"/>
              </w:rPr>
              <m:t>R</m:t>
            </m:r>
          </m:e>
          <m:sub>
            <m:r>
              <m:rPr>
                <m:nor/>
              </m:rPr>
              <m:t>asym</m:t>
            </m:r>
          </m:sub>
        </m:sSub>
      </m:oMath>
      <w:r>
        <w:t xml:space="preserve"> </w:t>
      </w:r>
      <w:r>
        <w:rPr>
          <w:i/>
          <w:iCs/>
        </w:rPr>
        <w:t>conditionally</w:t>
      </w:r>
      <w:r>
        <w:t xml:space="preserve"> predictable from packing?</w:t>
      </w:r>
    </w:p>
    <w:p w14:paraId="24F43ACB" w14:textId="77777777" w:rsidR="00E63AEC" w:rsidRDefault="00422001">
      <w:pPr>
        <w:pStyle w:val="FirstParagraph"/>
      </w:pPr>
      <w:r>
        <w:t xml:space="preserve">The uniformity test of the previous section concerns the </w:t>
      </w:r>
      <w:r>
        <w:rPr>
          <w:i/>
          <w:iCs/>
        </w:rPr>
        <w:t>marginal</w:t>
      </w:r>
      <w:r>
        <w:t xml:space="preserve"> distribution of </w:t>
      </w:r>
      <m:oMath>
        <m:sSub>
          <m:sSubPr>
            <m:ctrlPr>
              <w:rPr>
                <w:rFonts w:ascii="Cambria Math" w:hAnsi="Cambria Math"/>
              </w:rPr>
            </m:ctrlPr>
          </m:sSubPr>
          <m:e>
            <m:r>
              <w:rPr>
                <w:rFonts w:ascii="Cambria Math" w:hAnsi="Cambria Math"/>
              </w:rPr>
              <m:t>R</m:t>
            </m:r>
          </m:e>
          <m:sub>
            <m:r>
              <m:rPr>
                <m:nor/>
              </m:rPr>
              <m:t>asym</m:t>
            </m:r>
          </m:sub>
        </m:sSub>
      </m:oMath>
      <w:r>
        <w:t xml:space="preserve">. A uniform marginal is necessary but not sufficient for the operational claim that packing carries no signal about the free pose: a weak conditional dependence </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asym</m:t>
            </m:r>
          </m:sub>
        </m:sSub>
        <m:r>
          <m:rPr>
            <m:sty m:val="p"/>
          </m:rPr>
          <w:rPr>
            <w:rFonts w:ascii="Cambria Math" w:hAnsi="Cambria Math"/>
          </w:rPr>
          <m:t>∣</m:t>
        </m:r>
        <m:r>
          <m:rPr>
            <m:nor/>
          </m:rPr>
          <m:t>packing</m:t>
        </m:r>
        <m:r>
          <m:rPr>
            <m:sty m:val="p"/>
          </m:rPr>
          <w:rPr>
            <w:rFonts w:ascii="Cambria Math" w:hAnsi="Cambria Math"/>
          </w:rPr>
          <m:t>)</m:t>
        </m:r>
      </m:oMath>
      <w:r>
        <w:t xml:space="preserve"> can coexist with a Haar marginal once the </w:t>
      </w:r>
      <w:r>
        <w:t xml:space="preserve">packing is marginalized out. We therefore test the conditional directly with a supervised probe. For each species we form a feature vector from the lattice cell parameters, the molecule’s fractional centroid, the mean and spread of all centroids in the cell, the conformer’s intrinsic shape (the gyration-tensor eigenvalues), the molecule and atom counts, and a learned space-group embedding, and we train a three-layer network to regress the reference-copy orientation </w:t>
      </w:r>
      <w:r>
        <w:t>(a continuous six-dimensional rotation parametrization with a Frobenius loss). The probe sees only composition and packing; the orientation is never an input.</w:t>
      </w:r>
    </w:p>
    <w:p w14:paraId="48803318" w14:textId="77777777" w:rsidR="00E63AEC" w:rsidRDefault="00422001">
      <w:pPr>
        <w:pStyle w:val="BodyText"/>
      </w:pPr>
      <w:r>
        <w:t>Table </w:t>
      </w:r>
      <w:hyperlink w:anchor="tab:probe">
        <w:r>
          <w:rPr>
            <w:rStyle w:val="Hyperlink"/>
          </w:rPr>
          <w:t>2</w:t>
        </w:r>
      </w:hyperlink>
      <w:r>
        <w:t xml:space="preserve"> reports the held-out geodesic error against two references: the single best feature-free predictor, which is the Fréchet (chordal) mean of the training orientations, and a random-rotation guess. Averaged over three splits the probe attains </w:t>
      </w:r>
      <m:oMath>
        <m:sSup>
          <m:sSupPr>
            <m:ctrlPr>
              <w:rPr>
                <w:rFonts w:ascii="Cambria Math" w:hAnsi="Cambria Math"/>
              </w:rPr>
            </m:ctrlPr>
          </m:sSupPr>
          <m:e>
            <m:r>
              <w:rPr>
                <w:rFonts w:ascii="Cambria Math" w:hAnsi="Cambria Math"/>
              </w:rPr>
              <m:t>125.2</m:t>
            </m:r>
          </m:e>
          <m:sup>
            <m:r>
              <m:rPr>
                <m:sty m:val="p"/>
              </m:rPr>
              <w:rPr>
                <w:rFonts w:ascii="Cambria Math" w:hAnsi="Cambria Math"/>
              </w:rPr>
              <m:t>∘</m:t>
            </m:r>
          </m:sup>
        </m:sSup>
      </m:oMath>
      <w:r>
        <w:t xml:space="preserve">, which does not improve on the feature-free constant at </w:t>
      </w:r>
      <m:oMath>
        <m:sSup>
          <m:sSupPr>
            <m:ctrlPr>
              <w:rPr>
                <w:rFonts w:ascii="Cambria Math" w:hAnsi="Cambria Math"/>
              </w:rPr>
            </m:ctrlPr>
          </m:sSupPr>
          <m:e>
            <m:r>
              <w:rPr>
                <w:rFonts w:ascii="Cambria Math" w:hAnsi="Cambria Math"/>
              </w:rPr>
              <m:t>122.4</m:t>
            </m:r>
          </m:e>
          <m:sup>
            <m:r>
              <m:rPr>
                <m:sty m:val="p"/>
              </m:rPr>
              <w:rPr>
                <w:rFonts w:ascii="Cambria Math" w:hAnsi="Cambria Math"/>
              </w:rPr>
              <m:t>∘</m:t>
            </m:r>
          </m:sup>
        </m:sSup>
      </m:oMath>
      <w:r>
        <w:t xml:space="preserve"> </w:t>
      </w:r>
      <w:r>
        <w:t xml:space="preserve">and is statistically indistinguishable from the random-guess level of </w:t>
      </w:r>
      <m:oMath>
        <m:sSup>
          <m:sSupPr>
            <m:ctrlPr>
              <w:rPr>
                <w:rFonts w:ascii="Cambria Math" w:hAnsi="Cambria Math"/>
              </w:rPr>
            </m:ctrlPr>
          </m:sSupPr>
          <m:e>
            <m:r>
              <w:rPr>
                <w:rFonts w:ascii="Cambria Math" w:hAnsi="Cambria Math"/>
              </w:rPr>
              <m:t>123.5</m:t>
            </m:r>
          </m:e>
          <m:sup>
            <m:r>
              <m:rPr>
                <m:sty m:val="p"/>
              </m:rPr>
              <w:rPr>
                <w:rFonts w:ascii="Cambria Math" w:hAnsi="Cambria Math"/>
              </w:rPr>
              <m:t>∘</m:t>
            </m:r>
          </m:sup>
        </m:sSup>
      </m:oMath>
      <w:r>
        <w:t xml:space="preserve">; the probe’s mean “improvement” over the constant is </w:t>
      </w:r>
      <m:oMath>
        <m:r>
          <m:rPr>
            <m:sty m:val="p"/>
          </m:rPr>
          <w:rPr>
            <w:rFonts w:ascii="Cambria Math" w:hAnsi="Cambria Math"/>
          </w:rPr>
          <m:t>-</m:t>
        </m:r>
        <m:r>
          <w:rPr>
            <w:rFonts w:ascii="Cambria Math" w:hAnsi="Cambria Math"/>
          </w:rPr>
          <m:t>2.4</m:t>
        </m:r>
        <m:r>
          <m:rPr>
            <m:sty m:val="p"/>
          </m:rPr>
          <w:rPr>
            <w:rFonts w:ascii="Cambria Math" w:hAnsi="Cambria Math"/>
          </w:rPr>
          <m:t>%</m:t>
        </m:r>
      </m:oMath>
      <w:r>
        <w:t xml:space="preserve">, i.e. no improvement. The network can drive its training error well below these values, so the failure is one of generalization, not of capacity. The conditional test thus reaches the same conclusion as the marginal one by an independent route: under the composition-and-packing conditioning available here, </w:t>
      </w:r>
      <m:oMath>
        <m:sSub>
          <m:sSubPr>
            <m:ctrlPr>
              <w:rPr>
                <w:rFonts w:ascii="Cambria Math" w:hAnsi="Cambria Math"/>
              </w:rPr>
            </m:ctrlPr>
          </m:sSubPr>
          <m:e>
            <m:r>
              <w:rPr>
                <w:rFonts w:ascii="Cambria Math" w:hAnsi="Cambria Math"/>
              </w:rPr>
              <m:t>R</m:t>
            </m:r>
          </m:e>
          <m:sub>
            <m:r>
              <m:rPr>
                <m:nor/>
              </m:rPr>
              <m:t>asym</m:t>
            </m:r>
          </m:sub>
        </m:sSub>
      </m:oMath>
      <w:r>
        <w:t xml:space="preserve"> is not predictable, which is the precise, </w:t>
      </w:r>
      <w:r>
        <w:t>operational sense in which we call it unlearnable.</w:t>
      </w:r>
    </w:p>
    <w:p w14:paraId="79350624" w14:textId="77777777" w:rsidR="00E63AEC" w:rsidRDefault="00422001">
      <w:pPr>
        <w:pStyle w:val="TableCaption"/>
      </w:pPr>
      <w:bookmarkStart w:id="8" w:name="tab:probe"/>
      <w:r>
        <w:t xml:space="preserve">Conditional-predictability probe for </w:t>
      </w:r>
      <m:oMath>
        <m:sSub>
          <m:sSubPr>
            <m:ctrlPr>
              <w:rPr>
                <w:rFonts w:ascii="Cambria Math" w:hAnsi="Cambria Math"/>
              </w:rPr>
            </m:ctrlPr>
          </m:sSubPr>
          <m:e>
            <m:r>
              <w:rPr>
                <w:rFonts w:ascii="Cambria Math" w:hAnsi="Cambria Math"/>
              </w:rPr>
              <m:t>R</m:t>
            </m:r>
          </m:e>
          <m:sub>
            <m:r>
              <m:rPr>
                <m:nor/>
              </m:rPr>
              <m:t>asym</m:t>
            </m:r>
          </m:sub>
        </m:sSub>
      </m:oMath>
      <w:r>
        <w:t>: held-out mean geodesic error (degrees, mean over three splits; lower is better). The probe, given composition and packing, does not beat the feature-free constant and sits at the no-information level.</w:t>
      </w:r>
    </w:p>
    <w:tbl>
      <w:tblPr>
        <w:tblStyle w:val="Table"/>
        <w:tblW w:w="0" w:type="auto"/>
        <w:tblLook w:val="0020" w:firstRow="1" w:lastRow="0" w:firstColumn="0" w:lastColumn="0" w:noHBand="0" w:noVBand="0"/>
        <w:tblCaption w:val="Conditional-predictability probe for R_{\text{asym}}: held-out mean geodesic error (degrees, mean over three splits; lower is better). The probe, given composition and packing, does not beat the feature-free constant and sits at the no-information level."/>
      </w:tblPr>
      <w:tblGrid>
        <w:gridCol w:w="4265"/>
        <w:gridCol w:w="2631"/>
      </w:tblGrid>
      <w:tr w:rsidR="00E63AEC" w14:paraId="26253534" w14:textId="77777777" w:rsidTr="00E63AEC">
        <w:trPr>
          <w:cnfStyle w:val="100000000000" w:firstRow="1" w:lastRow="0" w:firstColumn="0" w:lastColumn="0" w:oddVBand="0" w:evenVBand="0" w:oddHBand="0" w:evenHBand="0" w:firstRowFirstColumn="0" w:firstRowLastColumn="0" w:lastRowFirstColumn="0" w:lastRowLastColumn="0"/>
          <w:tblHeader/>
        </w:trPr>
        <w:tc>
          <w:tcPr>
            <w:tcW w:w="0" w:type="auto"/>
          </w:tcPr>
          <w:p w14:paraId="02399EE6" w14:textId="77777777" w:rsidR="00E63AEC" w:rsidRDefault="00422001">
            <w:pPr>
              <w:pStyle w:val="Compact"/>
            </w:pPr>
            <w:r>
              <w:t>predictor</w:t>
            </w:r>
          </w:p>
        </w:tc>
        <w:tc>
          <w:tcPr>
            <w:tcW w:w="0" w:type="auto"/>
          </w:tcPr>
          <w:p w14:paraId="77918EEE" w14:textId="77777777" w:rsidR="00E63AEC" w:rsidRDefault="00422001">
            <w:pPr>
              <w:pStyle w:val="Compact"/>
              <w:jc w:val="center"/>
            </w:pPr>
            <w:r>
              <w:t>held-out geodesic error</w:t>
            </w:r>
          </w:p>
        </w:tc>
      </w:tr>
      <w:tr w:rsidR="00E63AEC" w14:paraId="27A5C639" w14:textId="77777777">
        <w:tc>
          <w:tcPr>
            <w:tcW w:w="0" w:type="auto"/>
          </w:tcPr>
          <w:p w14:paraId="7C76D64B" w14:textId="77777777" w:rsidR="00E63AEC" w:rsidRDefault="00422001">
            <w:pPr>
              <w:pStyle w:val="Compact"/>
            </w:pPr>
            <w:r>
              <w:t>random guess (no information)</w:t>
            </w:r>
          </w:p>
        </w:tc>
        <w:tc>
          <w:tcPr>
            <w:tcW w:w="0" w:type="auto"/>
          </w:tcPr>
          <w:p w14:paraId="7607E33E" w14:textId="77777777" w:rsidR="00E63AEC" w:rsidRDefault="00422001">
            <w:pPr>
              <w:pStyle w:val="Compact"/>
              <w:jc w:val="center"/>
            </w:pPr>
            <m:oMath>
              <m:sSup>
                <m:sSupPr>
                  <m:ctrlPr>
                    <w:rPr>
                      <w:rFonts w:ascii="Cambria Math" w:hAnsi="Cambria Math"/>
                    </w:rPr>
                  </m:ctrlPr>
                </m:sSupPr>
                <m:e>
                  <m:r>
                    <w:rPr>
                      <w:rFonts w:ascii="Cambria Math" w:hAnsi="Cambria Math"/>
                    </w:rPr>
                    <m:t>123.5</m:t>
                  </m:r>
                </m:e>
                <m:sup>
                  <m:r>
                    <m:rPr>
                      <m:sty m:val="p"/>
                    </m:rPr>
                    <w:rPr>
                      <w:rFonts w:ascii="Cambria Math" w:hAnsi="Cambria Math"/>
                    </w:rPr>
                    <m:t>∘</m:t>
                  </m:r>
                </m:sup>
              </m:sSup>
            </m:oMath>
            <w:r>
              <w:t>​</w:t>
            </w:r>
          </w:p>
        </w:tc>
      </w:tr>
      <w:tr w:rsidR="00E63AEC" w14:paraId="343A8A4A" w14:textId="77777777">
        <w:tc>
          <w:tcPr>
            <w:tcW w:w="0" w:type="auto"/>
          </w:tcPr>
          <w:p w14:paraId="1DB2468F" w14:textId="77777777" w:rsidR="00E63AEC" w:rsidRDefault="00422001">
            <w:pPr>
              <w:pStyle w:val="Compact"/>
            </w:pPr>
            <w:r>
              <w:t>constant (Fréchet mean, feature-free)</w:t>
            </w:r>
          </w:p>
        </w:tc>
        <w:tc>
          <w:tcPr>
            <w:tcW w:w="0" w:type="auto"/>
          </w:tcPr>
          <w:p w14:paraId="5B49AB39" w14:textId="77777777" w:rsidR="00E63AEC" w:rsidRDefault="00422001">
            <w:pPr>
              <w:pStyle w:val="Compact"/>
              <w:jc w:val="center"/>
            </w:pPr>
            <m:oMath>
              <m:sSup>
                <m:sSupPr>
                  <m:ctrlPr>
                    <w:rPr>
                      <w:rFonts w:ascii="Cambria Math" w:hAnsi="Cambria Math"/>
                    </w:rPr>
                  </m:ctrlPr>
                </m:sSupPr>
                <m:e>
                  <m:r>
                    <w:rPr>
                      <w:rFonts w:ascii="Cambria Math" w:hAnsi="Cambria Math"/>
                    </w:rPr>
                    <m:t>122.4</m:t>
                  </m:r>
                </m:e>
                <m:sup>
                  <m:r>
                    <m:rPr>
                      <m:sty m:val="p"/>
                    </m:rPr>
                    <w:rPr>
                      <w:rFonts w:ascii="Cambria Math" w:hAnsi="Cambria Math"/>
                    </w:rPr>
                    <m:t>∘</m:t>
                  </m:r>
                </m:sup>
              </m:sSup>
            </m:oMath>
            <w:r>
              <w:t>​</w:t>
            </w:r>
          </w:p>
        </w:tc>
      </w:tr>
      <w:tr w:rsidR="00E63AEC" w14:paraId="374F5F96" w14:textId="77777777">
        <w:tc>
          <w:tcPr>
            <w:tcW w:w="0" w:type="auto"/>
          </w:tcPr>
          <w:p w14:paraId="44D817E4" w14:textId="77777777" w:rsidR="00E63AEC" w:rsidRDefault="00422001">
            <w:pPr>
              <w:pStyle w:val="Compact"/>
            </w:pPr>
            <w:r>
              <w:t>probe (composition + packing features)</w:t>
            </w:r>
          </w:p>
        </w:tc>
        <w:tc>
          <w:tcPr>
            <w:tcW w:w="0" w:type="auto"/>
          </w:tcPr>
          <w:p w14:paraId="31196BF5" w14:textId="77777777" w:rsidR="00E63AEC" w:rsidRDefault="00422001">
            <w:pPr>
              <w:pStyle w:val="Compact"/>
              <w:jc w:val="center"/>
            </w:pPr>
            <m:oMath>
              <m:sSup>
                <m:sSupPr>
                  <m:ctrlPr>
                    <w:rPr>
                      <w:rFonts w:ascii="Cambria Math" w:hAnsi="Cambria Math"/>
                    </w:rPr>
                  </m:ctrlPr>
                </m:sSupPr>
                <m:e>
                  <m:r>
                    <w:rPr>
                      <w:rFonts w:ascii="Cambria Math" w:hAnsi="Cambria Math"/>
                    </w:rPr>
                    <m:t>125.2</m:t>
                  </m:r>
                </m:e>
                <m:sup>
                  <m:r>
                    <m:rPr>
                      <m:sty m:val="p"/>
                    </m:rPr>
                    <w:rPr>
                      <w:rFonts w:ascii="Cambria Math" w:hAnsi="Cambria Math"/>
                    </w:rPr>
                    <m:t>∘</m:t>
                  </m:r>
                </m:sup>
              </m:sSup>
            </m:oMath>
            <w:r>
              <w:t>​</w:t>
            </w:r>
          </w:p>
        </w:tc>
      </w:tr>
    </w:tbl>
    <w:p w14:paraId="7B12BF33" w14:textId="77777777" w:rsidR="00E63AEC" w:rsidRDefault="00422001">
      <w:pPr>
        <w:pStyle w:val="Heading1"/>
      </w:pPr>
      <w:bookmarkStart w:id="9" w:name="Xdfa64ff1ff81dd5674f4fb8c06c6065b9a3f8fc"/>
      <w:bookmarkEnd w:id="7"/>
      <w:bookmarkEnd w:id="8"/>
      <w:r>
        <w:t>StructureMatcher tolerance sweep for the orientation-isolated rate</w:t>
      </w:r>
    </w:p>
    <w:p w14:paraId="193E1332" w14:textId="77777777" w:rsidR="00E63AEC" w:rsidRDefault="00422001">
      <w:pPr>
        <w:pStyle w:val="FirstParagraph"/>
      </w:pPr>
      <w:r>
        <w:t xml:space="preserve">The main-text reconstruction rate uses a length tolerance of </w:t>
      </w:r>
      <m:oMath>
        <m:r>
          <w:rPr>
            <w:rFonts w:ascii="Cambria Math" w:hAnsi="Cambria Math"/>
          </w:rPr>
          <m:t>0.3</m:t>
        </m:r>
      </m:oMath>
      <w:r>
        <w:t xml:space="preserve">, a site tolerance of </w:t>
      </w:r>
      <m:oMath>
        <m:r>
          <w:rPr>
            <w:rFonts w:ascii="Cambria Math" w:hAnsi="Cambria Math"/>
          </w:rPr>
          <m:t>0.5</m:t>
        </m:r>
      </m:oMath>
      <w:r>
        <w:t xml:space="preserve">, and an angle tolerance of </w:t>
      </w:r>
      <m:oMath>
        <m:sSup>
          <m:sSupPr>
            <m:ctrlPr>
              <w:rPr>
                <w:rFonts w:ascii="Cambria Math" w:hAnsi="Cambria Math"/>
              </w:rPr>
            </m:ctrlPr>
          </m:sSupPr>
          <m:e>
            <m:r>
              <w:rPr>
                <w:rFonts w:ascii="Cambria Math" w:hAnsi="Cambria Math"/>
              </w:rPr>
              <m:t>10</m:t>
            </m:r>
          </m:e>
          <m:sup>
            <m:r>
              <m:rPr>
                <m:sty m:val="p"/>
              </m:rPr>
              <w:rPr>
                <w:rFonts w:ascii="Cambria Math" w:hAnsi="Cambria Math"/>
              </w:rPr>
              <m:t>∘</m:t>
            </m:r>
          </m:sup>
        </m:sSup>
      </m:oMath>
      <w:r>
        <w:t>. To show the result is not an artifact of that choice, Table </w:t>
      </w:r>
      <w:hyperlink w:anchor="tab:sweep">
        <w:r>
          <w:rPr>
            <w:rStyle w:val="Hyperlink"/>
          </w:rPr>
          <w:t>3</w:t>
        </w:r>
      </w:hyperlink>
      <w:r>
        <w:t xml:space="preserve"> sweeps the three StructureMatcher tolerances on a representative trained checkpoint, reporting both a single deterministic draw (match@1) and the best of eight draws (match@8). The match decision uses </w:t>
      </w:r>
      <w:r>
        <w:rPr>
          <w:rStyle w:val="VerbatimChar"/>
        </w:rPr>
        <w:t>StructureMatcher.fit</w:t>
      </w:r>
      <w:r>
        <w:t xml:space="preserve"> </w:t>
      </w:r>
      <w:r>
        <w:t xml:space="preserve">(maximum atomic displacement </w:t>
      </w:r>
      <m:oMath>
        <m:r>
          <m:rPr>
            <m:sty m:val="p"/>
          </m:rPr>
          <w:rPr>
            <w:rFonts w:ascii="Cambria Math" w:hAnsi="Cambria Math"/>
          </w:rPr>
          <m:t>≤</m:t>
        </m:r>
      </m:oMath>
      <w:r>
        <w:t xml:space="preserve"> the site tolerance), the same strict criterion as the headline; the median root-mean-square displacement is computed only over structures that already pass. The rate rises monotonically from </w:t>
      </w:r>
      <m:oMath>
        <m:r>
          <w:rPr>
            <w:rFonts w:ascii="Cambria Math" w:hAnsi="Cambria Math"/>
          </w:rPr>
          <m:t>5.3</m:t>
        </m:r>
        <m:r>
          <m:rPr>
            <m:sty m:val="p"/>
          </m:rPr>
          <w:rPr>
            <w:rFonts w:ascii="Cambria Math" w:hAnsi="Cambria Math"/>
          </w:rPr>
          <m:t>%</m:t>
        </m:r>
      </m:oMath>
      <w:r>
        <w:t xml:space="preserve"> at the tightest setting to </w:t>
      </w:r>
      <m:oMath>
        <m:r>
          <w:rPr>
            <w:rFonts w:ascii="Cambria Math" w:hAnsi="Cambria Math"/>
          </w:rPr>
          <m:t>20.6</m:t>
        </m:r>
        <m:r>
          <m:rPr>
            <m:sty m:val="p"/>
          </m:rPr>
          <w:rPr>
            <w:rFonts w:ascii="Cambria Math" w:hAnsi="Cambria Math"/>
          </w:rPr>
          <m:t>%</m:t>
        </m:r>
      </m:oMath>
      <w:r>
        <w:t xml:space="preserve"> at the loosest, while the oracle that uses the true orientation matches every structure at all four settings, confirming the tolerances are not so loose as to admit spurious matches. The default row (</w:t>
      </w:r>
      <m:oMath>
        <m:r>
          <w:rPr>
            <w:rFonts w:ascii="Cambria Math" w:hAnsi="Cambria Math"/>
          </w:rPr>
          <m:t>0.3</m:t>
        </m:r>
        <m:r>
          <m:rPr>
            <m:sty m:val="p"/>
          </m:rPr>
          <w:rPr>
            <w:rFonts w:ascii="Cambria Math" w:hAnsi="Cambria Math"/>
          </w:rPr>
          <m:t>/</m:t>
        </m:r>
        <m:r>
          <w:rPr>
            <w:rFonts w:ascii="Cambria Math" w:hAnsi="Cambria Math"/>
          </w:rPr>
          <m:t>0.5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sup>
        </m:sSup>
      </m:oMath>
      <w:r>
        <w:t xml:space="preserve">) gives </w:t>
      </w:r>
      <m:oMath>
        <m:r>
          <w:rPr>
            <w:rFonts w:ascii="Cambria Math" w:hAnsi="Cambria Math"/>
          </w:rPr>
          <m:t>16.0</m:t>
        </m:r>
        <m:r>
          <m:rPr>
            <m:sty m:val="p"/>
          </m:rPr>
          <w:rPr>
            <w:rFonts w:ascii="Cambria Math" w:hAnsi="Cambria Math"/>
          </w:rPr>
          <m:t>%</m:t>
        </m:r>
      </m:oMath>
      <w:r>
        <w:t xml:space="preserve"> </w:t>
      </w:r>
      <w:r>
        <w:t xml:space="preserve">match@8 on this checkpoint; the main-text </w:t>
      </w:r>
      <m:oMath>
        <m:r>
          <w:rPr>
            <w:rFonts w:ascii="Cambria Math" w:hAnsi="Cambria Math"/>
          </w:rPr>
          <m:t>13.7</m:t>
        </m:r>
        <m:r>
          <m:rPr>
            <m:sty m:val="p"/>
          </m:rPr>
          <w:rPr>
            <w:rFonts w:ascii="Cambria Math" w:hAnsi="Cambria Math"/>
          </w:rPr>
          <m:t>±</m:t>
        </m:r>
        <m:r>
          <w:rPr>
            <w:rFonts w:ascii="Cambria Math" w:hAnsi="Cambria Math"/>
          </w:rPr>
          <m:t>2.0</m:t>
        </m:r>
        <m:r>
          <m:rPr>
            <m:sty m:val="p"/>
          </m:rPr>
          <w:rPr>
            <w:rFonts w:ascii="Cambria Math" w:hAnsi="Cambria Math"/>
          </w:rPr>
          <m:t>%</m:t>
        </m:r>
      </m:oMath>
      <w:r>
        <w:t xml:space="preserve"> is the mean over three independent training seeds at this row.</w:t>
      </w:r>
    </w:p>
    <w:p w14:paraId="7D732ED1" w14:textId="77777777" w:rsidR="00E63AEC" w:rsidRDefault="00422001">
      <w:pPr>
        <w:pStyle w:val="TableCaption"/>
      </w:pPr>
      <w:bookmarkStart w:id="10" w:name="tab:sweep"/>
      <w:r>
        <w:t xml:space="preserve">Orientation-isolated reconstruction under a StructureMatcher tolerance sweep (single trained checkpoint; </w:t>
      </w:r>
      <m:oMath>
        <m:r>
          <w:rPr>
            <w:rFonts w:ascii="Cambria Math" w:hAnsi="Cambria Math"/>
          </w:rPr>
          <m:t>n</m:t>
        </m:r>
        <m:r>
          <w:rPr>
            <w:rFonts w:ascii="Cambria Math" w:hAnsi="Cambria Math"/>
          </w:rPr>
          <m:t>=</m:t>
        </m:r>
        <m:r>
          <w:rPr>
            <w:rFonts w:ascii="Cambria Math" w:hAnsi="Cambria Math"/>
          </w:rPr>
          <m:t>131</m:t>
        </m:r>
      </m:oMath>
      <w:r>
        <w:t xml:space="preserve"> held-out multi-copy crystals; true lattice, centroid, and conformer; only </w:t>
      </w:r>
      <m:oMath>
        <m:r>
          <w:rPr>
            <w:rFonts w:ascii="Cambria Math" w:hAnsi="Cambria Math"/>
          </w:rPr>
          <m:t>SO(</m:t>
        </m:r>
        <m:r>
          <w:rPr>
            <w:rFonts w:ascii="Cambria Math" w:hAnsi="Cambria Math"/>
          </w:rPr>
          <m:t>3</m:t>
        </m:r>
        <m:r>
          <w:rPr>
            <w:rFonts w:ascii="Cambria Math" w:hAnsi="Cambria Math"/>
          </w:rPr>
          <m:t>)</m:t>
        </m:r>
      </m:oMath>
      <w:r>
        <w:t xml:space="preserve"> sampled). The oracle matches every structure at every setting. Match decided by </w:t>
      </w:r>
      <w:r>
        <w:rPr>
          <w:rStyle w:val="VerbatimChar"/>
        </w:rPr>
        <w:t>StructureMatcher.fit</w:t>
      </w:r>
      <w:r>
        <w:t>; RMSD is over matched structures only.</w:t>
      </w:r>
    </w:p>
    <w:tbl>
      <w:tblPr>
        <w:tblStyle w:val="Table"/>
        <w:tblW w:w="0" w:type="auto"/>
        <w:tblLook w:val="0020" w:firstRow="1" w:lastRow="0" w:firstColumn="0" w:lastColumn="0" w:noHBand="0" w:noVBand="0"/>
        <w:tblCaption w:val="Orientation-isolated reconstruction under a StructureMatcher tolerance sweep (single trained checkpoint; n=131 held-out multi-copy crystals; true lattice, centroid, and conformer; only \mathrm{SO}(3) sampled). The oracle matches every structure at every setting. Match decided by StructureMatcher.fit; RMSD is over matched structures only."/>
      </w:tblPr>
      <w:tblGrid>
        <w:gridCol w:w="670"/>
        <w:gridCol w:w="670"/>
        <w:gridCol w:w="781"/>
        <w:gridCol w:w="1227"/>
        <w:gridCol w:w="1227"/>
        <w:gridCol w:w="1766"/>
        <w:gridCol w:w="1931"/>
      </w:tblGrid>
      <w:tr w:rsidR="00E63AEC" w14:paraId="7ECED807" w14:textId="77777777" w:rsidTr="00E63AEC">
        <w:trPr>
          <w:cnfStyle w:val="100000000000" w:firstRow="1" w:lastRow="0" w:firstColumn="0" w:lastColumn="0" w:oddVBand="0" w:evenVBand="0" w:oddHBand="0" w:evenHBand="0" w:firstRowFirstColumn="0" w:firstRowLastColumn="0" w:lastRowFirstColumn="0" w:lastRowLastColumn="0"/>
          <w:tblHeader/>
        </w:trPr>
        <w:tc>
          <w:tcPr>
            <w:tcW w:w="0" w:type="auto"/>
          </w:tcPr>
          <w:p w14:paraId="46D7F6F8" w14:textId="77777777" w:rsidR="00E63AEC" w:rsidRDefault="00422001">
            <w:pPr>
              <w:pStyle w:val="Compact"/>
              <w:jc w:val="center"/>
            </w:pPr>
            <m:oMath>
              <m:r>
                <m:rPr>
                  <m:scr m:val="script"/>
                </m:rPr>
                <w:rPr>
                  <w:rFonts w:ascii="Cambria Math" w:hAnsi="Cambria Math"/>
                </w:rPr>
                <m:t>l</m:t>
              </m:r>
            </m:oMath>
            <w:r>
              <w:t>tol</w:t>
            </w:r>
          </w:p>
        </w:tc>
        <w:tc>
          <w:tcPr>
            <w:tcW w:w="0" w:type="auto"/>
          </w:tcPr>
          <w:p w14:paraId="662A696C" w14:textId="77777777" w:rsidR="00E63AEC" w:rsidRDefault="00422001">
            <w:pPr>
              <w:pStyle w:val="Compact"/>
              <w:jc w:val="center"/>
            </w:pPr>
            <w:r>
              <w:t>stol</w:t>
            </w:r>
          </w:p>
        </w:tc>
        <w:tc>
          <w:tcPr>
            <w:tcW w:w="0" w:type="auto"/>
          </w:tcPr>
          <w:p w14:paraId="041B5291" w14:textId="77777777" w:rsidR="00E63AEC" w:rsidRDefault="00422001">
            <w:pPr>
              <w:pStyle w:val="Compact"/>
              <w:jc w:val="center"/>
            </w:pPr>
            <w:r>
              <w:t>angle</w:t>
            </w:r>
          </w:p>
        </w:tc>
        <w:tc>
          <w:tcPr>
            <w:tcW w:w="0" w:type="auto"/>
          </w:tcPr>
          <w:p w14:paraId="273B4198" w14:textId="77777777" w:rsidR="00E63AEC" w:rsidRDefault="00422001">
            <w:pPr>
              <w:pStyle w:val="Compact"/>
              <w:jc w:val="center"/>
            </w:pPr>
            <w:r>
              <w:t>match@1</w:t>
            </w:r>
          </w:p>
        </w:tc>
        <w:tc>
          <w:tcPr>
            <w:tcW w:w="0" w:type="auto"/>
          </w:tcPr>
          <w:p w14:paraId="2750318C" w14:textId="77777777" w:rsidR="00E63AEC" w:rsidRDefault="00422001">
            <w:pPr>
              <w:pStyle w:val="Compact"/>
              <w:jc w:val="center"/>
            </w:pPr>
            <w:r>
              <w:t>match@8</w:t>
            </w:r>
          </w:p>
        </w:tc>
        <w:tc>
          <w:tcPr>
            <w:tcW w:w="0" w:type="auto"/>
          </w:tcPr>
          <w:p w14:paraId="4A898CB8" w14:textId="77777777" w:rsidR="00E63AEC" w:rsidRDefault="00422001">
            <w:pPr>
              <w:pStyle w:val="Compact"/>
              <w:jc w:val="center"/>
            </w:pPr>
            <w:r>
              <w:t>med. RMSD (Å)</w:t>
            </w:r>
          </w:p>
        </w:tc>
        <w:tc>
          <w:tcPr>
            <w:tcW w:w="0" w:type="auto"/>
          </w:tcPr>
          <w:p w14:paraId="19E845EA" w14:textId="77777777" w:rsidR="00E63AEC" w:rsidRDefault="00422001">
            <w:pPr>
              <w:pStyle w:val="Compact"/>
              <w:jc w:val="center"/>
            </w:pPr>
            <w:r>
              <w:t>oracle match@8</w:t>
            </w:r>
          </w:p>
        </w:tc>
      </w:tr>
      <w:tr w:rsidR="00E63AEC" w14:paraId="37F3DB46" w14:textId="77777777">
        <w:tc>
          <w:tcPr>
            <w:tcW w:w="0" w:type="auto"/>
          </w:tcPr>
          <w:p w14:paraId="60428352" w14:textId="77777777" w:rsidR="00E63AEC" w:rsidRDefault="00422001">
            <w:pPr>
              <w:pStyle w:val="Compact"/>
              <w:jc w:val="center"/>
            </w:pPr>
            <w:r>
              <w:t>0.20</w:t>
            </w:r>
          </w:p>
        </w:tc>
        <w:tc>
          <w:tcPr>
            <w:tcW w:w="0" w:type="auto"/>
          </w:tcPr>
          <w:p w14:paraId="72B4C783" w14:textId="77777777" w:rsidR="00E63AEC" w:rsidRDefault="00422001">
            <w:pPr>
              <w:pStyle w:val="Compact"/>
              <w:jc w:val="center"/>
            </w:pPr>
            <w:r>
              <w:t>0.20</w:t>
            </w:r>
          </w:p>
        </w:tc>
        <w:tc>
          <w:tcPr>
            <w:tcW w:w="0" w:type="auto"/>
          </w:tcPr>
          <w:p w14:paraId="1C56EDEB" w14:textId="77777777" w:rsidR="00E63AEC" w:rsidRDefault="00422001">
            <w:pPr>
              <w:pStyle w:val="Compact"/>
              <w:jc w:val="center"/>
            </w:pPr>
            <m:oMath>
              <m:sSup>
                <m:sSupPr>
                  <m:ctrlPr>
                    <w:rPr>
                      <w:rFonts w:ascii="Cambria Math" w:hAnsi="Cambria Math"/>
                    </w:rPr>
                  </m:ctrlPr>
                </m:sSupPr>
                <m:e>
                  <m:r>
                    <w:rPr>
                      <w:rFonts w:ascii="Cambria Math" w:hAnsi="Cambria Math"/>
                    </w:rPr>
                    <m:t>8</m:t>
                  </m:r>
                </m:e>
                <m:sup>
                  <m:r>
                    <m:rPr>
                      <m:sty m:val="p"/>
                    </m:rPr>
                    <w:rPr>
                      <w:rFonts w:ascii="Cambria Math" w:hAnsi="Cambria Math"/>
                    </w:rPr>
                    <m:t>∘</m:t>
                  </m:r>
                </m:sup>
              </m:sSup>
            </m:oMath>
            <w:r>
              <w:t>​</w:t>
            </w:r>
          </w:p>
        </w:tc>
        <w:tc>
          <w:tcPr>
            <w:tcW w:w="0" w:type="auto"/>
          </w:tcPr>
          <w:p w14:paraId="4DF217A1" w14:textId="77777777" w:rsidR="00E63AEC" w:rsidRDefault="00422001">
            <w:pPr>
              <w:pStyle w:val="Compact"/>
              <w:jc w:val="center"/>
            </w:pPr>
            <m:oMath>
              <m:r>
                <w:rPr>
                  <w:rFonts w:ascii="Cambria Math" w:hAnsi="Cambria Math"/>
                </w:rPr>
                <m:t>0.0</m:t>
              </m:r>
              <m:r>
                <m:rPr>
                  <m:sty m:val="p"/>
                </m:rPr>
                <w:rPr>
                  <w:rFonts w:ascii="Cambria Math" w:hAnsi="Cambria Math"/>
                </w:rPr>
                <m:t>%</m:t>
              </m:r>
            </m:oMath>
            <w:r>
              <w:t>​</w:t>
            </w:r>
          </w:p>
        </w:tc>
        <w:tc>
          <w:tcPr>
            <w:tcW w:w="0" w:type="auto"/>
          </w:tcPr>
          <w:p w14:paraId="5B814B5C" w14:textId="77777777" w:rsidR="00E63AEC" w:rsidRDefault="00422001">
            <w:pPr>
              <w:pStyle w:val="Compact"/>
              <w:jc w:val="center"/>
            </w:pPr>
            <m:oMath>
              <m:r>
                <w:rPr>
                  <w:rFonts w:ascii="Cambria Math" w:hAnsi="Cambria Math"/>
                </w:rPr>
                <m:t>5.3</m:t>
              </m:r>
              <m:r>
                <m:rPr>
                  <m:sty m:val="p"/>
                </m:rPr>
                <w:rPr>
                  <w:rFonts w:ascii="Cambria Math" w:hAnsi="Cambria Math"/>
                </w:rPr>
                <m:t>%</m:t>
              </m:r>
            </m:oMath>
            <w:r>
              <w:t>​</w:t>
            </w:r>
          </w:p>
        </w:tc>
        <w:tc>
          <w:tcPr>
            <w:tcW w:w="0" w:type="auto"/>
          </w:tcPr>
          <w:p w14:paraId="0A34FA64" w14:textId="77777777" w:rsidR="00E63AEC" w:rsidRDefault="00422001">
            <w:pPr>
              <w:pStyle w:val="Compact"/>
              <w:jc w:val="center"/>
            </w:pPr>
            <m:oMath>
              <m:r>
                <w:rPr>
                  <w:rFonts w:ascii="Cambria Math" w:hAnsi="Cambria Math"/>
                </w:rPr>
                <m:t>0.089</m:t>
              </m:r>
            </m:oMath>
            <w:r>
              <w:t>​</w:t>
            </w:r>
          </w:p>
        </w:tc>
        <w:tc>
          <w:tcPr>
            <w:tcW w:w="0" w:type="auto"/>
          </w:tcPr>
          <w:p w14:paraId="2D768C5F" w14:textId="77777777" w:rsidR="00E63AEC" w:rsidRDefault="00422001">
            <w:pPr>
              <w:pStyle w:val="Compact"/>
              <w:jc w:val="center"/>
            </w:pPr>
            <m:oMath>
              <m:r>
                <w:rPr>
                  <w:rFonts w:ascii="Cambria Math" w:hAnsi="Cambria Math"/>
                </w:rPr>
                <m:t>100</m:t>
              </m:r>
              <m:r>
                <m:rPr>
                  <m:sty m:val="p"/>
                </m:rPr>
                <w:rPr>
                  <w:rFonts w:ascii="Cambria Math" w:hAnsi="Cambria Math"/>
                </w:rPr>
                <m:t>%</m:t>
              </m:r>
            </m:oMath>
            <w:r>
              <w:t>​</w:t>
            </w:r>
          </w:p>
        </w:tc>
      </w:tr>
      <w:tr w:rsidR="00E63AEC" w14:paraId="4A77A54B" w14:textId="77777777">
        <w:tc>
          <w:tcPr>
            <w:tcW w:w="0" w:type="auto"/>
          </w:tcPr>
          <w:p w14:paraId="212FE034" w14:textId="77777777" w:rsidR="00E63AEC" w:rsidRDefault="00422001">
            <w:pPr>
              <w:pStyle w:val="Compact"/>
              <w:jc w:val="center"/>
            </w:pPr>
            <w:r>
              <w:t>0.30</w:t>
            </w:r>
          </w:p>
        </w:tc>
        <w:tc>
          <w:tcPr>
            <w:tcW w:w="0" w:type="auto"/>
          </w:tcPr>
          <w:p w14:paraId="44B8E137" w14:textId="77777777" w:rsidR="00E63AEC" w:rsidRDefault="00422001">
            <w:pPr>
              <w:pStyle w:val="Compact"/>
              <w:jc w:val="center"/>
            </w:pPr>
            <w:r>
              <w:t>0.30</w:t>
            </w:r>
          </w:p>
        </w:tc>
        <w:tc>
          <w:tcPr>
            <w:tcW w:w="0" w:type="auto"/>
          </w:tcPr>
          <w:p w14:paraId="03A4C8E9" w14:textId="77777777" w:rsidR="00E63AEC" w:rsidRDefault="00422001">
            <w:pPr>
              <w:pStyle w:val="Compact"/>
              <w:jc w:val="center"/>
            </w:pPr>
            <m:oMath>
              <m:sSup>
                <m:sSupPr>
                  <m:ctrlPr>
                    <w:rPr>
                      <w:rFonts w:ascii="Cambria Math" w:hAnsi="Cambria Math"/>
                    </w:rPr>
                  </m:ctrlPr>
                </m:sSupPr>
                <m:e>
                  <m:r>
                    <w:rPr>
                      <w:rFonts w:ascii="Cambria Math" w:hAnsi="Cambria Math"/>
                    </w:rPr>
                    <m:t>10</m:t>
                  </m:r>
                </m:e>
                <m:sup>
                  <m:r>
                    <m:rPr>
                      <m:sty m:val="p"/>
                    </m:rPr>
                    <w:rPr>
                      <w:rFonts w:ascii="Cambria Math" w:hAnsi="Cambria Math"/>
                    </w:rPr>
                    <m:t>∘</m:t>
                  </m:r>
                </m:sup>
              </m:sSup>
            </m:oMath>
            <w:r>
              <w:t>​</w:t>
            </w:r>
          </w:p>
        </w:tc>
        <w:tc>
          <w:tcPr>
            <w:tcW w:w="0" w:type="auto"/>
          </w:tcPr>
          <w:p w14:paraId="63BC4286" w14:textId="77777777" w:rsidR="00E63AEC" w:rsidRDefault="00422001">
            <w:pPr>
              <w:pStyle w:val="Compact"/>
              <w:jc w:val="center"/>
            </w:pPr>
            <m:oMath>
              <m:r>
                <w:rPr>
                  <w:rFonts w:ascii="Cambria Math" w:hAnsi="Cambria Math"/>
                </w:rPr>
                <m:t>1.5</m:t>
              </m:r>
              <m:r>
                <m:rPr>
                  <m:sty m:val="p"/>
                </m:rPr>
                <w:rPr>
                  <w:rFonts w:ascii="Cambria Math" w:hAnsi="Cambria Math"/>
                </w:rPr>
                <m:t>%</m:t>
              </m:r>
            </m:oMath>
            <w:r>
              <w:t>​</w:t>
            </w:r>
          </w:p>
        </w:tc>
        <w:tc>
          <w:tcPr>
            <w:tcW w:w="0" w:type="auto"/>
          </w:tcPr>
          <w:p w14:paraId="4850EB24" w14:textId="77777777" w:rsidR="00E63AEC" w:rsidRDefault="00422001">
            <w:pPr>
              <w:pStyle w:val="Compact"/>
              <w:jc w:val="center"/>
            </w:pPr>
            <m:oMath>
              <m:r>
                <w:rPr>
                  <w:rFonts w:ascii="Cambria Math" w:hAnsi="Cambria Math"/>
                </w:rPr>
                <m:t>9.9</m:t>
              </m:r>
              <m:r>
                <m:rPr>
                  <m:sty m:val="p"/>
                </m:rPr>
                <w:rPr>
                  <w:rFonts w:ascii="Cambria Math" w:hAnsi="Cambria Math"/>
                </w:rPr>
                <m:t>%</m:t>
              </m:r>
            </m:oMath>
            <w:r>
              <w:t>​</w:t>
            </w:r>
          </w:p>
        </w:tc>
        <w:tc>
          <w:tcPr>
            <w:tcW w:w="0" w:type="auto"/>
          </w:tcPr>
          <w:p w14:paraId="6359A376" w14:textId="77777777" w:rsidR="00E63AEC" w:rsidRDefault="00422001">
            <w:pPr>
              <w:pStyle w:val="Compact"/>
              <w:jc w:val="center"/>
            </w:pPr>
            <m:oMath>
              <m:r>
                <w:rPr>
                  <w:rFonts w:ascii="Cambria Math" w:hAnsi="Cambria Math"/>
                </w:rPr>
                <m:t>0.113</m:t>
              </m:r>
            </m:oMath>
            <w:r>
              <w:t>​</w:t>
            </w:r>
          </w:p>
        </w:tc>
        <w:tc>
          <w:tcPr>
            <w:tcW w:w="0" w:type="auto"/>
          </w:tcPr>
          <w:p w14:paraId="00E0C87A" w14:textId="77777777" w:rsidR="00E63AEC" w:rsidRDefault="00422001">
            <w:pPr>
              <w:pStyle w:val="Compact"/>
              <w:jc w:val="center"/>
            </w:pPr>
            <m:oMath>
              <m:r>
                <w:rPr>
                  <w:rFonts w:ascii="Cambria Math" w:hAnsi="Cambria Math"/>
                </w:rPr>
                <m:t>100</m:t>
              </m:r>
              <m:r>
                <m:rPr>
                  <m:sty m:val="p"/>
                </m:rPr>
                <w:rPr>
                  <w:rFonts w:ascii="Cambria Math" w:hAnsi="Cambria Math"/>
                </w:rPr>
                <m:t>%</m:t>
              </m:r>
            </m:oMath>
            <w:r>
              <w:t>​</w:t>
            </w:r>
          </w:p>
        </w:tc>
      </w:tr>
      <w:tr w:rsidR="00E63AEC" w14:paraId="460BE446" w14:textId="77777777">
        <w:tc>
          <w:tcPr>
            <w:tcW w:w="0" w:type="auto"/>
          </w:tcPr>
          <w:p w14:paraId="6B0D1832" w14:textId="77777777" w:rsidR="00E63AEC" w:rsidRDefault="00422001">
            <w:pPr>
              <w:pStyle w:val="Compact"/>
              <w:jc w:val="center"/>
            </w:pPr>
            <w:r>
              <w:t>0.30</w:t>
            </w:r>
          </w:p>
        </w:tc>
        <w:tc>
          <w:tcPr>
            <w:tcW w:w="0" w:type="auto"/>
          </w:tcPr>
          <w:p w14:paraId="70661552" w14:textId="77777777" w:rsidR="00E63AEC" w:rsidRDefault="00422001">
            <w:pPr>
              <w:pStyle w:val="Compact"/>
              <w:jc w:val="center"/>
            </w:pPr>
            <w:r>
              <w:t>0.50</w:t>
            </w:r>
          </w:p>
        </w:tc>
        <w:tc>
          <w:tcPr>
            <w:tcW w:w="0" w:type="auto"/>
          </w:tcPr>
          <w:p w14:paraId="174CDF01" w14:textId="77777777" w:rsidR="00E63AEC" w:rsidRDefault="00422001">
            <w:pPr>
              <w:pStyle w:val="Compact"/>
              <w:jc w:val="center"/>
            </w:pPr>
            <m:oMath>
              <m:sSup>
                <m:sSupPr>
                  <m:ctrlPr>
                    <w:rPr>
                      <w:rFonts w:ascii="Cambria Math" w:hAnsi="Cambria Math"/>
                    </w:rPr>
                  </m:ctrlPr>
                </m:sSupPr>
                <m:e>
                  <m:r>
                    <w:rPr>
                      <w:rFonts w:ascii="Cambria Math" w:hAnsi="Cambria Math"/>
                    </w:rPr>
                    <m:t>10</m:t>
                  </m:r>
                </m:e>
                <m:sup>
                  <m:r>
                    <m:rPr>
                      <m:sty m:val="p"/>
                    </m:rPr>
                    <w:rPr>
                      <w:rFonts w:ascii="Cambria Math" w:hAnsi="Cambria Math"/>
                    </w:rPr>
                    <m:t>∘</m:t>
                  </m:r>
                </m:sup>
              </m:sSup>
            </m:oMath>
            <w:r>
              <w:t>​</w:t>
            </w:r>
          </w:p>
        </w:tc>
        <w:tc>
          <w:tcPr>
            <w:tcW w:w="0" w:type="auto"/>
          </w:tcPr>
          <w:p w14:paraId="7B13F8B6" w14:textId="77777777" w:rsidR="00E63AEC" w:rsidRDefault="00422001">
            <w:pPr>
              <w:pStyle w:val="Compact"/>
              <w:jc w:val="center"/>
            </w:pPr>
            <m:oMath>
              <m:r>
                <w:rPr>
                  <w:rFonts w:ascii="Cambria Math" w:hAnsi="Cambria Math"/>
                </w:rPr>
                <m:t>3.8</m:t>
              </m:r>
              <m:r>
                <m:rPr>
                  <m:sty m:val="p"/>
                </m:rPr>
                <w:rPr>
                  <w:rFonts w:ascii="Cambria Math" w:hAnsi="Cambria Math"/>
                </w:rPr>
                <m:t>%</m:t>
              </m:r>
            </m:oMath>
            <w:r>
              <w:t>​</w:t>
            </w:r>
          </w:p>
        </w:tc>
        <w:tc>
          <w:tcPr>
            <w:tcW w:w="0" w:type="auto"/>
          </w:tcPr>
          <w:p w14:paraId="483945AB" w14:textId="77777777" w:rsidR="00E63AEC" w:rsidRDefault="00422001">
            <w:pPr>
              <w:pStyle w:val="Compact"/>
              <w:jc w:val="center"/>
            </w:pPr>
            <m:oMath>
              <m:r>
                <w:rPr>
                  <w:rFonts w:ascii="Cambria Math" w:hAnsi="Cambria Math"/>
                </w:rPr>
                <m:t>16.0</m:t>
              </m:r>
              <m:r>
                <m:rPr>
                  <m:sty m:val="p"/>
                </m:rPr>
                <w:rPr>
                  <w:rFonts w:ascii="Cambria Math" w:hAnsi="Cambria Math"/>
                </w:rPr>
                <m:t>%</m:t>
              </m:r>
            </m:oMath>
            <w:r>
              <w:t>​</w:t>
            </w:r>
          </w:p>
        </w:tc>
        <w:tc>
          <w:tcPr>
            <w:tcW w:w="0" w:type="auto"/>
          </w:tcPr>
          <w:p w14:paraId="58328C28" w14:textId="77777777" w:rsidR="00E63AEC" w:rsidRDefault="00422001">
            <w:pPr>
              <w:pStyle w:val="Compact"/>
              <w:jc w:val="center"/>
            </w:pPr>
            <m:oMath>
              <m:r>
                <w:rPr>
                  <w:rFonts w:ascii="Cambria Math" w:hAnsi="Cambria Math"/>
                </w:rPr>
                <m:t>0.128</m:t>
              </m:r>
            </m:oMath>
            <w:r>
              <w:t>​</w:t>
            </w:r>
          </w:p>
        </w:tc>
        <w:tc>
          <w:tcPr>
            <w:tcW w:w="0" w:type="auto"/>
          </w:tcPr>
          <w:p w14:paraId="2637CEF9" w14:textId="77777777" w:rsidR="00E63AEC" w:rsidRDefault="00422001">
            <w:pPr>
              <w:pStyle w:val="Compact"/>
              <w:jc w:val="center"/>
            </w:pPr>
            <m:oMath>
              <m:r>
                <w:rPr>
                  <w:rFonts w:ascii="Cambria Math" w:hAnsi="Cambria Math"/>
                </w:rPr>
                <m:t>100</m:t>
              </m:r>
              <m:r>
                <m:rPr>
                  <m:sty m:val="p"/>
                </m:rPr>
                <w:rPr>
                  <w:rFonts w:ascii="Cambria Math" w:hAnsi="Cambria Math"/>
                </w:rPr>
                <m:t>%</m:t>
              </m:r>
            </m:oMath>
            <w:r>
              <w:t>​</w:t>
            </w:r>
          </w:p>
        </w:tc>
      </w:tr>
      <w:tr w:rsidR="00E63AEC" w14:paraId="528B5BD5" w14:textId="77777777">
        <w:tc>
          <w:tcPr>
            <w:tcW w:w="0" w:type="auto"/>
          </w:tcPr>
          <w:p w14:paraId="514125A6" w14:textId="77777777" w:rsidR="00E63AEC" w:rsidRDefault="00422001">
            <w:pPr>
              <w:pStyle w:val="Compact"/>
              <w:jc w:val="center"/>
            </w:pPr>
            <w:r>
              <w:t>0.50</w:t>
            </w:r>
          </w:p>
        </w:tc>
        <w:tc>
          <w:tcPr>
            <w:tcW w:w="0" w:type="auto"/>
          </w:tcPr>
          <w:p w14:paraId="4B4E3170" w14:textId="77777777" w:rsidR="00E63AEC" w:rsidRDefault="00422001">
            <w:pPr>
              <w:pStyle w:val="Compact"/>
              <w:jc w:val="center"/>
            </w:pPr>
            <w:r>
              <w:t>0.70</w:t>
            </w:r>
          </w:p>
        </w:tc>
        <w:tc>
          <w:tcPr>
            <w:tcW w:w="0" w:type="auto"/>
          </w:tcPr>
          <w:p w14:paraId="11CB7141" w14:textId="77777777" w:rsidR="00E63AEC" w:rsidRDefault="00422001">
            <w:pPr>
              <w:pStyle w:val="Compact"/>
              <w:jc w:val="center"/>
            </w:pPr>
            <m:oMath>
              <m:sSup>
                <m:sSupPr>
                  <m:ctrlPr>
                    <w:rPr>
                      <w:rFonts w:ascii="Cambria Math" w:hAnsi="Cambria Math"/>
                    </w:rPr>
                  </m:ctrlPr>
                </m:sSupPr>
                <m:e>
                  <m:r>
                    <w:rPr>
                      <w:rFonts w:ascii="Cambria Math" w:hAnsi="Cambria Math"/>
                    </w:rPr>
                    <m:t>15</m:t>
                  </m:r>
                </m:e>
                <m:sup>
                  <m:r>
                    <m:rPr>
                      <m:sty m:val="p"/>
                    </m:rPr>
                    <w:rPr>
                      <w:rFonts w:ascii="Cambria Math" w:hAnsi="Cambria Math"/>
                    </w:rPr>
                    <m:t>∘</m:t>
                  </m:r>
                </m:sup>
              </m:sSup>
            </m:oMath>
            <w:r>
              <w:t>​</w:t>
            </w:r>
          </w:p>
        </w:tc>
        <w:tc>
          <w:tcPr>
            <w:tcW w:w="0" w:type="auto"/>
          </w:tcPr>
          <w:p w14:paraId="44C47CBE" w14:textId="77777777" w:rsidR="00E63AEC" w:rsidRDefault="00422001">
            <w:pPr>
              <w:pStyle w:val="Compact"/>
              <w:jc w:val="center"/>
            </w:pPr>
            <m:oMath>
              <m:r>
                <w:rPr>
                  <w:rFonts w:ascii="Cambria Math" w:hAnsi="Cambria Math"/>
                </w:rPr>
                <m:t>4.6</m:t>
              </m:r>
              <m:r>
                <m:rPr>
                  <m:sty m:val="p"/>
                </m:rPr>
                <w:rPr>
                  <w:rFonts w:ascii="Cambria Math" w:hAnsi="Cambria Math"/>
                </w:rPr>
                <m:t>%</m:t>
              </m:r>
            </m:oMath>
            <w:r>
              <w:t>​</w:t>
            </w:r>
          </w:p>
        </w:tc>
        <w:tc>
          <w:tcPr>
            <w:tcW w:w="0" w:type="auto"/>
          </w:tcPr>
          <w:p w14:paraId="40F24C5B" w14:textId="77777777" w:rsidR="00E63AEC" w:rsidRDefault="00422001">
            <w:pPr>
              <w:pStyle w:val="Compact"/>
              <w:jc w:val="center"/>
            </w:pPr>
            <m:oMath>
              <m:r>
                <w:rPr>
                  <w:rFonts w:ascii="Cambria Math" w:hAnsi="Cambria Math"/>
                </w:rPr>
                <m:t>20.6</m:t>
              </m:r>
              <m:r>
                <m:rPr>
                  <m:sty m:val="p"/>
                </m:rPr>
                <w:rPr>
                  <w:rFonts w:ascii="Cambria Math" w:hAnsi="Cambria Math"/>
                </w:rPr>
                <m:t>%</m:t>
              </m:r>
            </m:oMath>
            <w:r>
              <w:t>​</w:t>
            </w:r>
          </w:p>
        </w:tc>
        <w:tc>
          <w:tcPr>
            <w:tcW w:w="0" w:type="auto"/>
          </w:tcPr>
          <w:p w14:paraId="2A6815E7" w14:textId="77777777" w:rsidR="00E63AEC" w:rsidRDefault="00422001">
            <w:pPr>
              <w:pStyle w:val="Compact"/>
              <w:jc w:val="center"/>
            </w:pPr>
            <m:oMath>
              <m:r>
                <w:rPr>
                  <w:rFonts w:ascii="Cambria Math" w:hAnsi="Cambria Math"/>
                </w:rPr>
                <m:t>0.142</m:t>
              </m:r>
            </m:oMath>
            <w:r>
              <w:t>​</w:t>
            </w:r>
          </w:p>
        </w:tc>
        <w:tc>
          <w:tcPr>
            <w:tcW w:w="0" w:type="auto"/>
          </w:tcPr>
          <w:p w14:paraId="761D0666" w14:textId="77777777" w:rsidR="00E63AEC" w:rsidRDefault="00422001">
            <w:pPr>
              <w:pStyle w:val="Compact"/>
              <w:jc w:val="center"/>
            </w:pPr>
            <m:oMath>
              <m:r>
                <w:rPr>
                  <w:rFonts w:ascii="Cambria Math" w:hAnsi="Cambria Math"/>
                </w:rPr>
                <m:t>100</m:t>
              </m:r>
              <m:r>
                <m:rPr>
                  <m:sty m:val="p"/>
                </m:rPr>
                <w:rPr>
                  <w:rFonts w:ascii="Cambria Math" w:hAnsi="Cambria Math"/>
                </w:rPr>
                <m:t>%</m:t>
              </m:r>
            </m:oMath>
            <w:r>
              <w:t>​</w:t>
            </w:r>
          </w:p>
        </w:tc>
      </w:tr>
    </w:tbl>
    <w:p w14:paraId="474EE00E" w14:textId="77777777" w:rsidR="00E63AEC" w:rsidRDefault="00422001">
      <w:pPr>
        <w:pStyle w:val="Heading1"/>
      </w:pPr>
      <w:bookmarkStart w:id="11" w:name="leakage-controlled-species-grouped-split"/>
      <w:bookmarkEnd w:id="9"/>
      <w:bookmarkEnd w:id="10"/>
      <w:r>
        <w:t>Leakage-controlled species-grouped split</w:t>
      </w:r>
    </w:p>
    <w:p w14:paraId="37F66595" w14:textId="77777777" w:rsidR="00E63AEC" w:rsidRDefault="00422001">
      <w:pPr>
        <w:pStyle w:val="FirstParagraph"/>
      </w:pPr>
      <w:r>
        <w:t xml:space="preserve">Because a single conformer registry is shared across crystals, a random train/validation split could place two crystals of the same species on opposite sides, raising the concern that the learnable relative-orientation signal reflects </w:t>
      </w:r>
      <w:r>
        <w:t>species memorization rather than transferable geometry. We rule this out with a species-grouped split (Methods): crystals sharing any species are grouped by union–find and whole groups are assigned to one side, so no species crosses the partition. Table </w:t>
      </w:r>
      <w:hyperlink w:anchor="tab:grouped">
        <w:r>
          <w:rPr>
            <w:rStyle w:val="Hyperlink"/>
          </w:rPr>
          <w:t>4</w:t>
        </w:r>
      </w:hyperlink>
      <w:r>
        <w:t xml:space="preserve"> compares the held-out non-reference orientation drop under the two split regimes over three seeds. The grouped split gives </w:t>
      </w:r>
      <m:oMath>
        <m:r>
          <w:rPr>
            <w:rFonts w:ascii="Cambria Math" w:hAnsi="Cambria Math"/>
          </w:rPr>
          <m:t>28.5</m:t>
        </m:r>
        <m:r>
          <m:rPr>
            <m:sty m:val="p"/>
          </m:rPr>
          <w:rPr>
            <w:rFonts w:ascii="Cambria Math" w:hAnsi="Cambria Math"/>
          </w:rPr>
          <m:t>±</m:t>
        </m:r>
        <m:r>
          <w:rPr>
            <w:rFonts w:ascii="Cambria Math" w:hAnsi="Cambria Math"/>
          </w:rPr>
          <m:t>2.9</m:t>
        </m:r>
        <m:r>
          <m:rPr>
            <m:sty m:val="p"/>
          </m:rPr>
          <w:rPr>
            <w:rFonts w:ascii="Cambria Math" w:hAnsi="Cambria Math"/>
          </w:rPr>
          <m:t>%</m:t>
        </m:r>
      </m:oMath>
      <w:r>
        <w:t xml:space="preserve">, statistically indistinguishable from the random-split </w:t>
      </w:r>
      <m:oMath>
        <m:r>
          <w:rPr>
            <w:rFonts w:ascii="Cambria Math" w:hAnsi="Cambria Math"/>
          </w:rPr>
          <m:t>27.5</m:t>
        </m:r>
        <m:r>
          <m:rPr>
            <m:sty m:val="p"/>
          </m:rPr>
          <w:rPr>
            <w:rFonts w:ascii="Cambria Math" w:hAnsi="Cambria Math"/>
          </w:rPr>
          <m:t>±</m:t>
        </m:r>
        <m:r>
          <w:rPr>
            <w:rFonts w:ascii="Cambria Math" w:hAnsi="Cambria Math"/>
          </w:rPr>
          <m:t>2.7</m:t>
        </m:r>
        <m:r>
          <m:rPr>
            <m:sty m:val="p"/>
          </m:rPr>
          <w:rPr>
            <w:rFonts w:ascii="Cambria Math" w:hAnsi="Cambria Math"/>
          </w:rPr>
          <m:t>%</m:t>
        </m:r>
      </m:oMath>
      <w:r>
        <w:t xml:space="preserve">, so the effect is not species leakage. An orientation-isolated reconstruction read on the grouped split (seed 0) recovers </w:t>
      </w:r>
      <m:oMath>
        <m:r>
          <w:rPr>
            <w:rFonts w:ascii="Cambria Math" w:hAnsi="Cambria Math"/>
          </w:rPr>
          <m:t>10.7</m:t>
        </m:r>
        <m:r>
          <m:rPr>
            <m:sty m:val="p"/>
          </m:rPr>
          <w:rPr>
            <w:rFonts w:ascii="Cambria Math" w:hAnsi="Cambria Math"/>
          </w:rPr>
          <m:t>%</m:t>
        </m:r>
      </m:oMath>
      <w:r>
        <w:t xml:space="preserve"> of held-out crystals (match@8; </w:t>
      </w:r>
      <m:oMath>
        <m:r>
          <w:rPr>
            <w:rFonts w:ascii="Cambria Math" w:hAnsi="Cambria Math"/>
          </w:rPr>
          <m:t>4.6</m:t>
        </m:r>
        <m:r>
          <m:rPr>
            <m:sty m:val="p"/>
          </m:rPr>
          <w:rPr>
            <w:rFonts w:ascii="Cambria Math" w:hAnsi="Cambria Math"/>
          </w:rPr>
          <m:t>%</m:t>
        </m:r>
      </m:oMath>
      <w:r>
        <w:t xml:space="preserve"> match@1; median RMSD </w:t>
      </w:r>
      <m:oMath>
        <m:r>
          <w:rPr>
            <w:rFonts w:ascii="Cambria Math" w:hAnsi="Cambria Math"/>
          </w:rPr>
          <m:t>0.140</m:t>
        </m:r>
      </m:oMath>
      <w:r>
        <w:t xml:space="preserve"> Å) against </w:t>
      </w:r>
      <m:oMath>
        <m:r>
          <w:rPr>
            <w:rFonts w:ascii="Cambria Math" w:hAnsi="Cambria Math"/>
          </w:rPr>
          <m:t>0</m:t>
        </m:r>
        <m:r>
          <m:rPr>
            <m:sty m:val="p"/>
          </m:rPr>
          <w:rPr>
            <w:rFonts w:ascii="Cambria Math" w:hAnsi="Cambria Math"/>
          </w:rPr>
          <m:t>%</m:t>
        </m:r>
      </m:oMath>
      <w:r>
        <w:t xml:space="preserve"> for the predict-floor field, confirming the reconstruction also survives the leakage control.</w:t>
      </w:r>
    </w:p>
    <w:p w14:paraId="02A3DF92" w14:textId="77777777" w:rsidR="00E63AEC" w:rsidRDefault="00422001">
      <w:pPr>
        <w:pStyle w:val="TableCaption"/>
      </w:pPr>
      <w:bookmarkStart w:id="12" w:name="tab:grouped"/>
      <w:r>
        <w:t xml:space="preserve">Held-out non-reference orientation drop under random versus species-grouped train/validation splits (three seeds each, mean </w:t>
      </w:r>
      <m:oMath>
        <m:r>
          <w:rPr>
            <w:rFonts w:ascii="Cambria Math" w:hAnsi="Cambria Math"/>
          </w:rPr>
          <m:t>±</m:t>
        </m:r>
      </m:oMath>
      <w:r>
        <w:t xml:space="preserve"> s.d.). The grouped split eliminates shared-species overlap; the signal is unchanged.</w:t>
      </w:r>
    </w:p>
    <w:tbl>
      <w:tblPr>
        <w:tblStyle w:val="Table"/>
        <w:tblW w:w="0" w:type="auto"/>
        <w:tblLook w:val="0020" w:firstRow="1" w:lastRow="0" w:firstColumn="0" w:lastColumn="0" w:noHBand="0" w:noVBand="0"/>
        <w:tblCaption w:val="Held-out non-reference orientation drop under random versus species-grouped train/validation splits (three seeds each, mean \pm s.d.). The grouped split eliminates shared-species overlap; the signal is unchanged."/>
      </w:tblPr>
      <w:tblGrid>
        <w:gridCol w:w="3267"/>
        <w:gridCol w:w="2223"/>
      </w:tblGrid>
      <w:tr w:rsidR="00E63AEC" w14:paraId="6A5CEF11" w14:textId="77777777" w:rsidTr="00E63AEC">
        <w:trPr>
          <w:cnfStyle w:val="100000000000" w:firstRow="1" w:lastRow="0" w:firstColumn="0" w:lastColumn="0" w:oddVBand="0" w:evenVBand="0" w:oddHBand="0" w:evenHBand="0" w:firstRowFirstColumn="0" w:firstRowLastColumn="0" w:lastRowFirstColumn="0" w:lastRowLastColumn="0"/>
          <w:tblHeader/>
        </w:trPr>
        <w:tc>
          <w:tcPr>
            <w:tcW w:w="0" w:type="auto"/>
          </w:tcPr>
          <w:p w14:paraId="63C4A0BB" w14:textId="77777777" w:rsidR="00E63AEC" w:rsidRDefault="00422001">
            <w:pPr>
              <w:pStyle w:val="Compact"/>
            </w:pPr>
            <w:r>
              <w:t>split</w:t>
            </w:r>
          </w:p>
        </w:tc>
        <w:tc>
          <w:tcPr>
            <w:tcW w:w="0" w:type="auto"/>
          </w:tcPr>
          <w:p w14:paraId="095704B9" w14:textId="77777777" w:rsidR="00E63AEC" w:rsidRDefault="00422001">
            <w:pPr>
              <w:pStyle w:val="Compact"/>
              <w:jc w:val="center"/>
            </w:pPr>
            <w:r>
              <w:t>non-reference drop</w:t>
            </w:r>
          </w:p>
        </w:tc>
      </w:tr>
      <w:tr w:rsidR="00E63AEC" w14:paraId="56FF7DF3" w14:textId="77777777">
        <w:tc>
          <w:tcPr>
            <w:tcW w:w="0" w:type="auto"/>
          </w:tcPr>
          <w:p w14:paraId="0A4C526B" w14:textId="77777777" w:rsidR="00E63AEC" w:rsidRDefault="00422001">
            <w:pPr>
              <w:pStyle w:val="Compact"/>
            </w:pPr>
            <w:r>
              <w:t>random (main text)</w:t>
            </w:r>
          </w:p>
        </w:tc>
        <w:tc>
          <w:tcPr>
            <w:tcW w:w="0" w:type="auto"/>
          </w:tcPr>
          <w:p w14:paraId="2D029449" w14:textId="77777777" w:rsidR="00E63AEC" w:rsidRDefault="00422001">
            <w:pPr>
              <w:pStyle w:val="Compact"/>
              <w:jc w:val="center"/>
            </w:pPr>
            <m:oMath>
              <m:r>
                <w:rPr>
                  <w:rFonts w:ascii="Cambria Math" w:hAnsi="Cambria Math"/>
                </w:rPr>
                <m:t>27.5</m:t>
              </m:r>
              <m:r>
                <m:rPr>
                  <m:sty m:val="p"/>
                </m:rPr>
                <w:rPr>
                  <w:rFonts w:ascii="Cambria Math" w:hAnsi="Cambria Math"/>
                </w:rPr>
                <m:t>±</m:t>
              </m:r>
              <m:r>
                <w:rPr>
                  <w:rFonts w:ascii="Cambria Math" w:hAnsi="Cambria Math"/>
                </w:rPr>
                <m:t>2.7</m:t>
              </m:r>
              <m:r>
                <m:rPr>
                  <m:sty m:val="p"/>
                </m:rPr>
                <w:rPr>
                  <w:rFonts w:ascii="Cambria Math" w:hAnsi="Cambria Math"/>
                </w:rPr>
                <m:t>%</m:t>
              </m:r>
            </m:oMath>
            <w:r>
              <w:t>​</w:t>
            </w:r>
          </w:p>
        </w:tc>
      </w:tr>
      <w:tr w:rsidR="00E63AEC" w14:paraId="03EE46FF" w14:textId="77777777">
        <w:tc>
          <w:tcPr>
            <w:tcW w:w="0" w:type="auto"/>
          </w:tcPr>
          <w:p w14:paraId="228FAD6B" w14:textId="77777777" w:rsidR="00E63AEC" w:rsidRDefault="00422001">
            <w:pPr>
              <w:pStyle w:val="Compact"/>
            </w:pPr>
            <w:r>
              <w:t>species-grouped (no leakage)</w:t>
            </w:r>
          </w:p>
        </w:tc>
        <w:tc>
          <w:tcPr>
            <w:tcW w:w="0" w:type="auto"/>
          </w:tcPr>
          <w:p w14:paraId="7CFCA90D" w14:textId="77777777" w:rsidR="00E63AEC" w:rsidRDefault="00422001">
            <w:pPr>
              <w:pStyle w:val="Compact"/>
              <w:jc w:val="center"/>
            </w:pPr>
            <m:oMath>
              <m:r>
                <w:rPr>
                  <w:rFonts w:ascii="Cambria Math" w:hAnsi="Cambria Math"/>
                </w:rPr>
                <m:t>28.5</m:t>
              </m:r>
              <m:r>
                <m:rPr>
                  <m:sty m:val="p"/>
                </m:rPr>
                <w:rPr>
                  <w:rFonts w:ascii="Cambria Math" w:hAnsi="Cambria Math"/>
                </w:rPr>
                <m:t>±</m:t>
              </m:r>
              <m:r>
                <w:rPr>
                  <w:rFonts w:ascii="Cambria Math" w:hAnsi="Cambria Math"/>
                </w:rPr>
                <m:t>2.9</m:t>
              </m:r>
              <m:r>
                <m:rPr>
                  <m:sty m:val="p"/>
                </m:rPr>
                <w:rPr>
                  <w:rFonts w:ascii="Cambria Math" w:hAnsi="Cambria Math"/>
                </w:rPr>
                <m:t>%</m:t>
              </m:r>
            </m:oMath>
            <w:r>
              <w:t>​</w:t>
            </w:r>
          </w:p>
        </w:tc>
      </w:tr>
    </w:tbl>
    <w:p w14:paraId="67264E12" w14:textId="77777777" w:rsidR="00E63AEC" w:rsidRDefault="00422001">
      <w:pPr>
        <w:pStyle w:val="Heading1"/>
      </w:pPr>
      <w:bookmarkStart w:id="13" w:name="all-atom-de-novo-baseline"/>
      <w:bookmarkEnd w:id="11"/>
      <w:bookmarkEnd w:id="12"/>
      <w:r>
        <w:t>All-atom de-novo baseline</w:t>
      </w:r>
    </w:p>
    <w:p w14:paraId="438DF389" w14:textId="77777777" w:rsidR="00E63AEC" w:rsidRDefault="00422001">
      <w:pPr>
        <w:pStyle w:val="FirstParagraph"/>
      </w:pPr>
      <w:r>
        <w:t xml:space="preserve">To place the </w:t>
      </w:r>
      <m:oMath>
        <m:r>
          <w:rPr>
            <w:rFonts w:ascii="Cambria Math" w:hAnsi="Cambria Math"/>
          </w:rPr>
          <m:t>0</m:t>
        </m:r>
        <m:r>
          <m:rPr>
            <m:sty m:val="p"/>
          </m:rPr>
          <w:rPr>
            <w:rFonts w:ascii="Cambria Math" w:hAnsi="Cambria Math"/>
          </w:rPr>
          <m:t>%</m:t>
        </m:r>
      </m:oMath>
      <w:r>
        <w:t xml:space="preserve"> end-to-end rigid-body result in context, we trained an all-atom control that discards the rigid-body factorization: every atom is its own block and the orientation head is disabled (</w:t>
      </w:r>
      <m:oMath>
        <m:sSub>
          <m:sSubPr>
            <m:ctrlPr>
              <w:rPr>
                <w:rFonts w:ascii="Cambria Math" w:hAnsi="Cambria Math"/>
              </w:rPr>
            </m:ctrlPr>
          </m:sSubPr>
          <m:e>
            <m:r>
              <w:rPr>
                <w:rFonts w:ascii="Cambria Math" w:hAnsi="Cambria Math"/>
              </w:rPr>
              <m:t>λ</m:t>
            </m:r>
          </m:e>
          <m:sub>
            <m:r>
              <m:rPr>
                <m:nor/>
              </m:rPr>
              <m:t>orient</m:t>
            </m:r>
          </m:sub>
        </m:sSub>
        <m:r>
          <m:rPr>
            <m:sty m:val="p"/>
          </m:rPr>
          <w:rPr>
            <w:rFonts w:ascii="Cambria Math" w:hAnsi="Cambria Math"/>
          </w:rPr>
          <m:t>=</m:t>
        </m:r>
        <m:r>
          <w:rPr>
            <w:rFonts w:ascii="Cambria Math" w:hAnsi="Cambria Math"/>
          </w:rPr>
          <m:t>0</m:t>
        </m:r>
      </m:oMath>
      <w:r>
        <w:t>), the representation used by all-atom molecular-crystal generators</w:t>
      </w:r>
      <w:r>
        <w:rPr>
          <w:vertAlign w:val="superscript"/>
        </w:rPr>
        <w:t>4,5</w:t>
      </w:r>
      <w:r>
        <w:t xml:space="preserve">. It is trained on the same </w:t>
      </w:r>
      <m:oMath>
        <m:r>
          <w:rPr>
            <w:rFonts w:ascii="Cambria Math" w:hAnsi="Cambria Math"/>
          </w:rPr>
          <m:t>964</m:t>
        </m:r>
        <m:r>
          <m:rPr>
            <m:sty m:val="p"/>
          </m:rPr>
          <w:rPr>
            <w:rFonts w:ascii="Cambria Math" w:hAnsi="Cambria Math"/>
          </w:rPr>
          <m:t>/</m:t>
        </m:r>
        <m:r>
          <w:rPr>
            <w:rFonts w:ascii="Cambria Math" w:hAnsi="Cambria Math"/>
          </w:rPr>
          <m:t>131</m:t>
        </m:r>
      </m:oMath>
      <w:r>
        <w:t xml:space="preserve"> </w:t>
      </w:r>
      <w:r>
        <w:t xml:space="preserve">split and evaluated for de-novo reconstruction (all manifolds sampled from the prior) against both a random-prior floor and the trained field, with match@20 best-of-twenty draws. Its lattice and centroid heads train normally (an </w:t>
      </w:r>
      <m:oMath>
        <m:r>
          <w:rPr>
            <w:rFonts w:ascii="Cambria Math" w:hAnsi="Cambria Math"/>
          </w:rPr>
          <m:t>88</m:t>
        </m:r>
        <m:r>
          <m:rPr>
            <m:sty m:val="p"/>
          </m:rPr>
          <w:rPr>
            <w:rFonts w:ascii="Cambria Math" w:hAnsi="Cambria Math"/>
          </w:rPr>
          <m:t>%</m:t>
        </m:r>
      </m:oMath>
      <w:r>
        <w:t xml:space="preserve"> drop in flow-matching loss over </w:t>
      </w:r>
      <m:oMath>
        <m:r>
          <w:rPr>
            <w:rFonts w:ascii="Cambria Math" w:hAnsi="Cambria Math"/>
          </w:rPr>
          <m:t>8</m:t>
        </m:r>
        <m:r>
          <m:rPr>
            <m:sty m:val="p"/>
          </m:rPr>
          <w:rPr>
            <w:rFonts w:ascii="Cambria Math" w:hAnsi="Cambria Math"/>
          </w:rPr>
          <m:t>,</m:t>
        </m:r>
        <m:r>
          <w:rPr>
            <w:rFonts w:ascii="Cambria Math" w:hAnsi="Cambria Math"/>
          </w:rPr>
          <m:t>000</m:t>
        </m:r>
      </m:oMath>
      <w:r>
        <w:t xml:space="preserve"> steps), yet it reconstructs no held-out crystal exactly: match@1 and match@20 are both </w:t>
      </w:r>
      <m:oMath>
        <m:r>
          <w:rPr>
            <w:rFonts w:ascii="Cambria Math" w:hAnsi="Cambria Math"/>
          </w:rPr>
          <m:t>0</m:t>
        </m:r>
        <m:r>
          <m:rPr>
            <m:sty m:val="p"/>
          </m:rPr>
          <w:rPr>
            <w:rFonts w:ascii="Cambria Math" w:hAnsi="Cambria Math"/>
          </w:rPr>
          <m:t>%</m:t>
        </m:r>
      </m:oMath>
      <w:r>
        <w:t xml:space="preserve"> (Wilson </w:t>
      </w:r>
      <m:oMath>
        <m:r>
          <w:rPr>
            <w:rFonts w:ascii="Cambria Math" w:hAnsi="Cambria Math"/>
          </w:rPr>
          <m:t>95</m:t>
        </m:r>
        <m:r>
          <m:rPr>
            <m:sty m:val="p"/>
          </m:rPr>
          <w:rPr>
            <w:rFonts w:ascii="Cambria Math" w:hAnsi="Cambria Math"/>
          </w:rPr>
          <m:t>%</m:t>
        </m:r>
      </m:oMath>
      <w:r>
        <w:t xml:space="preserve"> CI </w:t>
      </w:r>
      <m:oMath>
        <m:r>
          <w:rPr>
            <w:rFonts w:ascii="Cambria Math" w:hAnsi="Cambria Math"/>
          </w:rPr>
          <m:t>0</m:t>
        </m:r>
      </m:oMath>
      <w:r>
        <w:t>–</w:t>
      </w:r>
      <m:oMath>
        <m:r>
          <w:rPr>
            <w:rFonts w:ascii="Cambria Math" w:hAnsi="Cambria Math"/>
          </w:rPr>
          <m:t>2.8</m:t>
        </m:r>
        <m:r>
          <m:rPr>
            <m:sty m:val="p"/>
          </m:rPr>
          <w:rPr>
            <w:rFonts w:ascii="Cambria Math" w:hAnsi="Cambria Math"/>
          </w:rPr>
          <m:t>%</m:t>
        </m:r>
      </m:oMath>
      <w:r>
        <w:t xml:space="preserve">, </w:t>
      </w:r>
      <m:oMath>
        <m:r>
          <w:rPr>
            <w:rFonts w:ascii="Cambria Math" w:hAnsi="Cambria Math"/>
          </w:rPr>
          <m:t>n</m:t>
        </m:r>
        <m:r>
          <m:rPr>
            <m:sty m:val="p"/>
          </m:rPr>
          <w:rPr>
            <w:rFonts w:ascii="Cambria Math" w:hAnsi="Cambria Math"/>
          </w:rPr>
          <m:t>=</m:t>
        </m:r>
        <m:r>
          <w:rPr>
            <w:rFonts w:ascii="Cambria Math" w:hAnsi="Cambria Math"/>
          </w:rPr>
          <m:t>131</m:t>
        </m:r>
      </m:oMath>
      <w:r>
        <w:t>), identical to the random-prior floor (Table </w:t>
      </w:r>
      <w:hyperlink w:anchor="tab:allatom">
        <w:r>
          <w:rPr>
            <w:rStyle w:val="Hyperlink"/>
          </w:rPr>
          <w:t>5</w:t>
        </w:r>
      </w:hyperlink>
      <w:r>
        <w:t xml:space="preserve">). End-to-end molecular-crystal reconstruction at this corpus scale is therefore out of reach for the all-atom representation as well, so the </w:t>
      </w:r>
      <m:oMath>
        <m:r>
          <w:rPr>
            <w:rFonts w:ascii="Cambria Math" w:hAnsi="Cambria Math"/>
          </w:rPr>
          <m:t>0</m:t>
        </m:r>
        <m:r>
          <m:rPr>
            <m:sty m:val="p"/>
          </m:rPr>
          <w:rPr>
            <w:rFonts w:ascii="Cambria Math" w:hAnsi="Cambria Math"/>
          </w:rPr>
          <m:t>%</m:t>
        </m:r>
      </m:oMath>
      <w:r>
        <w:t xml:space="preserve"> reported for rigid-body generation reflects the corpus scale and compute budget rather than a deficiency unique to the rigid-body factorization. This is our own all-atom flow at the thousand-crystal scale, not one of the published all-atom generators</w:t>
      </w:r>
      <w:r>
        <w:rPr>
          <w:vertAlign w:val="superscript"/>
        </w:rPr>
        <w:t>4,5</w:t>
      </w:r>
      <w:r>
        <w:t xml:space="preserve"> trained on far larger corpora; it isolates the effect of the representation at a fixed scale and </w:t>
      </w:r>
      <w:r>
        <w:t>makes no claim about those larger models.</w:t>
      </w:r>
    </w:p>
    <w:p w14:paraId="37C4B74C" w14:textId="77777777" w:rsidR="00E63AEC" w:rsidRDefault="00422001">
      <w:pPr>
        <w:pStyle w:val="BodyText"/>
      </w:pPr>
      <w:r>
        <w:t xml:space="preserve">The best-of-twenty packing-component errors confirm the failure is the same joint packing that bottlenecks the rigid-body model, not a representation-specific pathology: the trained all-atom flow leaves a median lattice-parameter error of </w:t>
      </w:r>
      <m:oMath>
        <m:r>
          <w:rPr>
            <w:rFonts w:ascii="Cambria Math" w:hAnsi="Cambria Math"/>
          </w:rPr>
          <m:t>0.33</m:t>
        </m:r>
      </m:oMath>
      <w:r>
        <w:t xml:space="preserve"> and a median fractional-coordinate error of </w:t>
      </w:r>
      <m:oMath>
        <m:r>
          <w:rPr>
            <w:rFonts w:ascii="Cambria Math" w:hAnsi="Cambria Math"/>
          </w:rPr>
          <m:t>0.46</m:t>
        </m:r>
      </m:oMath>
      <w:r>
        <w:t xml:space="preserve"> (Table </w:t>
      </w:r>
      <w:hyperlink w:anchor="tab:allatom">
        <w:r>
          <w:rPr>
            <w:rStyle w:val="Hyperlink"/>
          </w:rPr>
          <w:t>5</w:t>
        </w:r>
      </w:hyperlink>
      <w:r>
        <w:t xml:space="preserve">), comparable to the rigid-body de-novo errors reported in the main text (lattice </w:t>
      </w:r>
      <m:oMath>
        <m:r>
          <w:rPr>
            <w:rFonts w:ascii="Cambria Math" w:hAnsi="Cambria Math"/>
          </w:rPr>
          <m:t>0.46</m:t>
        </m:r>
      </m:oMath>
      <w:r>
        <w:t xml:space="preserve">, centroid </w:t>
      </w:r>
      <m:oMath>
        <m:r>
          <w:rPr>
            <w:rFonts w:ascii="Cambria Math" w:hAnsi="Cambria Math"/>
          </w:rPr>
          <m:t>0.35</m:t>
        </m:r>
      </m:oMath>
      <w:r>
        <w:t>). Both representations place molecules roughly a third to a half of a cell from their true positions, which is why neither reconstructs a crystal exactly.</w:t>
      </w:r>
    </w:p>
    <w:p w14:paraId="10B8A100" w14:textId="77777777" w:rsidR="00E63AEC" w:rsidRDefault="00422001">
      <w:pPr>
        <w:pStyle w:val="TableCaption"/>
      </w:pPr>
      <w:bookmarkStart w:id="14" w:name="tab:allatom"/>
      <w:r>
        <w:t xml:space="preserve">De-novo all-atom reconstruction on </w:t>
      </w:r>
      <m:oMath>
        <m:r>
          <w:rPr>
            <w:rFonts w:ascii="Cambria Math" w:hAnsi="Cambria Math"/>
          </w:rPr>
          <m:t>131</m:t>
        </m:r>
      </m:oMath>
      <w:r>
        <w:t xml:space="preserve"> held-out crystals (all manifolds sampled, best of twenty draws). The trained all-atom flow does not beat its random-prior floor at this corpus scale, despite its packing heads training normally, and its best-of-twenty packing errors match the rigid-body model’s.</w:t>
      </w:r>
    </w:p>
    <w:tbl>
      <w:tblPr>
        <w:tblStyle w:val="Table"/>
        <w:tblW w:w="0" w:type="auto"/>
        <w:tblLook w:val="0020" w:firstRow="1" w:lastRow="0" w:firstColumn="0" w:lastColumn="0" w:noHBand="0" w:noVBand="0"/>
        <w:tblCaption w:val="De-novo all-atom reconstruction on 131 held-out crystals (all manifolds sampled, best of twenty draws). The trained all-atom flow does not beat its random-prior floor at this corpus scale, despite its packing heads training normally, and its best-of-twenty packing errors match the rigid-body model’s."/>
      </w:tblPr>
      <w:tblGrid>
        <w:gridCol w:w="2366"/>
        <w:gridCol w:w="1227"/>
        <w:gridCol w:w="1356"/>
        <w:gridCol w:w="2211"/>
        <w:gridCol w:w="1997"/>
      </w:tblGrid>
      <w:tr w:rsidR="00E63AEC" w14:paraId="5F1A8B21" w14:textId="77777777" w:rsidTr="00E63AEC">
        <w:trPr>
          <w:cnfStyle w:val="100000000000" w:firstRow="1" w:lastRow="0" w:firstColumn="0" w:lastColumn="0" w:oddVBand="0" w:evenVBand="0" w:oddHBand="0" w:evenHBand="0" w:firstRowFirstColumn="0" w:firstRowLastColumn="0" w:lastRowFirstColumn="0" w:lastRowLastColumn="0"/>
          <w:tblHeader/>
        </w:trPr>
        <w:tc>
          <w:tcPr>
            <w:tcW w:w="0" w:type="auto"/>
          </w:tcPr>
          <w:p w14:paraId="16052DEE" w14:textId="77777777" w:rsidR="00E63AEC" w:rsidRDefault="00422001">
            <w:pPr>
              <w:pStyle w:val="Compact"/>
            </w:pPr>
            <w:r>
              <w:t>field</w:t>
            </w:r>
          </w:p>
        </w:tc>
        <w:tc>
          <w:tcPr>
            <w:tcW w:w="0" w:type="auto"/>
          </w:tcPr>
          <w:p w14:paraId="5FBFCE63" w14:textId="77777777" w:rsidR="00E63AEC" w:rsidRDefault="00422001">
            <w:pPr>
              <w:pStyle w:val="Compact"/>
              <w:jc w:val="center"/>
            </w:pPr>
            <w:r>
              <w:t>match@1</w:t>
            </w:r>
          </w:p>
        </w:tc>
        <w:tc>
          <w:tcPr>
            <w:tcW w:w="0" w:type="auto"/>
          </w:tcPr>
          <w:p w14:paraId="5C5D9E61" w14:textId="77777777" w:rsidR="00E63AEC" w:rsidRDefault="00422001">
            <w:pPr>
              <w:pStyle w:val="Compact"/>
              <w:jc w:val="center"/>
            </w:pPr>
            <w:r>
              <w:t>match@20</w:t>
            </w:r>
          </w:p>
        </w:tc>
        <w:tc>
          <w:tcPr>
            <w:tcW w:w="0" w:type="auto"/>
          </w:tcPr>
          <w:p w14:paraId="0E91D718" w14:textId="77777777" w:rsidR="00E63AEC" w:rsidRDefault="00422001">
            <w:pPr>
              <w:pStyle w:val="Compact"/>
              <w:jc w:val="center"/>
            </w:pPr>
            <w:r>
              <w:t>med. lattice-param</w:t>
            </w:r>
          </w:p>
        </w:tc>
        <w:tc>
          <w:tcPr>
            <w:tcW w:w="0" w:type="auto"/>
          </w:tcPr>
          <w:p w14:paraId="0BF55DC2" w14:textId="77777777" w:rsidR="00E63AEC" w:rsidRDefault="00422001">
            <w:pPr>
              <w:pStyle w:val="Compact"/>
              <w:jc w:val="center"/>
            </w:pPr>
            <w:r>
              <w:t>med. frac. coord.</w:t>
            </w:r>
          </w:p>
        </w:tc>
      </w:tr>
      <w:tr w:rsidR="00E63AEC" w14:paraId="3932F632" w14:textId="77777777">
        <w:tc>
          <w:tcPr>
            <w:tcW w:w="0" w:type="auto"/>
          </w:tcPr>
          <w:p w14:paraId="18585EE9" w14:textId="77777777" w:rsidR="00E63AEC" w:rsidRDefault="00422001">
            <w:pPr>
              <w:pStyle w:val="Compact"/>
            </w:pPr>
            <w:r>
              <w:t>random prior (floor)</w:t>
            </w:r>
          </w:p>
        </w:tc>
        <w:tc>
          <w:tcPr>
            <w:tcW w:w="0" w:type="auto"/>
          </w:tcPr>
          <w:p w14:paraId="113DD608" w14:textId="77777777" w:rsidR="00E63AEC" w:rsidRDefault="00422001">
            <w:pPr>
              <w:pStyle w:val="Compact"/>
              <w:jc w:val="center"/>
            </w:pPr>
            <m:oMath>
              <m:r>
                <w:rPr>
                  <w:rFonts w:ascii="Cambria Math" w:hAnsi="Cambria Math"/>
                </w:rPr>
                <m:t>0.0</m:t>
              </m:r>
              <m:r>
                <m:rPr>
                  <m:sty m:val="p"/>
                </m:rPr>
                <w:rPr>
                  <w:rFonts w:ascii="Cambria Math" w:hAnsi="Cambria Math"/>
                </w:rPr>
                <m:t>%</m:t>
              </m:r>
            </m:oMath>
            <w:r>
              <w:t>​</w:t>
            </w:r>
          </w:p>
        </w:tc>
        <w:tc>
          <w:tcPr>
            <w:tcW w:w="0" w:type="auto"/>
          </w:tcPr>
          <w:p w14:paraId="0C48AC07" w14:textId="77777777" w:rsidR="00E63AEC" w:rsidRDefault="00422001">
            <w:pPr>
              <w:pStyle w:val="Compact"/>
              <w:jc w:val="center"/>
            </w:pPr>
            <m:oMath>
              <m:r>
                <w:rPr>
                  <w:rFonts w:ascii="Cambria Math" w:hAnsi="Cambria Math"/>
                </w:rPr>
                <m:t>0.0</m:t>
              </m:r>
              <m:r>
                <m:rPr>
                  <m:sty m:val="p"/>
                </m:rPr>
                <w:rPr>
                  <w:rFonts w:ascii="Cambria Math" w:hAnsi="Cambria Math"/>
                </w:rPr>
                <m:t>%</m:t>
              </m:r>
            </m:oMath>
            <w:r>
              <w:t>​</w:t>
            </w:r>
          </w:p>
        </w:tc>
        <w:tc>
          <w:tcPr>
            <w:tcW w:w="0" w:type="auto"/>
          </w:tcPr>
          <w:p w14:paraId="5AFC4815" w14:textId="77777777" w:rsidR="00E63AEC" w:rsidRDefault="00422001">
            <w:pPr>
              <w:pStyle w:val="Compact"/>
              <w:jc w:val="center"/>
            </w:pPr>
            <w:r>
              <w:t>—</w:t>
            </w:r>
          </w:p>
        </w:tc>
        <w:tc>
          <w:tcPr>
            <w:tcW w:w="0" w:type="auto"/>
          </w:tcPr>
          <w:p w14:paraId="1B6628AB" w14:textId="77777777" w:rsidR="00E63AEC" w:rsidRDefault="00422001">
            <w:pPr>
              <w:pStyle w:val="Compact"/>
              <w:jc w:val="center"/>
            </w:pPr>
            <w:r>
              <w:t>—</w:t>
            </w:r>
          </w:p>
        </w:tc>
      </w:tr>
      <w:tr w:rsidR="00E63AEC" w14:paraId="448000C3" w14:textId="77777777">
        <w:tc>
          <w:tcPr>
            <w:tcW w:w="0" w:type="auto"/>
          </w:tcPr>
          <w:p w14:paraId="731BC057" w14:textId="77777777" w:rsidR="00E63AEC" w:rsidRDefault="00422001">
            <w:pPr>
              <w:pStyle w:val="Compact"/>
            </w:pPr>
            <w:r>
              <w:t>trained all-atom flow</w:t>
            </w:r>
          </w:p>
        </w:tc>
        <w:tc>
          <w:tcPr>
            <w:tcW w:w="0" w:type="auto"/>
          </w:tcPr>
          <w:p w14:paraId="0AAEC431" w14:textId="77777777" w:rsidR="00E63AEC" w:rsidRDefault="00422001">
            <w:pPr>
              <w:pStyle w:val="Compact"/>
              <w:jc w:val="center"/>
            </w:pPr>
            <m:oMath>
              <m:r>
                <w:rPr>
                  <w:rFonts w:ascii="Cambria Math" w:hAnsi="Cambria Math"/>
                </w:rPr>
                <m:t>0.0</m:t>
              </m:r>
              <m:r>
                <m:rPr>
                  <m:sty m:val="p"/>
                </m:rPr>
                <w:rPr>
                  <w:rFonts w:ascii="Cambria Math" w:hAnsi="Cambria Math"/>
                </w:rPr>
                <m:t>%</m:t>
              </m:r>
            </m:oMath>
            <w:r>
              <w:t>​</w:t>
            </w:r>
          </w:p>
        </w:tc>
        <w:tc>
          <w:tcPr>
            <w:tcW w:w="0" w:type="auto"/>
          </w:tcPr>
          <w:p w14:paraId="6DA94591" w14:textId="77777777" w:rsidR="00E63AEC" w:rsidRDefault="00422001">
            <w:pPr>
              <w:pStyle w:val="Compact"/>
              <w:jc w:val="center"/>
            </w:pPr>
            <m:oMath>
              <m:r>
                <w:rPr>
                  <w:rFonts w:ascii="Cambria Math" w:hAnsi="Cambria Math"/>
                </w:rPr>
                <m:t>0.0</m:t>
              </m:r>
              <m:r>
                <m:rPr>
                  <m:sty m:val="p"/>
                </m:rPr>
                <w:rPr>
                  <w:rFonts w:ascii="Cambria Math" w:hAnsi="Cambria Math"/>
                </w:rPr>
                <m:t>%</m:t>
              </m:r>
            </m:oMath>
            <w:r>
              <w:t>​</w:t>
            </w:r>
          </w:p>
        </w:tc>
        <w:tc>
          <w:tcPr>
            <w:tcW w:w="0" w:type="auto"/>
          </w:tcPr>
          <w:p w14:paraId="11DECD9B" w14:textId="77777777" w:rsidR="00E63AEC" w:rsidRDefault="00422001">
            <w:pPr>
              <w:pStyle w:val="Compact"/>
              <w:jc w:val="center"/>
            </w:pPr>
            <m:oMath>
              <m:r>
                <w:rPr>
                  <w:rFonts w:ascii="Cambria Math" w:hAnsi="Cambria Math"/>
                </w:rPr>
                <m:t>0.33</m:t>
              </m:r>
            </m:oMath>
            <w:r>
              <w:t>​</w:t>
            </w:r>
          </w:p>
        </w:tc>
        <w:tc>
          <w:tcPr>
            <w:tcW w:w="0" w:type="auto"/>
          </w:tcPr>
          <w:p w14:paraId="2B826596" w14:textId="77777777" w:rsidR="00E63AEC" w:rsidRDefault="00422001">
            <w:pPr>
              <w:pStyle w:val="Compact"/>
              <w:jc w:val="center"/>
            </w:pPr>
            <m:oMath>
              <m:r>
                <w:rPr>
                  <w:rFonts w:ascii="Cambria Math" w:hAnsi="Cambria Math"/>
                </w:rPr>
                <m:t>0.46</m:t>
              </m:r>
            </m:oMath>
            <w:r>
              <w:t>​</w:t>
            </w:r>
          </w:p>
        </w:tc>
      </w:tr>
    </w:tbl>
    <w:p w14:paraId="7DAA0770" w14:textId="77777777" w:rsidR="00E63AEC" w:rsidRDefault="00422001">
      <w:pPr>
        <w:pStyle w:val="Bibliography"/>
      </w:pPr>
      <w:bookmarkStart w:id="15" w:name="ref-jiao2023diffcsp"/>
      <w:bookmarkStart w:id="16" w:name="refs"/>
      <w:bookmarkEnd w:id="14"/>
      <w:r>
        <w:t xml:space="preserve">1 </w:t>
      </w:r>
      <w:r>
        <w:tab/>
        <w:t xml:space="preserve">R. Jiao, W. Huang, P. Lin, J. Han, P. Chen, Y. Lu and Y. Liu, in </w:t>
      </w:r>
      <w:r>
        <w:rPr>
          <w:i/>
          <w:iCs/>
        </w:rPr>
        <w:t>Advances in neural information processing systems (NeurIPS)</w:t>
      </w:r>
      <w:r>
        <w:t>, 2023.</w:t>
      </w:r>
    </w:p>
    <w:p w14:paraId="7EEC4247" w14:textId="77777777" w:rsidR="00E63AEC" w:rsidRDefault="00422001">
      <w:pPr>
        <w:pStyle w:val="Bibliography"/>
      </w:pPr>
      <w:bookmarkStart w:id="17" w:name="ref-ong2013pymatgen"/>
      <w:bookmarkEnd w:id="15"/>
      <w:r>
        <w:t xml:space="preserve">2 </w:t>
      </w:r>
      <w:r>
        <w:tab/>
      </w:r>
      <w:hyperlink r:id="rId6">
        <w:r>
          <w:rPr>
            <w:rStyle w:val="Hyperlink"/>
          </w:rPr>
          <w:t xml:space="preserve">S. P. Ong, W. D. Richards, A. Jain, G. Hautier, M. Kocher, S. Cholia, D. Gunter, V. L. Chevrier, K. A. Persson and G. Ceder, </w:t>
        </w:r>
        <w:r>
          <w:rPr>
            <w:rStyle w:val="Hyperlink"/>
            <w:i/>
            <w:iCs/>
          </w:rPr>
          <w:t>Computational Materials Science</w:t>
        </w:r>
        <w:r>
          <w:rPr>
            <w:rStyle w:val="Hyperlink"/>
          </w:rPr>
          <w:t xml:space="preserve">, 2013, </w:t>
        </w:r>
        <w:r>
          <w:rPr>
            <w:rStyle w:val="Hyperlink"/>
            <w:b/>
            <w:bCs/>
          </w:rPr>
          <w:t>68</w:t>
        </w:r>
        <w:r>
          <w:rPr>
            <w:rStyle w:val="Hyperlink"/>
          </w:rPr>
          <w:t>, 314–319</w:t>
        </w:r>
      </w:hyperlink>
      <w:r>
        <w:t>.</w:t>
      </w:r>
    </w:p>
    <w:p w14:paraId="48B7A1E4" w14:textId="77777777" w:rsidR="00E63AEC" w:rsidRDefault="00422001">
      <w:pPr>
        <w:pStyle w:val="Bibliography"/>
      </w:pPr>
      <w:bookmarkStart w:id="18" w:name="ref-martirossyan2025matching"/>
      <w:bookmarkEnd w:id="17"/>
      <w:r>
        <w:t xml:space="preserve">3 </w:t>
      </w:r>
      <w:r>
        <w:tab/>
      </w:r>
      <w:r>
        <w:t xml:space="preserve">M. M. Martirossyan, T. Egg, P. Hoellmer, G. Karypis, M. Transtrum, A. Roitberg, M. Liu, R. G. Hennig, E. B. Tadmor and S. Martiniani, </w:t>
      </w:r>
      <w:r>
        <w:rPr>
          <w:i/>
          <w:iCs/>
        </w:rPr>
        <w:t>arXiv preprint arXiv:2509.12178</w:t>
      </w:r>
      <w:r>
        <w:t>.</w:t>
      </w:r>
    </w:p>
    <w:p w14:paraId="47CA8AA9" w14:textId="77777777" w:rsidR="00E63AEC" w:rsidRDefault="00422001">
      <w:pPr>
        <w:pStyle w:val="Bibliography"/>
      </w:pPr>
      <w:bookmarkStart w:id="19" w:name="ref-jin2025oxtal"/>
      <w:bookmarkEnd w:id="18"/>
      <w:r>
        <w:t xml:space="preserve">4 </w:t>
      </w:r>
      <w:r>
        <w:tab/>
        <w:t xml:space="preserve">E. Jin, A. C. Nica, M. Galkin and others, </w:t>
      </w:r>
      <w:r>
        <w:rPr>
          <w:i/>
          <w:iCs/>
        </w:rPr>
        <w:t>arXiv preprint arXiv:2512.06987</w:t>
      </w:r>
      <w:r>
        <w:t>.</w:t>
      </w:r>
    </w:p>
    <w:p w14:paraId="40363F46" w14:textId="77777777" w:rsidR="00E63AEC" w:rsidRDefault="00422001">
      <w:pPr>
        <w:pStyle w:val="Bibliography"/>
      </w:pPr>
      <w:bookmarkStart w:id="20" w:name="ref-subramanian2026packflow"/>
      <w:bookmarkEnd w:id="19"/>
      <w:r>
        <w:t xml:space="preserve">5 </w:t>
      </w:r>
      <w:r>
        <w:tab/>
        <w:t xml:space="preserve">A. Subramanian, E. Pan, J. Nam, M. Weiler, S. Qu, C. W. Park, T. S. Jaakkola, E. Olivetti and R. Gomez-Bombarelli, </w:t>
      </w:r>
      <w:r>
        <w:rPr>
          <w:i/>
          <w:iCs/>
        </w:rPr>
        <w:t>arXiv preprint arXiv:2602.20140</w:t>
      </w:r>
      <w:r>
        <w:t>.</w:t>
      </w:r>
      <w:bookmarkEnd w:id="13"/>
      <w:bookmarkEnd w:id="16"/>
      <w:bookmarkEnd w:id="20"/>
    </w:p>
    <w:sectPr w:rsidR="00E63AE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1E2C0C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611283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63AEC"/>
    <w:rsid w:val="00140A45"/>
    <w:rsid w:val="00422001"/>
    <w:rsid w:val="00726575"/>
    <w:rsid w:val="00E63A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9A435"/>
  <w15:docId w15:val="{B562BED1-8056-466D-8896-63347C67F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16/j.commatsci.2012.10.028"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1857</Words>
  <Characters>10589</Characters>
  <Application>Microsoft Office Word</Application>
  <DocSecurity>0</DocSecurity>
  <Lines>88</Lines>
  <Paragraphs>24</Paragraphs>
  <ScaleCrop>false</ScaleCrop>
  <Company/>
  <LinksUpToDate>false</LinksUpToDate>
  <CharactersWithSpaces>12422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Information: What an SO(3) orientation flow can and cannot learn in molecular-crystal structure prediction</dc:title>
  <dc:creator>Frank Cai</dc:creator>
  <cp:keywords/>
  <cp:lastModifiedBy>Frank Cai</cp:lastModifiedBy>
  <cp:revision>2</cp:revision>
  <dcterms:created xsi:type="dcterms:W3CDTF">2026-07-14T00:35:00Z</dcterms:created>
  <dcterms:modified xsi:type="dcterms:W3CDTF">2026-07-14T00:35:00Z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rsc.csl</vt:lpwstr>
  </property>
  <property fmtid="{D5CDD505-2E9C-101B-9397-08002B2CF9AE}" pid="4" name="date">
    <vt:lpwstr/>
  </property>
</Properties>
</file>