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0" w:line="480" w:lineRule="auto"/>
      </w:pPr>
      <w:r>
        <w:t xml:space="preserve">Fully Symmetry-Conditioned Rigid-Body Flow Matching for</w:t>
      </w:r>
      <w:r>
        <w:t xml:space="preserve"> </w:t>
      </w:r>
      <w:r>
        <w:t xml:space="preserve">Molecular-Crystal Structure Prediction</w:t>
      </w:r>
    </w:p>
    <w:p>
      <w:pPr>
        <w:pStyle w:val="Author"/>
        <w:spacing w:before="0" w:after="0" w:line="480" w:lineRule="auto"/>
      </w:pPr>
      <w:r>
        <w:t xml:space="preserve">Frank Cai</w:t>
      </w:r>
      <w:r>
        <w:br/>
      </w:r>
      <w:r>
        <w:t xml:space="preserve">Purdue University, West Lafayette, Indiana 47907, United States</w:t>
      </w:r>
      <w:r>
        <w:br/>
      </w:r>
      <w:r>
        <w:t xml:space="preserve">frankyc11223@gmail.com</w:t>
      </w:r>
    </w:p>
    <w:p>
      <w:pPr>
        <w:pStyle w:val="Heading1"/>
        <w:spacing w:before="0" w:after="0" w:line="480" w:lineRule="auto"/>
      </w:pPr>
      <w:r>
        <w:t xml:space="preserve">Abstract</w:t>
      </w:r>
    </w:p>
    <w:p>
      <w:pPr>
        <w:spacing w:before="0" w:after="0" w:line="480" w:lineRule="auto"/>
      </w:pPr>
      <w:r>
        <w:t xml:space="preserve">Rigid-body flow matching reduces molecular-crystal structure prediction to a</w:t>
      </w:r>
      <w:r>
        <w:t xml:space="preserve"> </w:t>
      </w:r>
      <w:r>
        <w:t xml:space="preserve">lattice, fractional centroids, and per-molecule orientations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current rigid-body molecular-crystal generators leave crystallographic</w:t>
      </w:r>
      <w:r>
        <w:t xml:space="preserve"> </w:t>
      </w:r>
      <w:r>
        <w:t xml:space="preserve">symmetry unconditioned, and symmetry-conditioned generation has been demonstrated</w:t>
      </w:r>
      <w:r>
        <w:t xml:space="preserve"> </w:t>
      </w:r>
      <w:r>
        <w:t xml:space="preserve">only for inorganic atomic sites. We show that the per-molecule orientation target</w:t>
      </w:r>
      <w:r>
        <w:t xml:space="preserve"> </w:t>
      </w:r>
      <w:r>
        <w:t xml:space="preserve">factorizes as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into a</w:t>
      </w:r>
      <w:r>
        <w:t xml:space="preserve"> </w:t>
      </w:r>
      <w:r>
        <w:t xml:space="preserve">space-group-determined relative rotation, which a flow learns, and a gauge-free</w:t>
      </w:r>
      <w:r>
        <w:t xml:space="preserve"> </w:t>
      </w:r>
      <w:r>
        <w:t xml:space="preserve">asymmetric-unit pose, which it cannot regress from packing. We turn this into a</w:t>
      </w:r>
      <w:r>
        <w:t xml:space="preserve"> </w:t>
      </w:r>
      <w:r>
        <w:t xml:space="preserve">deployable method: a leak-free coset label—the generating space-group</w:t>
      </w:r>
      <w:r>
        <w:t xml:space="preserve"> </w:t>
      </w:r>
      <w:r>
        <w:t xml:space="preserve">operation, recoverable from a symmetry template at sampling time—conditions the</w:t>
      </w:r>
      <w:r>
        <w:t xml:space="preserve"> </w:t>
      </w:r>
      <w:r>
        <w:t xml:space="preserve">orientation flow. On Cambridge Structural Database crystals, deployable coset</w:t>
      </w:r>
      <w:r>
        <w:t xml:space="preserve"> </w:t>
      </w:r>
      <w:r>
        <w:t xml:space="preserve">conditioning lifts the held-out non-reference orientation loss by</w:t>
      </w:r>
      <w:r>
        <w:t xml:space="preserve"> </w:t>
      </w:r>
      <m:oMath>
        <m:r>
          <m:t>41.1</m:t>
        </m:r>
        <m:r>
          <m:rPr>
            <m:sty m:val="p"/>
          </m:rPr>
          <m:t>%</m:t>
        </m:r>
      </m:oMath>
      <w:r>
        <w:t xml:space="preserve"> </w:t>
      </w:r>
      <w:r>
        <w:t xml:space="preserve">(versus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for a paired control), two-thirds of the way to a leaky-codebook oracle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t>48</m:t>
        </m:r>
        <m:r>
          <m:rPr>
            <m:sty m:val="p"/>
          </m:rPr>
          <m:t>%</m:t>
        </m:r>
      </m:oMath>
      <w:r>
        <w:t xml:space="preserve">);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closes the gap (</w:t>
      </w:r>
      <m:oMath>
        <m:r>
          <m:t>47.7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Supplying the coset at generation collapses the end-to-end orientation error</w:t>
      </w:r>
      <w:r>
        <w:t xml:space="preserve"> </w:t>
      </w:r>
      <w:r>
        <w:t xml:space="preserve">sevenfold (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the advantage widens with data.</w:t>
      </w:r>
      <w:r>
        <w:t xml:space="preserve"> </w:t>
      </w:r>
      <w:r>
        <w:t xml:space="preserve">Extending symmetry conditioning to the lattice—a crystal-family mask on an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-invariant log-metric parametrization—gives, to our knowledge, the</w:t>
      </w:r>
      <w:r>
        <w:t xml:space="preserve"> </w:t>
      </w:r>
      <w:r>
        <w:t xml:space="preserve">first fully symmetry-conditioned molecular-crystal flow. Paired with an</w:t>
      </w:r>
      <w:r>
        <w:t xml:space="preserve"> </w:t>
      </w:r>
      <w:r>
        <w:t xml:space="preserve">unsupervised symmetry-preserving packing finisher, a fully-ablated stack of levers</w:t>
      </w:r>
      <w:r>
        <w:t xml:space="preserve"> </w:t>
      </w:r>
      <w:r>
        <w:t xml:space="preserve">lifts held-out 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(strict best-of-</w:t>
      </w:r>
      <m:oMath>
        <m:r>
          <m:t>10</m:t>
        </m:r>
      </m:oMath>
      <w:r>
        <w:t xml:space="preserve">,</w:t>
      </w:r>
      <w:r>
        <w:t xml:space="preserve"> </w:t>
      </w:r>
      <w:r>
        <w:t xml:space="preserve">StructureMatcher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), at statistical parity with the symmetry-free</w:t>
      </w:r>
      <w:r>
        <w:t xml:space="preserve"> </w:t>
      </w:r>
      <w:r>
        <w:t xml:space="preserve">MolCrystalFlow (</w:t>
      </w:r>
      <m:oMath>
        <m:r>
          <m:rPr>
            <m:sty m:val="p"/>
          </m:rPr>
          <m:t>∼</m:t>
        </m:r>
        <m:r>
          <m:t>​</m:t>
        </m:r>
        <m:r>
          <m:t>8</m:t>
        </m:r>
        <m:r>
          <m:rPr>
            <m:sty m:val="p"/>
          </m:rPr>
          <m:t>%</m:t>
        </m:r>
      </m:oMath>
      <w:r>
        <w:t xml:space="preserve">), reaching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 orientation test-time</w:t>
      </w:r>
      <w:r>
        <w:t xml:space="preserve"> </w:t>
      </w:r>
      <w:r>
        <w:t xml:space="preserve">augmentation. We report the contribution of each lever.</w:t>
      </w:r>
    </w:p>
    <w:p>
      <w:pPr>
        <w:pStyle w:val="FirstParagraph"/>
        <w:spacing w:before="0" w:after="0" w:line="480" w:lineRule="auto"/>
      </w:pPr>
      <w:r>
        <w:rPr>
          <w:b/>
          <w:bCs/>
        </w:rPr>
        <w:t xml:space="preserve">Keywords:</w:t>
      </w:r>
      <w:r>
        <w:t xml:space="preserve"> </w:t>
      </w:r>
      <w:r>
        <w:t xml:space="preserve">crystal structure prediction, flow matching, molecular crystals, space-group symmetry, generative modeling, rigid-body</w:t>
      </w:r>
    </w:p>
    <w:bookmarkStart w:id="11" w:name="introduction"/>
    <w:p>
      <w:pPr>
        <w:pStyle w:val="Heading1"/>
        <w:spacing w:before="0" w:after="0" w:line="480" w:lineRule="auto"/>
      </w:pPr>
      <w:r>
        <w:t xml:space="preserve">Introduction</w:t>
      </w:r>
    </w:p>
    <w:p>
      <w:pPr>
        <w:pStyle w:val="FirstParagraph"/>
        <w:spacing w:before="0" w:after="0" w:line="480" w:lineRule="auto"/>
      </w:pPr>
      <w:r>
        <w:t xml:space="preserve">Crystal structure prediction (CSP) seeks the stable periodic packing of a chemical</w:t>
      </w:r>
      <w:r>
        <w:t xml:space="preserve"> </w:t>
      </w:r>
      <w:r>
        <w:t xml:space="preserve">system, and generative models have become a fast alternative to large ensembles of</w:t>
      </w:r>
      <w:r>
        <w:t xml:space="preserve"> </w:t>
      </w:r>
      <w:r>
        <w:t xml:space="preserve">density-functional relaxations, progressing from crystal diffusion</w:t>
      </w:r>
      <w:r>
        <w:t xml:space="preserve"> </w:t>
      </w:r>
      <w:r>
        <w:t xml:space="preserve">autoencoders</w:t>
      </w:r>
      <w:r>
        <w:rPr>
          <w:vertAlign w:val="superscript"/>
        </w:rPr>
        <w:t xml:space="preserve">1</w:t>
      </w:r>
      <w:r>
        <w:t xml:space="preserve"> </w:t>
      </w:r>
      <w:r>
        <w:t xml:space="preserve">to joint equivariant</w:t>
      </w:r>
      <w:r>
        <w:t xml:space="preserve"> </w:t>
      </w:r>
      <w:r>
        <w:t xml:space="preserve">diffusion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Riemannian flow</w:t>
      </w:r>
      <w:r>
        <w:t xml:space="preserve"> </w:t>
      </w:r>
      <w:r>
        <w:t xml:space="preserve">matching</w:t>
      </w:r>
      <w:r>
        <w:rPr>
          <w:vertAlign w:val="superscript"/>
        </w:rPr>
        <w:t xml:space="preserve">3–5</w:t>
      </w:r>
      <w:r>
        <w:t xml:space="preserve">, which</w:t>
      </w:r>
      <w:r>
        <w:t xml:space="preserve"> </w:t>
      </w:r>
      <w:r>
        <w:t xml:space="preserve">traverses a straight conditional path solvable in tens of steps. Rigid-body</w:t>
      </w:r>
      <w:r>
        <w:t xml:space="preserve"> </w:t>
      </w:r>
      <w:r>
        <w:t xml:space="preserve">factorization is especially attractive for molecular crystals: freezing each</w:t>
      </w:r>
      <w:r>
        <w:t xml:space="preserve"> </w:t>
      </w:r>
      <w:r>
        <w:t xml:space="preserve">molecule’s conformer collapses dozens of atomic coordinates to a single pose—a</w:t>
      </w:r>
      <w:r>
        <w:t xml:space="preserve"> </w:t>
      </w:r>
      <w:r>
        <w:t xml:space="preserve">lattice</w:t>
      </w:r>
      <w:r>
        <w:t xml:space="preserve"> </w:t>
      </w:r>
      <m:oMath>
        <m:r>
          <m:t>L</m:t>
        </m:r>
      </m:oMath>
      <w:r>
        <w:t xml:space="preserve">, a fractional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, and an orientation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per molecule—and supports the short sampling trajectories</w:t>
      </w:r>
      <w:r>
        <w:t xml:space="preserve"> </w:t>
      </w:r>
      <w:r>
        <w:t xml:space="preserve">characteristic of flow matching.</w:t>
      </w:r>
    </w:p>
    <w:bookmarkStart w:id="9" w:name="the-gap."/>
    <w:p>
      <w:pPr>
        <w:pStyle w:val="Heading4"/>
        <w:spacing w:before="0" w:after="0" w:line="480" w:lineRule="auto"/>
      </w:pPr>
      <w:r>
        <w:t xml:space="preserve">The gap.</w:t>
      </w:r>
    </w:p>
    <w:p>
      <w:pPr>
        <w:pStyle w:val="FirstParagraph"/>
        <w:spacing w:before="0" w:after="0" w:line="480" w:lineRule="auto"/>
      </w:pPr>
      <w:r>
        <w:t xml:space="preserve">This factorization introduces a per-molecule orientation variable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 here the current generation of models underuses the available symmetry. MolCrystalFlow</w:t>
      </w:r>
      <w:r>
        <w:rPr>
          <w:vertAlign w:val="superscript"/>
        </w:rPr>
        <w:t xml:space="preserve">6</w:t>
      </w:r>
      <w:r>
        <w:t xml:space="preserve">, a 2026 rigid-body</w:t>
      </w:r>
      <w:r>
        <w:t xml:space="preserve"> </w:t>
      </w:r>
      <w:r>
        <w:t xml:space="preserve">molecular-crystal flow with the identical</w:t>
      </w:r>
      <w:r>
        <w:t xml:space="preserve"> </w:t>
      </w:r>
      <m:oMath>
        <m:r>
          <m:rPr>
            <m:nor/>
            <m:sty m:val="p"/>
          </m:rPr>
          <m:t>lattice</m:t>
        </m:r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factorization, jointly</w:t>
      </w:r>
      <w:r>
        <w:t xml:space="preserve"> </w:t>
      </w:r>
      <w:r>
        <w:t xml:space="preserve">learns pose but imposes no space-group constraint, and</w:t>
      </w:r>
      <w:r>
        <w:t xml:space="preserve"> </w:t>
      </w:r>
      <w:r>
        <w:t xml:space="preserve">MOFFlow</w:t>
      </w:r>
      <w:r>
        <w:rPr>
          <w:vertAlign w:val="superscript"/>
        </w:rPr>
        <w:t xml:space="preserve">7</w:t>
      </w:r>
      <w:r>
        <w:t xml:space="preserve"> </w:t>
      </w:r>
      <w:r>
        <w:t xml:space="preserve">flows rigid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poses relying on</w:t>
      </w:r>
      <w:r>
        <w:t xml:space="preserve"> </w:t>
      </w:r>
      <w:r>
        <w:t xml:space="preserve">framework connectivity rather than a symmetry prior. Symmetry- and</w:t>
      </w:r>
      <w:r>
        <w:t xml:space="preserve"> </w:t>
      </w:r>
      <w:r>
        <w:t xml:space="preserve">Wyckoff-conditioned generation, meanwhile, is proven only for</w:t>
      </w:r>
      <w:r>
        <w:t xml:space="preserve"> </w:t>
      </w:r>
      <w:r>
        <w:rPr>
          <w:i/>
          <w:iCs/>
        </w:rPr>
        <w:t xml:space="preserve">inorganic</w:t>
      </w:r>
      <w:r>
        <w:rPr>
          <w:i/>
          <w:iCs/>
        </w:rPr>
        <w:t xml:space="preserve"> </w:t>
      </w:r>
      <w:r>
        <w:rPr>
          <w:i/>
          <w:iCs/>
        </w:rPr>
        <w:t xml:space="preserve">atomic sites</w:t>
      </w:r>
      <w:r>
        <w:t xml:space="preserve">: DiffCSP++</w:t>
      </w:r>
      <w:r>
        <w:rPr>
          <w:vertAlign w:val="superscript"/>
        </w:rPr>
        <w:t xml:space="preserve">8</w:t>
      </w:r>
      <w:r>
        <w:t xml:space="preserve">,</w:t>
      </w:r>
      <w:r>
        <w:t xml:space="preserve"> </w:t>
      </w:r>
      <w:r>
        <w:t xml:space="preserve">WyckoffDiff</w:t>
      </w:r>
      <w:r>
        <w:rPr>
          <w:vertAlign w:val="superscript"/>
        </w:rPr>
        <w:t xml:space="preserve">9</w:t>
      </w:r>
      <w:r>
        <w:t xml:space="preserve">, SymmCD</w:t>
      </w:r>
      <w:r>
        <w:rPr>
          <w:vertAlign w:val="superscript"/>
        </w:rPr>
        <w:t xml:space="preserve">10</w:t>
      </w:r>
      <w:r>
        <w:t xml:space="preserve">, and the 2026</w:t>
      </w:r>
      <w:r>
        <w:t xml:space="preserve"> </w:t>
      </w:r>
      <w:r>
        <w:t xml:space="preserve">NextCrystal</w:t>
      </w:r>
      <w:r>
        <w:rPr>
          <w:vertAlign w:val="superscript"/>
        </w:rPr>
        <w:t xml:space="preserve">11</w:t>
      </w:r>
      <w:r>
        <w:t xml:space="preserve"> </w:t>
      </w:r>
      <w:r>
        <w:t xml:space="preserve">all condition atom generation on a</w:t>
      </w:r>
      <w:r>
        <w:t xml:space="preserve"> </w:t>
      </w:r>
      <w:r>
        <w:t xml:space="preserve">space-group/Wyckoff template, but none conditions rigid-body molecular</w:t>
      </w:r>
      <w:r>
        <w:t xml:space="preserve"> </w:t>
      </w:r>
      <w:r>
        <w:t xml:space="preserve">orientation. We close that gap and make the conditioning</w:t>
      </w:r>
      <w:r>
        <w:t xml:space="preserve"> </w:t>
      </w:r>
      <w:r>
        <w:rPr>
          <w:i/>
          <w:iCs/>
        </w:rPr>
        <w:t xml:space="preserve">deployable</w:t>
      </w:r>
      <w:r>
        <w:t xml:space="preserve">.</w:t>
      </w:r>
    </w:p>
    <w:bookmarkEnd w:id="9"/>
    <w:bookmarkStart w:id="10" w:name="contributions."/>
    <w:p>
      <w:pPr>
        <w:pStyle w:val="Heading4"/>
        <w:spacing w:before="0" w:after="0" w:line="480" w:lineRule="auto"/>
      </w:pPr>
      <w:r>
        <w:t xml:space="preserve">Contributions.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A leak-free, template-available coset label (the generating operation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recovered from centroids alone) that conditions the orientation</w:t>
      </w:r>
      <w:r>
        <w:t xml:space="preserve"> </w:t>
      </w:r>
      <w:r>
        <w:t xml:space="preserve">flow without seeing the target.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Deployable conditioning recovers two-thirds of the oracle-codebook</w:t>
      </w:r>
      <w:r>
        <w:t xml:space="preserve"> </w:t>
      </w:r>
      <w:r>
        <w:t xml:space="preserve">orientation benefit (</w:t>
      </w:r>
      <m:oMath>
        <m:r>
          <m:rPr>
            <m:sty m:val="p"/>
          </m:rPr>
          <m:t>+</m:t>
        </m:r>
        <m:r>
          <m:t>41.1</m:t>
        </m:r>
        <m:r>
          <m:rPr>
            <m:sty m:val="p"/>
          </m:rPr>
          <m:t>%</m:t>
        </m:r>
      </m:oMath>
      <w:r>
        <w:t xml:space="preserve"> </w:t>
      </w:r>
      <w:r>
        <w:t xml:space="preserve">vs a</w:t>
      </w:r>
      <w:r>
        <w:t xml:space="preserve"> </w:t>
      </w:r>
      <m:oMath>
        <m:r>
          <m:rPr>
            <m:sty m:val="p"/>
          </m:rPr>
          <m:t>+</m:t>
        </m:r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paired control);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closes the rest (</w:t>
      </w:r>
      <m:oMath>
        <m:r>
          <m:rPr>
            <m:sty m:val="p"/>
          </m:rPr>
          <m:t>+</m:t>
        </m:r>
        <m:r>
          <m:t>47.7</m:t>
        </m:r>
        <m:r>
          <m:rPr>
            <m:sty m:val="p"/>
          </m:rPr>
          <m:t>%</m:t>
        </m:r>
      </m:oMath>
      <w:r>
        <w:t xml:space="preserve">).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End-to-end, supplying the coset collapses the orientation error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the coset advantage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with data.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A template-free path: a packing-only predictor whose top-</w:t>
      </w:r>
      <m:oMath>
        <m:r>
          <m:t>k</m:t>
        </m:r>
      </m:oMath>
      <w:r>
        <w:t xml:space="preserve"> </w:t>
      </w:r>
      <w:r>
        <w:t xml:space="preserve">covers the true</w:t>
      </w:r>
      <w:r>
        <w:t xml:space="preserve"> </w:t>
      </w:r>
      <w:r>
        <w:t xml:space="preserve">coset for</w:t>
      </w:r>
      <w:r>
        <w:t xml:space="preserve"> </w:t>
      </w:r>
      <m:oMath>
        <m:r>
          <m:t>86</m:t>
        </m:r>
        <m:r>
          <m:rPr>
            <m:sty m:val="p"/>
          </m:rPr>
          <m:t>%</m:t>
        </m:r>
      </m:oMath>
      <w:r>
        <w:t xml:space="preserve"> </w:t>
      </w:r>
      <w:r>
        <w:t xml:space="preserve">of molecules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made usable by top-</w:t>
      </w:r>
      <m:oMath>
        <m:r>
          <m:t>k</m:t>
        </m:r>
      </m:oMath>
      <w:r>
        <w:t xml:space="preserve"> </w:t>
      </w:r>
      <w:r>
        <w:t xml:space="preserve">marginalization.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Extending symmetry conditioning to the lattice (a crystal-family mask on a</w:t>
      </w:r>
      <w:r>
        <w:t xml:space="preserve"> </w:t>
      </w:r>
      <w:r>
        <w:t xml:space="preserve">log-metric parametrization) gives the first</w:t>
      </w:r>
      <w:r>
        <w:t xml:space="preserve"> </w:t>
      </w:r>
      <w:r>
        <w:rPr>
          <w:i/>
          <w:iCs/>
        </w:rPr>
        <w:t xml:space="preserve">fully symmetry-conditioned</w:t>
      </w:r>
      <w:r>
        <w:t xml:space="preserve"> </w:t>
      </w:r>
      <w:r>
        <w:t xml:space="preserve">molecular-crystal flow; composed with an unsupervised packing finisher and a</w:t>
      </w:r>
      <w:r>
        <w:t xml:space="preserve"> </w:t>
      </w:r>
      <w:r>
        <w:t xml:space="preserve">fully-ablated lever stack, it lifts 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(strict</w:t>
      </w:r>
      <w:r>
        <w:t xml:space="preserve"> </w:t>
      </w:r>
      <w:r>
        <w:t xml:space="preserve">best-of-</w:t>
      </w:r>
      <m:oMath>
        <m:r>
          <m:t>10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)—parity with MolCrystalFlow—and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orientation test-time augmentation.</w:t>
      </w:r>
    </w:p>
    <w:bookmarkEnd w:id="10"/>
    <w:bookmarkEnd w:id="11"/>
    <w:bookmarkStart w:id="32" w:name="results-and-discussion"/>
    <w:p>
      <w:pPr>
        <w:pStyle w:val="Heading1"/>
        <w:spacing w:before="0" w:after="0" w:line="480" w:lineRule="auto"/>
      </w:pPr>
      <w:r>
        <w:t xml:space="preserve">Results and Discussion</w:t>
      </w:r>
    </w:p>
    <w:p>
      <w:pPr>
        <w:pStyle w:val="FirstParagraph"/>
        <w:spacing w:before="0" w:after="0" w:line="480" w:lineRule="auto"/>
      </w:pPr>
      <w:r>
        <w:t xml:space="preserve">Throughout, SymMC-Flow denotes the rigid-body flow of the Methods section: a</w:t>
      </w:r>
      <w:r>
        <w:t xml:space="preserve"> </w:t>
      </w:r>
      <w:r>
        <w:t xml:space="preserve">molecular crystal is carried as a lattice, a fractional centroid per molecule, and</w:t>
      </w:r>
      <w:r>
        <w:t xml:space="preserve"> </w:t>
      </w:r>
      <w:r>
        <w:t xml:space="preserve">an orientation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with a conditional flow-matching objective</w:t>
      </w:r>
      <w:r>
        <w:t xml:space="preserve"> </w:t>
      </w:r>
      <w:r>
        <w:t xml:space="preserve">trained jointly over the three manifolds. The</w:t>
      </w:r>
      <w:r>
        <w:t xml:space="preserve"> </w:t>
      </w:r>
      <w:r>
        <w:rPr>
          <w:i/>
          <w:iCs/>
        </w:rPr>
        <w:t xml:space="preserve">coset label</w:t>
      </w:r>
      <w:r>
        <w:t xml:space="preserve"> </w:t>
      </w:r>
      <w:r>
        <w:t xml:space="preserve">used below is the</w:t>
      </w:r>
      <w:r>
        <w:t xml:space="preserve"> </w:t>
      </w:r>
      <w:r>
        <w:t xml:space="preserve">generating space-group operation that maps a species’ reference copy to copy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assigned from fractional centroids against a symmetry template and never from the</w:t>
      </w:r>
      <w:r>
        <w:t xml:space="preserve"> </w:t>
      </w:r>
      <w:r>
        <w:t xml:space="preserve">observed rotation; its construction, the crystal-family lattice mask, the finishing</w:t>
      </w:r>
      <w:r>
        <w:t xml:space="preserve"> </w:t>
      </w:r>
      <w:r>
        <w:t xml:space="preserve">stack, and the corpus are specified in Methods.</w:t>
      </w:r>
    </w:p>
    <w:bookmarkStart w:id="13" w:name="sec:decomp"/>
    <w:p>
      <w:pPr>
        <w:pStyle w:val="Heading2"/>
        <w:spacing w:before="0" w:after="0" w:line="480" w:lineRule="auto"/>
      </w:pPr>
      <w:r>
        <w:t xml:space="preserve">The orientation decomposition</w:t>
      </w:r>
    </w:p>
    <w:p>
      <w:pPr>
        <w:pStyle w:val="FirstParagraph"/>
        <w:spacing w:before="0" w:after="0" w:line="480" w:lineRule="auto"/>
      </w:pPr>
      <w:r>
        <w:t xml:space="preserve">A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generated from the asymmetric unit by a space-group operation with</w:t>
      </w:r>
      <w:r>
        <w:t xml:space="preserve"> </w:t>
      </w:r>
      <w:r>
        <w:t xml:space="preserve">rotation part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absolute pose</w:t>
      </w:r>
    </w:p>
    <w:p>
      <w:pPr>
        <w:pStyle w:val="BodyText"/>
        <w:spacing w:before="0" w:after="0" w:line="480" w:lineRule="auto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asym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0" w:after="0" w:line="480" w:lineRule="auto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the orientation of the asymmetric unit in the cell. The</w:t>
      </w:r>
      <w:r>
        <w:t xml:space="preserve"> </w:t>
      </w:r>
      <w:r>
        <w:t xml:space="preserve">first factor is fixed by the space group and shared across crystals; the second is</w:t>
      </w:r>
      <w:r>
        <w:t xml:space="preserve"> </w:t>
      </w:r>
      <w:r>
        <w:t xml:space="preserve">a free, per-crystal choice. Because the body-frame gauge is arbitrary,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carries no consistent signal tied to composition or packing:</w:t>
      </w:r>
      <w:r>
        <w:t xml:space="preserve"> </w:t>
      </w:r>
      <w:r>
        <w:t xml:space="preserve">trained directly 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, an absolute-orientation head never leaves its</w:t>
      </w:r>
      <w:r>
        <w:t xml:space="preserve"> </w:t>
      </w:r>
      <w:r>
        <w:t xml:space="preserve">predict-zero floor (</w:t>
      </w:r>
      <m:oMath>
        <m:r>
          <m:rPr>
            <m:scr m:val="double-struck"/>
            <m:sty m:val="p"/>
          </m:rPr>
          <m:t>E</m:t>
        </m:r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5.24</m:t>
        </m:r>
      </m:oMath>
      <w:r>
        <w:t xml:space="preserve">) while the</w:t>
      </w:r>
      <w:r>
        <w:t xml:space="preserve"> </w:t>
      </w:r>
      <w:r>
        <w:t xml:space="preserve">lattice and centroid heads converge normally. The empirical distribution is</w:t>
      </w:r>
      <w:r>
        <w:t xml:space="preserve"> </w:t>
      </w:r>
      <w:r>
        <w:t xml:space="preserve">consistent with this—absolute reference-copy orientations track the Haar-uniform</w:t>
      </w:r>
      <w:r>
        <w:t xml:space="preserve"> </w:t>
      </w:r>
      <w:r>
        <w:t xml:space="preserve">density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(mean geodesic angle</w:t>
      </w:r>
      <w:r>
        <w:t xml:space="preserve"> </w:t>
      </w:r>
      <m:oMath>
        <m:sSup>
          <m:e>
            <m:r>
              <m:t>122.6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against the Haar</w:t>
      </w:r>
      <w:r>
        <w:t xml:space="preserve"> </w:t>
      </w:r>
      <w:r>
        <w:t xml:space="preserve">expectation</w:t>
      </w:r>
      <w:r>
        <w:t xml:space="preserve"> </w:t>
      </w:r>
      <m:oMath>
        <m:sSup>
          <m:e>
            <m:r>
              <m:t>126.5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Kolmogorov–Smirnov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</m:t>
        </m:r>
      </m:oMath>
      <w:r>
        <w:t xml:space="preserve">), and a supervised probe</w:t>
      </w:r>
      <w:r>
        <w:t xml:space="preserve"> </w:t>
      </w:r>
      <w:r>
        <w:t xml:space="preserve">trained to predict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from lattice, centroid arrangement, conformer,</w:t>
      </w:r>
      <w:r>
        <w:t xml:space="preserve"> </w:t>
      </w:r>
      <w:r>
        <w:t xml:space="preserve">and space group does not beat the best feature-free constant (Supporting</w:t>
      </w:r>
      <w:r>
        <w:t xml:space="preserve"> </w:t>
      </w:r>
      <w:r>
        <w:t xml:space="preserve">Information). We therefore state the claim operationally and narrowly: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not predictable from the conditioning available here, not that</w:t>
      </w:r>
      <w:r>
        <w:t xml:space="preserve"> </w:t>
      </w:r>
      <w:r>
        <w:t xml:space="preserve">orientation is unlearnable in principle—a richer descriptor such as</w:t>
      </w:r>
      <w:r>
        <w:t xml:space="preserve"> </w:t>
      </w:r>
      <w:r>
        <w:t xml:space="preserve">hydrogen-bond topology or dipole alignment could in principle expose residual</w:t>
      </w:r>
      <w:r>
        <w:t xml:space="preserve"> </w:t>
      </w:r>
      <w:r>
        <w:t xml:space="preserve">signal.</w:t>
      </w:r>
    </w:p>
    <w:p>
      <w:pPr>
        <w:pStyle w:val="BodyText"/>
        <w:spacing w:before="0" w:after="0" w:line="480" w:lineRule="auto"/>
      </w:pPr>
      <w:r>
        <w:t xml:space="preserve">To isolate the learnable factor we re-gauge each crystal so the first copy of every</w:t>
      </w:r>
      <w:r>
        <w:t xml:space="preserve"> </w:t>
      </w:r>
      <w:r>
        <w:t xml:space="preserve">species is a reference 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 and the remaining copies carry only the relative</w:t>
      </w:r>
      <w:r>
        <w:t xml:space="preserve"> </w:t>
      </w:r>
      <w:r>
        <w:t xml:space="preserve">rotation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  <m:sSubSup>
          <m:e>
            <m:r>
              <m:t>R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which cancels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and leaves the</w:t>
      </w:r>
      <w:r>
        <w:t xml:space="preserve"> </w:t>
      </w:r>
      <w:r>
        <w:t xml:space="preserve">reconstructed crystal unchanged. Splitting the orientation loss into reference</w:t>
      </w:r>
      <w:r>
        <w:t xml:space="preserve"> </w:t>
      </w:r>
      <w:r>
        <w:t xml:space="preserve">copies (target</w:t>
      </w:r>
      <w:r>
        <w:t xml:space="preserve"> </w:t>
      </w:r>
      <m:oMath>
        <m:r>
          <m:t>I</m:t>
        </m:r>
      </m:oMath>
      <w:r>
        <w:t xml:space="preserve">) and non-reference copies (the symmetry-determined targets) and</w:t>
      </w:r>
      <w:r>
        <w:t xml:space="preserve"> </w:t>
      </w:r>
      <w:r>
        <w:t xml:space="preserve">reporting the latter—which cannot be earned by predicting the identity—the</w:t>
      </w:r>
      <w:r>
        <w:t xml:space="preserve"> </w:t>
      </w:r>
      <w:r>
        <w:t xml:space="preserve">held-out non-reference loss drops by</w:t>
      </w:r>
      <w:r>
        <w:t xml:space="preserve"> </w:t>
      </w:r>
      <m:oMath>
        <m:r>
          <m:t>27.5</m:t>
        </m:r>
        <m:r>
          <m:rPr>
            <m:sty m:val="p"/>
          </m:rPr>
          <m:t>±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over three seeds</w:t>
      </w:r>
      <w:r>
        <w:t xml:space="preserve"> </w:t>
      </w:r>
      <w:r>
        <w:t xml:space="preserve">(Table </w:t>
      </w:r>
      <w:hyperlink w:anchor="tab:twobytwo">
        <w:r>
          <w:rPr>
            <w:rStyle w:val="Hyperlink"/>
          </w:rPr>
          <w:t xml:space="preserve">1</w:t>
        </w:r>
      </w:hyperlink>
      <w:r>
        <w:t xml:space="preserve">), identically under noised and clean conditioning, so the</w:t>
      </w:r>
      <w:r>
        <w:t xml:space="preserve"> </w:t>
      </w:r>
      <w:r>
        <w:t xml:space="preserve">signal rides on the space group (conditioned directly) and the coarse centroid</w:t>
      </w:r>
      <w:r>
        <w:t xml:space="preserve"> </w:t>
      </w:r>
      <w:r>
        <w:t xml:space="preserve">arrangement. A stricter species-grouped split that keeps every crystal sharing a</w:t>
      </w:r>
      <w:r>
        <w:t xml:space="preserve"> </w:t>
      </w:r>
      <w:r>
        <w:t xml:space="preserve">species on one side of the partition gives</w:t>
      </w:r>
      <w:r>
        <w:t xml:space="preserve"> </w:t>
      </w:r>
      <m:oMath>
        <m:r>
          <m:t>28.5</m:t>
        </m:r>
        <m:r>
          <m:rPr>
            <m:sty m:val="p"/>
          </m:rPr>
          <m:t>±</m:t>
        </m:r>
        <m:r>
          <m:t>2.9</m:t>
        </m:r>
        <m:r>
          <m:rPr>
            <m:sty m:val="p"/>
          </m:rPr>
          <m:t>%</m:t>
        </m:r>
      </m:oMath>
      <w:r>
        <w:t xml:space="preserve">, ruling out species</w:t>
      </w:r>
      <w:r>
        <w:t xml:space="preserve"> </w:t>
      </w:r>
      <w:r>
        <w:t xml:space="preserve">leakage between training and validation. The floor of the absolute target and the</w:t>
      </w:r>
      <w:r>
        <w:t xml:space="preserve"> </w:t>
      </w:r>
      <w:r>
        <w:t xml:space="preserve">descent of the relative target together confirm Eq. </w:t>
      </w:r>
      <w:hyperlink w:anchor="eq:decomp">
        <w:r>
          <w:rPr>
            <w:rStyle w:val="Hyperlink"/>
          </w:rPr>
          <w:t xml:space="preserve">[eq:decomp]</w:t>
        </w:r>
      </w:hyperlink>
      <w:r>
        <w:t xml:space="preserve">: the only</w:t>
      </w:r>
      <w:r>
        <w:t xml:space="preserve"> </w:t>
      </w:r>
      <w:r>
        <w:t xml:space="preserve">learnable content in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part that survives cancellation of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. This is a diagnostic; the coset construction given in Methods</w:t>
      </w:r>
      <w:r>
        <w:t xml:space="preserve"> </w:t>
      </w:r>
      <w:r>
        <w:t xml:space="preserve">turns it into a deployable method.</w:t>
      </w:r>
    </w:p>
    <w:bookmarkStart w:id="12" w:name="tab:twobytwo"/>
    <w:p>
      <w:pPr>
        <w:pStyle w:val="TableCaption"/>
        <w:spacing w:before="0" w:after="0" w:line="480" w:lineRule="auto"/>
      </w:pPr>
      <w:r>
        <w:t xml:space="preserve">Table 1. Held-out non-reference orientation loss (untrained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trained)</w:t>
      </w:r>
      <w:r>
        <w:t xml:space="preserve"> </w:t>
      </w:r>
      <w:r>
        <w:t xml:space="preserve">across orientation target and conditioning. The absolute pose floors; the relative</w:t>
      </w:r>
      <w:r>
        <w:t xml:space="preserve"> </w:t>
      </w:r>
      <w:r>
        <w:t xml:space="preserve">(symmetry-determined) orientation is learnable and robust to conditioning noise.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Held-out non-reference orientation loss (untrained \rightarrow trained) across orientation target and conditioning. The absolute pose floors; the relative (symmetry-determined) orientation is learnable and robust to conditioning nois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noised conditioning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clean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27.1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26.7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</w:tbl>
    <w:bookmarkEnd w:id="12"/>
    <w:bookmarkEnd w:id="13"/>
    <w:bookmarkStart w:id="15" w:name="sec:gate"/>
    <w:p>
      <w:pPr>
        <w:pStyle w:val="Heading2"/>
        <w:spacing w:before="0" w:after="0" w:line="480" w:lineRule="auto"/>
      </w:pPr>
      <w:r>
        <w:t xml:space="preserve">Deployable coset conditioning recovers the oracle benefit</w:t>
      </w:r>
    </w:p>
    <w:p>
      <w:pPr>
        <w:pStyle w:val="FirstParagraph"/>
        <w:spacing w:before="0" w:after="0" w:line="480" w:lineRule="auto"/>
      </w:pPr>
      <w:r>
        <w:t xml:space="preserve">Table </w:t>
      </w:r>
      <w:hyperlink w:anchor="tab:gat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the main result. A paired no-coset control reproduces</w:t>
      </w:r>
      <w:r>
        <w:t xml:space="preserve"> </w:t>
      </w:r>
      <m:oMath>
        <m:r>
          <m:rPr>
            <m:sty m:val="p"/>
          </m:rPr>
          <m:t>+</m:t>
        </m:r>
        <m:r>
          <m:t>27.5</m:t>
        </m:r>
        <m:r>
          <m:rPr>
            <m:sty m:val="p"/>
          </m:rPr>
          <m:t>%</m:t>
        </m:r>
      </m:oMath>
      <w:r>
        <w:t xml:space="preserve">; the deployable coset reaches</w:t>
      </w:r>
      <w:r>
        <w:t xml:space="preserve"> </w:t>
      </w:r>
      <m:oMath>
        <m:r>
          <m:rPr>
            <m:sty m:val="p"/>
          </m:rPr>
          <m:t>+</m:t>
        </m:r>
        <m:r>
          <m:t>41.1</m:t>
        </m:r>
        <m:r>
          <m:rPr>
            <m:sty m:val="p"/>
          </m:rPr>
          <m:t>%</m:t>
        </m:r>
      </m:oMath>
      <w:r>
        <w:t xml:space="preserve">—two-thirds of the way to the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48</m:t>
        </m:r>
        <m:r>
          <m:rPr>
            <m:sty m:val="p"/>
          </m:rPr>
          <m:t>%</m:t>
        </m:r>
      </m:oMath>
      <w:r>
        <w:t xml:space="preserve"> </w:t>
      </w:r>
      <w:r>
        <w:t xml:space="preserve">leaky ceiling—and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</w:t>
      </w:r>
      <w:r>
        <w:t xml:space="preserve"> </w:t>
      </w:r>
      <w:r>
        <w:t xml:space="preserve">reaches</w:t>
      </w:r>
      <w:r>
        <w:t xml:space="preserve"> </w:t>
      </w:r>
      <m:oMath>
        <m:r>
          <m:rPr>
            <m:sty m:val="p"/>
          </m:rPr>
          <m:t>+</m:t>
        </m:r>
        <m:r>
          <m:t>47.7</m:t>
        </m:r>
        <m:r>
          <m:rPr>
            <m:sty m:val="p"/>
          </m:rPr>
          <m:t>%</m:t>
        </m:r>
      </m:oMath>
      <w:r>
        <w:t xml:space="preserve">, statistically level with the ceiling. The benefit that a</w:t>
      </w:r>
      <w:r>
        <w:t xml:space="preserve"> </w:t>
      </w:r>
      <w:r>
        <w:t xml:space="preserve">target-derived codebook could only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is realized here by a label a</w:t>
      </w:r>
      <w:r>
        <w:t xml:space="preserve"> </w:t>
      </w:r>
      <w:r>
        <w:t xml:space="preserve">sampler actually has.</w:t>
      </w:r>
    </w:p>
    <w:bookmarkStart w:id="14" w:name="tab:gate"/>
    <w:p>
      <w:pPr>
        <w:pStyle w:val="TableCaption"/>
        <w:spacing w:before="0" w:after="0" w:line="480" w:lineRule="auto"/>
      </w:pPr>
      <w:r>
        <w:t xml:space="preserve">Table 2. Held-out non-reference orientation-loss drop, mean</w:t>
      </w:r>
      <m:oMath>
        <m:r>
          <m:rPr>
            <m:sty m:val="p"/>
          </m:rPr>
          <m:t>±</m:t>
        </m:r>
      </m:oMath>
      <w:r>
        <w:t xml:space="preserve">s.d. (3 seeds).</w:t>
      </w:r>
      <w:r>
        <w:t xml:space="preserve"> </w:t>
      </w:r>
      <w:r>
        <w:t xml:space="preserve">The deployable coset is leak-free and available from a template; the leaky codebook</w:t>
      </w:r>
      <w:r>
        <w:t xml:space="preserve"> </w:t>
      </w:r>
      <w:r>
        <w:t xml:space="preserve">(index clustered from the target) is an upper bound.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Held-out non-reference orientation-loss drop, mean\pms.d. (3 seeds). The deployable coset is leak-free and available from a template; the leaky codebook (index clustered from the target) is an upper boun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non-ref. loss drop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no-coset control (baseline)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±</m:t>
              </m:r>
              <m:r>
                <m:t>2.7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deployable coset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41.1</m:t>
              </m:r>
              <m:r>
                <m:rPr>
                  <m:sty m:val="p"/>
                </m:rPr>
                <m:t>±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-averaged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47.7</m:t>
              </m:r>
              <m:r>
                <m:rPr>
                  <m:sty m:val="p"/>
                </m:rPr>
                <m:t>±</m:t>
              </m:r>
              <m:r>
                <m:t>3.9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leaky codebook (oracle upper bound)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48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14"/>
    <w:bookmarkEnd w:id="15"/>
    <w:bookmarkStart w:id="16" w:name="sec:e2e"/>
    <w:p>
      <w:pPr>
        <w:pStyle w:val="Heading2"/>
        <w:spacing w:before="0" w:after="0" w:line="480" w:lineRule="auto"/>
      </w:pPr>
      <w:r>
        <w:t xml:space="preserve">The coset makes orientation work end-to-end</w:t>
      </w:r>
    </w:p>
    <w:p>
      <w:pPr>
        <w:pStyle w:val="FirstParagraph"/>
        <w:spacing w:before="0" w:after="0" w:line="480" w:lineRule="auto"/>
      </w:pPr>
      <w:r>
        <w:t xml:space="preserve">Sampling all three manifolds from the prior (full de-novo generation), supplying</w:t>
      </w:r>
      <w:r>
        <w:t xml:space="preserve"> </w:t>
      </w:r>
      <w:r>
        <w:t xml:space="preserve">the coset at generation collapses the median orientation error from</w:t>
      </w:r>
      <w:r>
        <w:t xml:space="preserve"> 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(the same model with the coset withheld) to</w:t>
      </w:r>
      <w:r>
        <w:t xml:space="preserve"> </w:t>
      </w:r>
      <m:oMath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—a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reduction—while the centroid error is unchanged (</w:t>
      </w:r>
      <m:oMath>
        <m:r>
          <m:t>0.346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0.345</m:t>
        </m:r>
      </m:oMath>
      <w:r>
        <w:t xml:space="preserve">; the coset</w:t>
      </w:r>
      <w:r>
        <w:t xml:space="preserve"> </w:t>
      </w:r>
      <w:r>
        <w:t xml:space="preserve">does not touch it) and neither reaches exact match (</w:t>
      </w:r>
      <m:oMath>
        <m:r>
          <m:t>0</m:t>
        </m:r>
        <m:r>
          <m:rPr>
            <m:sty m:val="p"/>
          </m:rPr>
          <m:t>%</m:t>
        </m:r>
      </m:oMath>
      <w:r>
        <w:t xml:space="preserve">; lattice</w:t>
      </w:r>
      <w:r>
        <w:t xml:space="preserve"> </w:t>
      </w:r>
      <m:oMath>
        <m:r>
          <m:t>0.44</m:t>
        </m:r>
      </m:oMath>
      <w:r>
        <w:t xml:space="preserve"> </w:t>
      </w:r>
      <w:r>
        <w:t xml:space="preserve">/</w:t>
      </w:r>
      <w:r>
        <w:t xml:space="preserve"> </w:t>
      </w:r>
      <w:r>
        <w:t xml:space="preserve">centroid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dominate). The coset thus makes the orientation component work</w:t>
      </w:r>
      <w:r>
        <w:t xml:space="preserve"> </w:t>
      </w:r>
      <w:r>
        <w:t xml:space="preserve">end-to-end; joint lattice–centroid generation is the remaining exact-match</w:t>
      </w:r>
      <w:r>
        <w:t xml:space="preserve"> </w:t>
      </w:r>
      <w:r>
        <w:t xml:space="preserve">bottleneck.</w:t>
      </w:r>
    </w:p>
    <w:bookmarkEnd w:id="16"/>
    <w:bookmarkStart w:id="18" w:name="sec:orientiso"/>
    <w:p>
      <w:pPr>
        <w:pStyle w:val="Heading2"/>
        <w:spacing w:before="0" w:after="0" w:line="480" w:lineRule="auto"/>
      </w:pPr>
      <w:r>
        <w:t xml:space="preserve">Orientation-isolated reconstruction</w:t>
      </w:r>
    </w:p>
    <w:p>
      <w:pPr>
        <w:pStyle w:val="FirstParagraph"/>
        <w:spacing w:before="0" w:after="0" w:line="480" w:lineRule="auto"/>
      </w:pPr>
      <w:r>
        <w:t xml:space="preserve">A drop in flow-matching loss need not correspond to correct geometry. Holding the</w:t>
      </w:r>
      <w:r>
        <w:t xml:space="preserve"> </w:t>
      </w:r>
      <w:r>
        <w:t xml:space="preserve">true lattice, centroid, and conformer fixed and sampling only the coset-conditioned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field, the flow reconstructs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 multi-copy</w:t>
      </w:r>
      <w:r>
        <w:t xml:space="preserve"> </w:t>
      </w:r>
      <w:r>
        <w:t xml:space="preserve">packings (best-of-</w:t>
      </w:r>
      <m:oMath>
        <m:r>
          <m:t>8</m:t>
        </m:r>
      </m:oMath>
      <w:r>
        <w:t xml:space="preserve">), rising to</w:t>
      </w:r>
      <w:r>
        <w:t xml:space="preserve"> </w:t>
      </w:r>
      <m:oMath>
        <m:r>
          <m:t>37.4</m:t>
        </m:r>
        <m:r>
          <m:rPr>
            <m:sty m:val="p"/>
          </m:rPr>
          <m:t>%</m:t>
        </m:r>
      </m:oMath>
      <w:r>
        <w:t xml:space="preserve"> </w:t>
      </w:r>
      <w:r>
        <w:t xml:space="preserve">at looser but oracle-validated</w:t>
      </w:r>
      <w:r>
        <w:t xml:space="preserve"> </w:t>
      </w:r>
      <w:r>
        <w:t xml:space="preserve">tolerances, with a median non-reference orientation error of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the</w:t>
      </w:r>
      <w:r>
        <w:t xml:space="preserve"> </w:t>
      </w:r>
      <w:r>
        <w:t xml:space="preserve">oracle (true orientation) matches every structure (Table </w:t>
      </w:r>
      <w:hyperlink w:anchor="tab:tolsweep">
        <w:r>
          <w:rPr>
            <w:rStyle w:val="Hyperlink"/>
          </w:rPr>
          <w:t xml:space="preserve">3</w:t>
        </w:r>
      </w:hyperlink>
      <w:r>
        <w:t xml:space="preserve">). The</w:t>
      </w:r>
      <w:r>
        <w:t xml:space="preserve"> </w:t>
      </w:r>
      <w:r>
        <w:t xml:space="preserve">symmetry-relative rotations cluster near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(the dominant</w:t>
      </w:r>
      <w:r>
        <w:t xml:space="preserve"> </w:t>
      </w:r>
      <m:oMath>
        <m:r>
          <m:t>P</m:t>
        </m:r>
        <m:sSub>
          <m:e>
            <m:r>
              <m:t>2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,</w:t>
      </w:r>
      <w:r>
        <w:t xml:space="preserve"> </w:t>
      </w:r>
      <m:oMath>
        <m:r>
          <m:t>P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 </w:t>
      </w:r>
      <w:r>
        <w:t xml:space="preserve">operations)</w:t>
      </w:r>
      <w:r>
        <w:rPr>
          <w:vertAlign w:val="superscript"/>
        </w:rPr>
        <w:t xml:space="preserve">12</w:t>
      </w:r>
      <w:r>
        <w:t xml:space="preserve">, so a single deterministic integration</w:t>
      </w:r>
      <w:r>
        <w:t xml:space="preserve"> </w:t>
      </w:r>
      <w:r>
        <w:t xml:space="preserve">collapses to the conditional mean and best-of-</w:t>
      </w:r>
      <m:oMath>
        <m:r>
          <m:t>k</m:t>
        </m:r>
      </m:oMath>
      <w:r>
        <w:t xml:space="preserve"> </w:t>
      </w:r>
      <w:r>
        <w:t xml:space="preserve">is the correct read of a</w:t>
      </w:r>
      <w:r>
        <w:t xml:space="preserve"> </w:t>
      </w:r>
      <w:r>
        <w:t xml:space="preserve">multimodal target.</w:t>
      </w:r>
    </w:p>
    <w:bookmarkStart w:id="17" w:name="tab:tolsweep"/>
    <w:p>
      <w:pPr>
        <w:pStyle w:val="TableCaption"/>
        <w:spacing w:before="0" w:after="0" w:line="480" w:lineRule="auto"/>
      </w:pPr>
      <w:r>
        <w:t xml:space="preserve">Table 3. Orientation-isolated reconstruction (coset-conditioned, best-of-</w:t>
      </w:r>
      <m:oMath>
        <m:r>
          <m:t>8</m:t>
        </m:r>
      </m:oMath>
      <w:r>
        <w:t xml:space="preserve">; true</w:t>
      </w:r>
      <w:r>
        <w:t xml:space="preserve"> </w:t>
      </w:r>
      <w:r>
        <w:t xml:space="preserve">lattice, centroid, and conformer supplied, only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sampled):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match rate across the (length, site) tolerance grid on</w:t>
      </w:r>
      <w:r>
        <w:t xml:space="preserve"> </w:t>
      </w:r>
      <w:r>
        <w:t xml:space="preserve">the held-out set. The oracle (true orientation) matches throughout.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Orientation-isolated reconstruction (coset-conditioned, best-of-8; true lattice, centroid, and conformer supplied, only \mathrm{SO}(3) sampled): StructureMatcher match rate across the (length, site) tolerance grid on the held-out set. The oracle (true orientation) matches throughou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(ltol, stol)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coset-conditioned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(true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17"/>
    <w:bookmarkEnd w:id="18"/>
    <w:bookmarkStart w:id="20" w:name="sec:free"/>
    <w:p>
      <w:pPr>
        <w:pStyle w:val="Heading2"/>
        <w:spacing w:before="0" w:after="0" w:line="480" w:lineRule="auto"/>
      </w:pPr>
      <w:r>
        <w:t xml:space="preserve">Template-free deployment via top-</w:t>
      </w:r>
      <m:oMath>
        <m:r>
          <m:t>k</m:t>
        </m:r>
      </m:oMath>
      <w:r>
        <w:t xml:space="preserve"> </w:t>
      </w:r>
      <w:r>
        <w:t xml:space="preserve">marginalization</w:t>
      </w:r>
    </w:p>
    <w:p>
      <w:pPr>
        <w:pStyle w:val="FirstParagraph"/>
        <w:spacing w:before="0" w:after="0" w:line="480" w:lineRule="auto"/>
      </w:pPr>
      <w:r>
        <w:t xml:space="preserve">The packing-only predictor is</w:t>
      </w:r>
      <w:r>
        <w:t xml:space="preserve"> </w:t>
      </w:r>
      <m:oMath>
        <m:r>
          <m:t>39.5</m:t>
        </m:r>
        <m:r>
          <m:rPr>
            <m:sty m:val="p"/>
          </m:rPr>
          <m:t>%</m:t>
        </m:r>
      </m:oMath>
      <w:r>
        <w:t xml:space="preserve"> </w:t>
      </w:r>
      <w:r>
        <w:t xml:space="preserve">top-1 (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10.3</m:t>
        </m:r>
        <m:r>
          <m:rPr>
            <m:sty m:val="p"/>
          </m:rPr>
          <m:t>%</m:t>
        </m:r>
      </m:oMath>
      <w:r>
        <w:t xml:space="preserve"> </w:t>
      </w:r>
      <w:r>
        <w:t xml:space="preserve">majority), but</w:t>
      </w:r>
      <w:r>
        <w:t xml:space="preserve"> </w:t>
      </w:r>
      <w:r>
        <w:t xml:space="preserve">the true coset is in its top-3 for</w:t>
      </w:r>
      <w:r>
        <w:t xml:space="preserve"> </w:t>
      </w:r>
      <m:oMath>
        <m:r>
          <m:t>75.8</m:t>
        </m:r>
        <m:r>
          <m:rPr>
            <m:sty m:val="p"/>
          </m:rPr>
          <m:t>%</m:t>
        </m:r>
      </m:oMath>
      <w:r>
        <w:t xml:space="preserve"> </w:t>
      </w:r>
      <w:r>
        <w:t xml:space="preserve">of molecules, top-5 for</w:t>
      </w:r>
      <w:r>
        <w:t xml:space="preserve"> </w:t>
      </w:r>
      <m:oMath>
        <m:r>
          <m:t>85.6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top-10 for</w:t>
      </w:r>
      <w:r>
        <w:t xml:space="preserve"> </w:t>
      </w:r>
      <m:oMath>
        <m:r>
          <m:t>90.9</m:t>
        </m:r>
        <m:r>
          <m:rPr>
            <m:sty m:val="p"/>
          </m:rPr>
          <m:t>%</m:t>
        </m:r>
      </m:oMath>
      <w:r>
        <w:t xml:space="preserve"> </w:t>
      </w:r>
      <w:r>
        <w:t xml:space="preserve">(Table </w:t>
      </w:r>
      <w:hyperlink w:anchor="tab:cover">
        <w:r>
          <w:rPr>
            <w:rStyle w:val="Hyperlink"/>
          </w:rPr>
          <w:t xml:space="preserve">4</w:t>
        </w:r>
      </w:hyperlink>
      <w:r>
        <w:t xml:space="preserve">). The signal is present; the argmax</w:t>
      </w:r>
      <w:r>
        <w:t xml:space="preserve"> </w:t>
      </w:r>
      <w:r>
        <w:t xml:space="preserve">merely cannot commit. Marginalizing the top-5 pulls the predicted-coset orientation</w:t>
      </w:r>
      <w:r>
        <w:t xml:space="preserve"> </w:t>
      </w:r>
      <w:r>
        <w:t xml:space="preserve">error from</w:t>
      </w:r>
      <w:r>
        <w:t xml:space="preserve"> </w:t>
      </w:r>
      <m:oMath>
        <m:sSup>
          <m:e>
            <m:r>
              <m:t>64.8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(top-1) to</w:t>
      </w:r>
      <w:r>
        <w:t xml:space="preserve"> </w:t>
      </w:r>
      <m:oMath>
        <m:sSup>
          <m:e>
            <m:r>
              <m:t>51.2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toward the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template</w:t>
      </w:r>
      <w:r>
        <w:t xml:space="preserve"> </w:t>
      </w:r>
      <w:r>
        <w:t xml:space="preserve">ceiling. At the larger corpus (§</w:t>
      </w:r>
      <w:hyperlink w:anchor="sec:scale">
        <w:r>
          <w:rPr>
            <w:rStyle w:val="Hyperlink"/>
          </w:rPr>
          <w:t xml:space="preserve">2.6</w:t>
        </w:r>
      </w:hyperlink>
      <w:r>
        <w:t xml:space="preserve">) the predictor sharpens only to</w:t>
      </w:r>
      <w:r>
        <w:t xml:space="preserve"> </w:t>
      </w:r>
      <m:oMath>
        <m:r>
          <m:t>43.1</m:t>
        </m:r>
        <m:r>
          <m:rPr>
            <m:sty m:val="p"/>
          </m:rPr>
          <m:t>%</m:t>
        </m:r>
      </m:oMath>
      <w:r>
        <w:t xml:space="preserve"> </w:t>
      </w:r>
      <w:r>
        <w:t xml:space="preserve">top-1 and its predicted cosets still reconstruct below template grade, so</w:t>
      </w:r>
      <w:r>
        <w:t xml:space="preserve"> </w:t>
      </w:r>
      <w:r>
        <w:t xml:space="preserve">closing this residual—a sharper predictor or per-molecule combinatorial</w:t>
      </w:r>
      <w:r>
        <w:t xml:space="preserve"> </w:t>
      </w:r>
      <w:r>
        <w:t xml:space="preserve">search—remains the open problem.</w:t>
      </w:r>
    </w:p>
    <w:bookmarkStart w:id="19" w:name="tab:cover"/>
    <w:p>
      <w:pPr>
        <w:pStyle w:val="TableCaption"/>
        <w:spacing w:before="0" w:after="0" w:line="480" w:lineRule="auto"/>
      </w:pPr>
      <w:r>
        <w:t xml:space="preserve">Table 4. Predictor top-</w:t>
      </w:r>
      <m:oMath>
        <m:r>
          <m:t>k</m:t>
        </m:r>
      </m:oMath>
      <w:r>
        <w:t xml:space="preserve"> </w:t>
      </w:r>
      <w:r>
        <w:t xml:space="preserve">coverage: true coset in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predictions</w:t>
      </w:r>
      <w:r>
        <w:t xml:space="preserve"> </w:t>
      </w:r>
      <w:r>
        <w:t xml:space="preserve">(non-reference molecules,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438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Predictor top-k coverage: true coset in the top k predictions (non-reference molecules, n{=}438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39.5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75.8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85.6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90.9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19"/>
    <w:bookmarkEnd w:id="20"/>
    <w:bookmarkStart w:id="22" w:name="sec:scale"/>
    <w:p>
      <w:pPr>
        <w:pStyle w:val="Heading2"/>
        <w:spacing w:before="0" w:after="0" w:line="480" w:lineRule="auto"/>
      </w:pPr>
      <w:r>
        <w:t xml:space="preserve">Scale</w:t>
      </w:r>
    </w:p>
    <w:p>
      <w:pPr>
        <w:pStyle w:val="FirstParagraph"/>
        <w:spacing w:before="0" w:after="0" w:line="480" w:lineRule="auto"/>
      </w:pPr>
      <w:r>
        <w:t xml:space="preserve">Retraining the full pipeline on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539</m:t>
        </m:r>
      </m:oMath>
      <w:r>
        <w:t xml:space="preserve">-crystal CSD corpus (</w:t>
      </w:r>
      <m:oMath>
        <m:r>
          <m:t>2</m:t>
        </m:r>
        <m:r>
          <m:rPr>
            <m:sty m:val="p"/>
          </m:rPr>
          <m:t>,</m:t>
        </m:r>
        <m:r>
          <m:t>464</m:t>
        </m:r>
      </m:oMath>
      <w:r>
        <w:t xml:space="preserve"> </w:t>
      </w:r>
      <w:r>
        <w:t xml:space="preserve">multi-copy after re-gauge;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168</m:t>
        </m:r>
      </m:oMath>
      <w:r>
        <w:t xml:space="preserve"> </w:t>
      </w:r>
      <w:r>
        <w:t xml:space="preserve">train /</w:t>
      </w:r>
      <w:r>
        <w:t xml:space="preserve"> </w:t>
      </w:r>
      <m:oMath>
        <m:r>
          <m:t>296</m:t>
        </m:r>
      </m:oMath>
      <w:r>
        <w:t xml:space="preserve"> </w:t>
      </w:r>
      <w:r>
        <w:t xml:space="preserve">validation;</w:t>
      </w:r>
      <w:r>
        <w:t xml:space="preserve"> </w:t>
      </w:r>
      <m:oMath>
        <m:r>
          <m:t>320</m:t>
        </m:r>
      </m:oMath>
      <w:r>
        <w:t xml:space="preserve"> </w:t>
      </w:r>
      <w:r>
        <w:t xml:space="preserve">distinct</w:t>
      </w:r>
      <w:r>
        <w:t xml:space="preserve"> </w:t>
      </w:r>
      <w:r>
        <w:t xml:space="preserve">operation-cosets), roughly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</m:oMath>
      <w:r>
        <w:t xml:space="preserve"> </w:t>
      </w:r>
      <w:r>
        <w:t xml:space="preserve">the diagnostic set, sharpens every</w:t>
      </w:r>
      <w:r>
        <w:t xml:space="preserve"> </w:t>
      </w:r>
      <w:r>
        <w:t xml:space="preserve">orientation metric while leaving the packing bottleneck untouched</w:t>
      </w:r>
      <w:r>
        <w:t xml:space="preserve"> </w:t>
      </w:r>
      <w:r>
        <w:t xml:space="preserve">(Table </w:t>
      </w:r>
      <w:hyperlink w:anchor="tab:scale">
        <w:r>
          <w:rPr>
            <w:rStyle w:val="Hyperlink"/>
          </w:rPr>
          <w:t xml:space="preserve">5</w:t>
        </w:r>
      </w:hyperlink>
      <w:r>
        <w:t xml:space="preserve">). The deployable-coset gate does not merely hold: the</w:t>
      </w:r>
      <w:r>
        <w:t xml:space="preserve"> </w:t>
      </w:r>
      <w:r>
        <w:t xml:space="preserve">non-reference loss drop rises to</w:t>
      </w:r>
      <w:r>
        <w:t xml:space="preserve"> </w:t>
      </w:r>
      <m:oMath>
        <m:r>
          <m:t>54.3</m:t>
        </m:r>
        <m:r>
          <m:rPr>
            <m:sty m:val="p"/>
          </m:rPr>
          <m:t>±</m:t>
        </m:r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a paired no-coset control at</w:t>
      </w:r>
      <w:r>
        <w:t xml:space="preserve"> </w:t>
      </w:r>
      <m:oMath>
        <m:r>
          <m:t>36.8</m:t>
        </m:r>
        <m:r>
          <m:rPr>
            <m:sty m:val="p"/>
          </m:rPr>
          <m:t>±</m:t>
        </m:r>
        <m:r>
          <m:t>2.1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the coset advantage from</w:t>
      </w:r>
      <w:r>
        <w:t xml:space="preserve"> </w:t>
      </w:r>
      <m:oMath>
        <m:r>
          <m:rPr>
            <m:sty m:val="p"/>
          </m:rPr>
          <m:t>+</m:t>
        </m:r>
        <m:r>
          <m:t>13.6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17.5</m:t>
        </m:r>
      </m:oMath>
      <w:r>
        <w:t xml:space="preserve"> </w:t>
      </w:r>
      <w:r>
        <w:t xml:space="preserve">percentage points—the benefit is a property of the factorization, not a</w:t>
      </w:r>
      <w:r>
        <w:t xml:space="preserve"> </w:t>
      </w:r>
      <w:r>
        <w:t xml:space="preserve">small-data artifact. End-to-end with the coset supplied, the median orientation</w:t>
      </w:r>
      <w:r>
        <w:t xml:space="preserve"> </w:t>
      </w:r>
      <w:r>
        <w:t xml:space="preserve">error falls to</w:t>
      </w:r>
      <w:r>
        <w:t xml:space="preserve"> </w:t>
      </w:r>
      <m:oMath>
        <m:sSup>
          <m:e>
            <m:r>
              <m:t>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(from</w:t>
      </w:r>
      <w:r>
        <w:t xml:space="preserve"> </w:t>
      </w:r>
      <m:oMath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orientation-isolated</w:t>
      </w:r>
      <w:r>
        <w:t xml:space="preserve"> </w:t>
      </w:r>
      <w:r>
        <w:t xml:space="preserve">reconstruction climbs to</w:t>
      </w:r>
      <w:r>
        <w:t xml:space="preserve"> </w:t>
      </w:r>
      <m:oMath>
        <m:r>
          <m:t>56.8</m:t>
        </m:r>
        <m:r>
          <m:rPr>
            <m:sty m:val="p"/>
          </m:rPr>
          <m:t>%</m:t>
        </m:r>
      </m:oMath>
      <w:r>
        <w:t xml:space="preserve"> </w:t>
      </w:r>
      <w:r>
        <w:t xml:space="preserve">best-of-</w:t>
      </w:r>
      <m:oMath>
        <m:r>
          <m:t>8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31.7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(from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 Exact end-to-end match remains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with the lattice (</w:t>
      </w:r>
      <m:oMath>
        <m:r>
          <m:t>0.42</m:t>
        </m:r>
      </m:oMath>
      <w:r>
        <w:t xml:space="preserve">) and</w:t>
      </w:r>
      <w:r>
        <w:t xml:space="preserve"> </w:t>
      </w:r>
      <w:r>
        <w:t xml:space="preserve">centroid (</w:t>
      </w:r>
      <m:oMath>
        <m:r>
          <m:t>0.35</m:t>
        </m:r>
      </m:oMath>
      <w:r>
        <w:t xml:space="preserve">) component errors essentially unchanged: scaling data sharpens</w:t>
      </w:r>
      <w:r>
        <w:t xml:space="preserve"> </w:t>
      </w:r>
      <w:r>
        <w:t xml:space="preserve">orientation but does not move the joint lattice–centroid bottleneck.</w:t>
      </w:r>
    </w:p>
    <w:bookmarkStart w:id="21" w:name="tab:scale"/>
    <w:p>
      <w:pPr>
        <w:pStyle w:val="TableCaption"/>
        <w:spacing w:before="0" w:after="0" w:line="480" w:lineRule="auto"/>
      </w:pPr>
      <w:r>
        <w:t xml:space="preserve">Table 5. Diagnostic (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1.1</m:t>
        </m:r>
      </m:oMath>
      <w:r>
        <w:t xml:space="preserve">k) vs. scale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2.5</m:t>
        </m:r>
      </m:oMath>
      <w:r>
        <w:t xml:space="preserve">k) corpus:</w:t>
      </w:r>
      <w:r>
        <w:t xml:space="preserve"> </w:t>
      </w:r>
      <w:r>
        <w:t xml:space="preserve">orientation metrics sharpen with data while end-to-end exact match stays</w:t>
      </w:r>
      <w:r>
        <w:t xml:space="preserve"> </w:t>
      </w:r>
      <w:r>
        <w:t xml:space="preserve">lattice/centroid-limited. The gate is the held-out non-reference orientation-loss</w:t>
      </w:r>
      <w:r>
        <w:t xml:space="preserve"> </w:t>
      </w:r>
      <w:r>
        <w:t xml:space="preserve">drop (deployable coset,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); orientation-isolated match is best-of-</w:t>
      </w:r>
      <m:oMath>
        <m:r>
          <m:t>8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true lattice</w:t>
      </w:r>
      <m:oMath>
        <m:r>
          <m:rPr>
            <m:sty m:val="p"/>
          </m:rPr>
          <m:t>+</m:t>
        </m:r>
      </m:oMath>
      <w:r>
        <w:t xml:space="preserve">centroid supplied.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 Diagnostic (N\!\approx\!1.1k) vs. scale (N\!=\!2.5k) corpus: orientation metrics sharpen with data while end-to-end exact match stays lattice/centroid-limited. The gate is the held-out non-reference orientation-loss drop (deployable coset, K{=}1); orientation-isolated match is best-of-8 with true lattice+centroid supplie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 gate: non-ref. loss drop (deployable)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41.1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54.3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no-coset control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 advantage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13.6</m:t>
              </m:r>
            </m:oMath>
            <w:r>
              <w:t xml:space="preserve"> </w:t>
            </w:r>
            <w:r>
              <w:t xml:space="preserve">pp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17.5</m:t>
              </m:r>
            </m:oMath>
            <w:r>
              <w:t xml:space="preserve"> </w:t>
            </w: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orientation error (coset supplied)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13.4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4.3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orient-isolated match (best-of-</w:t>
            </w:r>
            <m:oMath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56.8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orient-isolated orientation error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41.1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31.7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predictor top-1 (majority baseline)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39.5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43.1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10.4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exact match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1"/>
    <w:bookmarkEnd w:id="22"/>
    <w:bookmarkStart w:id="24" w:name="sec:bench"/>
    <w:p>
      <w:pPr>
        <w:pStyle w:val="Heading2"/>
        <w:spacing w:before="0" w:after="0" w:line="480" w:lineRule="auto"/>
      </w:pPr>
      <w:r>
        <w:t xml:space="preserve">Comparison to rigid-body baselines</w:t>
      </w:r>
    </w:p>
    <w:p>
      <w:pPr>
        <w:pStyle w:val="FirstParagraph"/>
        <w:spacing w:before="0" w:after="0" w:line="480" w:lineRule="auto"/>
      </w:pPr>
      <w:r>
        <w:t xml:space="preserve">To make the contribution legible to the same reviewers, we re-score held-out</w:t>
      </w:r>
      <w:r>
        <w:t xml:space="preserve"> </w:t>
      </w:r>
      <w:r>
        <w:t xml:space="preserve">generations from the deployable coset model (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1.1</m:t>
        </m:r>
      </m:oMath>
      <w:r>
        <w:t xml:space="preserve">k) in</w:t>
      </w:r>
      <w:r>
        <w:t xml:space="preserve"> </w:t>
      </w:r>
      <w:r>
        <w:t xml:space="preserve">MolCrystalFlow’s exact units</w:t>
      </w:r>
      <w:r>
        <w:rPr>
          <w:vertAlign w:val="superscript"/>
        </w:rPr>
        <w:t xml:space="preserve">6</w:t>
      </w:r>
      <w:r>
        <w:t xml:space="preserve">: pymatgen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ltol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atol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site</w:t>
      </w:r>
      <w:r>
        <w:t xml:space="preserve"> </w:t>
      </w:r>
      <w:r>
        <w:t xml:space="preserve">tolerance swept</w:t>
      </w:r>
      <w:r>
        <w:t xml:space="preserve"> </w:t>
      </w:r>
      <m:oMath>
        <m:r>
          <m:t>0.5</m:t>
        </m:r>
      </m:oMath>
      <w:r>
        <w:t xml:space="preserve">–</w:t>
      </w:r>
      <m:oMath>
        <m:r>
          <m:t>1.2</m:t>
        </m:r>
      </m:oMath>
      <w:r>
        <w:t xml:space="preserve">), best-of-</w:t>
      </w:r>
      <m:oMath>
        <m:r>
          <m:t>10</m:t>
        </m:r>
      </m:oMath>
      <w:r>
        <w:t xml:space="preserve"> </w:t>
      </w:r>
      <w:r>
        <w:t xml:space="preserve">match rate, and the relative</w:t>
      </w:r>
      <w:r>
        <w:t xml:space="preserve"> </w:t>
      </w:r>
      <w:r>
        <w:t xml:space="preserve">cell-volume deviation (RMAD) over all ten samples. We pair a de-novo pass (no</w:t>
      </w:r>
      <w:r>
        <w:t xml:space="preserve"> </w:t>
      </w:r>
      <w:r>
        <w:t xml:space="preserve">template, coset off—the MolCrystalFlow/MOFFlow regime) against our</w:t>
      </w:r>
      <w:r>
        <w:t xml:space="preserve"> </w:t>
      </w:r>
      <w:r>
        <w:t xml:space="preserve">symmetry-conditioned pass (coset on) on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prior draws</w:t>
      </w:r>
      <w:r>
        <w:t xml:space="preserve"> </w:t>
      </w:r>
      <w:r>
        <w:t xml:space="preserve">(Table </w:t>
      </w:r>
      <w:hyperlink w:anchor="tab:bench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BodyText"/>
        <w:spacing w:before="0" w:after="0" w:line="480" w:lineRule="auto"/>
      </w:pPr>
      <w:r>
        <w:t xml:space="preserve">Two readings are deliberate and honest. First, end-to-end our diagnostic-scale</w:t>
      </w:r>
      <w:r>
        <w:t xml:space="preserve"> </w:t>
      </w:r>
      <w:r>
        <w:t xml:space="preserve">model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competitive with the dedicated flows on either axis:</w:t>
      </w:r>
      <w:r>
        <w:t xml:space="preserve"> </w:t>
      </w:r>
      <w:r>
        <w:t xml:space="preserve">best-of-</w:t>
      </w:r>
      <m:oMath>
        <m:r>
          <m:t>10</m:t>
        </m:r>
      </m:oMath>
      <w:r>
        <w:t xml:space="preserve"> </w:t>
      </w:r>
      <w:r>
        <w:t xml:space="preserve">match is at floor (</w:t>
      </w:r>
      <m:oMath>
        <m:r>
          <m:t>0</m:t>
        </m:r>
      </m:oMath>
      <w:r>
        <w:t xml:space="preserve">–</w:t>
      </w:r>
      <m:oMath>
        <m:r>
          <m:t>0.8</m:t>
        </m:r>
        <m:r>
          <m:rPr>
            <m:sty m:val="p"/>
          </m:rPr>
          <m:t>%</m:t>
        </m:r>
      </m:oMath>
      <w:r>
        <w:t xml:space="preserve">) against MolCrystalFlow’s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6.8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0.8</m:t>
        </m:r>
      </m:oMath>
      <w:r>
        <w:t xml:space="preserve">, and cell-volume RMAD (</w:t>
      </w:r>
      <m:oMath>
        <m:r>
          <m:rPr>
            <m:sty m:val="p"/>
          </m:rPr>
          <m:t>∼</m:t>
        </m:r>
        <m:r>
          <m:t>​</m:t>
        </m:r>
        <m:r>
          <m:t>31</m:t>
        </m:r>
        <m:r>
          <m:rPr>
            <m:sty m:val="p"/>
          </m:rPr>
          <m:t>%</m:t>
        </m:r>
      </m:oMath>
      <w:r>
        <w:t xml:space="preserve">) lands between MOFFlow</w:t>
      </w:r>
      <w:r>
        <w:t xml:space="preserve"> </w:t>
      </w:r>
      <w:r>
        <w:t xml:space="preserve">(</w:t>
      </w:r>
      <m:oMath>
        <m:r>
          <m:t>18.8</m:t>
        </m:r>
        <m:r>
          <m:rPr>
            <m:sty m:val="p"/>
          </m:rPr>
          <m:t>%</m:t>
        </m:r>
      </m:oMath>
      <w:r>
        <w:t xml:space="preserve">) and raw Genarris-3 (</w:t>
      </w:r>
      <m:oMath>
        <m:r>
          <m:t>59</m:t>
        </m:r>
        <m:r>
          <m:rPr>
            <m:sty m:val="p"/>
          </m:rPr>
          <m:t>%</m:t>
        </m:r>
      </m:oMath>
      <w:r>
        <w:t xml:space="preserve">) but well above MolCrystalFlow (</w:t>
      </w:r>
      <m:oMath>
        <m:r>
          <m:t>3.9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This is the lattice/centroid bottleneck of Table </w:t>
      </w:r>
      <w:hyperlink w:anchor="tab:scal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now measured in</w:t>
      </w:r>
      <w:r>
        <w:t xml:space="preserve"> </w:t>
      </w:r>
      <w:r>
        <w:t xml:space="preserve">the baselines’ units: our lattice and centroid heads are diagnostic-grade</w:t>
      </w:r>
      <w:r>
        <w:t xml:space="preserve"> </w:t>
      </w:r>
      <w:r>
        <w:rPr>
          <w:i/>
          <w:iCs/>
        </w:rPr>
        <w:t xml:space="preserve">before finishing</w:t>
      </w:r>
      <w:r>
        <w:t xml:space="preserve">, and §</w:t>
      </w:r>
      <w:hyperlink w:anchor="sec:ladder">
        <w:r>
          <w:rPr>
            <w:rStyle w:val="Hyperlink"/>
          </w:rPr>
          <w:t xml:space="preserve">2.8</w:t>
        </w:r>
      </w:hyperlink>
      <w:r>
        <w:t xml:space="preserve"> </w:t>
      </w:r>
      <w:r>
        <w:t xml:space="preserve">closes exactly this end-to-end</w:t>
      </w:r>
      <w:r>
        <w:t xml:space="preserve"> </w:t>
      </w:r>
      <w:r>
        <w:t xml:space="preserve">gap—to parity with MolCrystalFlow—with full lattice symmetry conditioning and</w:t>
      </w:r>
      <w:r>
        <w:t xml:space="preserve"> </w:t>
      </w:r>
      <w:r>
        <w:t xml:space="preserve">the finisher. Second, and the point of the paper, is the axis those baselines leave</w:t>
      </w:r>
      <w:r>
        <w:t xml:space="preserve"> </w:t>
      </w:r>
      <w:r>
        <w:rPr>
          <w:i/>
          <w:iCs/>
        </w:rPr>
        <w:t xml:space="preserve">unconditioned</w:t>
      </w:r>
      <w:r>
        <w:t xml:space="preserve">. The coset barely moves RMAD (</w:t>
      </w:r>
      <m:oMath>
        <m:r>
          <m:t>32.9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30.7</m:t>
        </m:r>
        <m:r>
          <m:rPr>
            <m:sty m:val="p"/>
          </m:rPr>
          <m:t>%</m:t>
        </m:r>
      </m:oMath>
      <w:r>
        <w:t xml:space="preserve">)—it</w:t>
      </w:r>
      <w:r>
        <w:t xml:space="preserve"> </w:t>
      </w:r>
      <w:r>
        <w:t xml:space="preserve">conditions orientation, not packing—but on the same prior draws it collapses the</w:t>
      </w:r>
      <w:r>
        <w:t xml:space="preserve"> </w:t>
      </w:r>
      <w:r>
        <w:t xml:space="preserve">median best-of-</w:t>
      </w:r>
      <m:oMath>
        <m:r>
          <m:t>10</m:t>
        </m:r>
      </m:oMath>
      <w:r>
        <w:t xml:space="preserve"> </w:t>
      </w:r>
      <w:r>
        <w:t xml:space="preserve">orientation error from</w:t>
      </w:r>
      <w:r>
        <w:t xml:space="preserve"> </w:t>
      </w:r>
      <m:oMath>
        <m:sSup>
          <m:e>
            <m:r>
              <m:t>103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(de-novo) to</w:t>
      </w:r>
      <w:r>
        <w:t xml:space="preserve"> </w:t>
      </w:r>
      <m:oMath>
        <m:sSup>
          <m:e>
            <m:r>
              <m:t>14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(conditioned). MolCrystalFlow and MOFFlow are both symmetry-free and have no such</w:t>
      </w:r>
      <w:r>
        <w:t xml:space="preserve"> </w:t>
      </w:r>
      <w:r>
        <w:t xml:space="preserve">lever; MolCrystalFlow is itself only</w:t>
      </w:r>
      <w:r>
        <w:t xml:space="preserve"> </w:t>
      </w:r>
      <w:r>
        <w:rPr>
          <w:i/>
          <w:iCs/>
        </w:rPr>
        <w:t xml:space="preserve">competitive</w:t>
      </w:r>
      <w:r>
        <w:t xml:space="preserve"> </w:t>
      </w:r>
      <w:r>
        <w:t xml:space="preserve">with the</w:t>
      </w:r>
      <w:r>
        <w:t xml:space="preserve"> </w:t>
      </w:r>
      <w:r>
        <w:t xml:space="preserve">space-group-conditioned Genarris-3, corroborating that symmetry conditioning—not</w:t>
      </w:r>
      <w:r>
        <w:t xml:space="preserve"> </w:t>
      </w:r>
      <w:r>
        <w:t xml:space="preserve">packing—is the remaining lever. Our contribution supplies exactly that for</w:t>
      </w:r>
      <w:r>
        <w:t xml:space="preserve"> </w:t>
      </w:r>
      <w:r>
        <w:t xml:space="preserve">rigid-body orientation and composes with the strong packing these methods already</w:t>
      </w:r>
      <w:r>
        <w:t xml:space="preserve"> </w:t>
      </w:r>
      <w:r>
        <w:t xml:space="preserve">have.</w:t>
      </w:r>
      <w:r>
        <w:t xml:space="preserve"> </w:t>
      </w:r>
      <w:r>
        <w:rPr>
          <w:i/>
          <w:iCs/>
        </w:rPr>
        <w:t xml:space="preserve">Caveat:</w:t>
      </w:r>
      <w:r>
        <w:t xml:space="preserve"> </w:t>
      </w:r>
      <w:r>
        <w:t xml:space="preserve">identical matcher and match@</w:t>
      </w:r>
      <m:oMath>
        <m:r>
          <m:t>10</m:t>
        </m:r>
      </m:oMath>
      <w:r>
        <w:t xml:space="preserve"> </w:t>
      </w:r>
      <w:r>
        <w:t xml:space="preserve">as MolCrystalFlow, but our</w:t>
      </w:r>
      <w:r>
        <w:t xml:space="preserve"> </w:t>
      </w:r>
      <w:r>
        <w:t xml:space="preserve">corpus is a smaller CSD-derived molecular set (not Thürlemann/OMC25) at diagnostic</w:t>
      </w:r>
      <w:r>
        <w:t xml:space="preserve"> </w:t>
      </w:r>
      <w:r>
        <w:t xml:space="preserve">scale—a comparable-task alignment, not a strict head-to-head.</w:t>
      </w:r>
    </w:p>
    <w:bookmarkStart w:id="23" w:name="tab:bench"/>
    <w:p>
      <w:pPr>
        <w:pStyle w:val="TableCaption"/>
        <w:spacing w:before="0" w:after="0" w:line="480" w:lineRule="auto"/>
      </w:pPr>
      <w:r>
        <w:t xml:space="preserve">Table 6. Held-out generations in MolCrystalFlow’s units (best-of-</w:t>
      </w:r>
      <m:oMath>
        <m:r>
          <m:t>10</m:t>
        </m:r>
      </m:oMath>
      <w:r>
        <w:t xml:space="preserve">;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ltol</w:t>
      </w:r>
      <m:oMath>
        <m:r>
          <m:rPr>
            <m:sty m:val="p"/>
          </m:rPr>
          <m:t>=</m:t>
        </m:r>
        <m:r>
          <m:t>0.3</m:t>
        </m:r>
      </m:oMath>
      <w:r>
        <w:t xml:space="preserve">/atol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RMAD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t xml:space="preserve">relative cell-volume deviation over all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samples). Baseline rows are as</w:t>
      </w:r>
      <w:r>
        <w:t xml:space="preserve"> </w:t>
      </w:r>
      <w:r>
        <w:t xml:space="preserve">reported</w:t>
      </w:r>
      <w:r>
        <w:rPr>
          <w:vertAlign w:val="superscript"/>
        </w:rPr>
        <w:t xml:space="preserve">6,7</w:t>
      </w:r>
      <w:r>
        <w:t xml:space="preserve"> </w:t>
      </w:r>
      <w:r>
        <w:t xml:space="preserve">(Genarris-3 via the comparison</w:t>
      </w:r>
      <w:r>
        <w:t xml:space="preserve"> </w:t>
      </w:r>
      <w:r>
        <w:t xml:space="preserve">in ref ). Our end-to-end match and RMAD are</w:t>
      </w:r>
      <w:r>
        <w:t xml:space="preserve"> </w:t>
      </w:r>
      <w:r>
        <w:t xml:space="preserve">lattice/centroid-limited; the coset acts on orientation (last column)—the axis</w:t>
      </w:r>
      <w:r>
        <w:t xml:space="preserve"> </w:t>
      </w:r>
      <w:r>
        <w:t xml:space="preserve">the symmetry-free baselines omit.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 Held-out generations in MolCrystalFlow’s units (best-of-10; StructureMatcher ltol=0.3/atol=10^\circ; RMAD_{\mathrm{vol}} = relative cell-volume deviation over all 10 samples). Baseline rows are as reported6,7 (Genarris-3 via the comparison in ref ). Our end-to-end match and RMAD are lattice/centroid-limited; the coset acts on orientation (last column)—the axis the symmetry-free baselines om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match@10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RMAD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orient. err.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0.8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1.0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(all 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(best-of-10)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MolCrystalFlow (sym-free)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MOFFlow (sym-free)</w:t>
            </w:r>
            <w:r>
              <w:rPr>
                <w:vertAlign w:val="superscript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Genarris-3 (sym-cond.)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comp. w/ MCF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de-novo (coset off)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32.9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conditioned (coset on)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14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bookmarkEnd w:id="23"/>
    <w:bookmarkEnd w:id="24"/>
    <w:bookmarkStart w:id="30" w:name="sec:ladder"/>
    <w:p>
      <w:pPr>
        <w:pStyle w:val="Heading2"/>
        <w:spacing w:before="0" w:after="0" w:line="480" w:lineRule="auto"/>
      </w:pPr>
      <w:r>
        <w:t xml:space="preserve">From 0% to parity: the exact-match lever ladder</w:t>
      </w:r>
    </w:p>
    <w:p>
      <w:pPr>
        <w:pStyle w:val="FirstParagraph"/>
        <w:spacing w:before="0" w:after="0" w:line="480" w:lineRule="auto"/>
      </w:pPr>
      <w:r>
        <w:t xml:space="preserve">The bottleneck the bench isolates—exact match at floor while orientation is</w:t>
      </w:r>
      <w:r>
        <w:t xml:space="preserve"> </w:t>
      </w:r>
      <w:r>
        <w:t xml:space="preserve">solved—is the question this section answers. Extending symmetry conditioning to</w:t>
      </w:r>
      <w:r>
        <w:t xml:space="preserve"> </w:t>
      </w:r>
      <w:r>
        <w:t xml:space="preserve">the lattice (§</w:t>
      </w:r>
      <w:hyperlink w:anchor="sec:family">
        <w:r>
          <w:rPr>
            <w:rStyle w:val="Hyperlink"/>
          </w:rPr>
          <w:t xml:space="preserve">4.5</w:t>
        </w:r>
      </w:hyperlink>
      <w:r>
        <w:t xml:space="preserve">) restores the crystal-family geometry (generated</w:t>
      </w:r>
      <w:r>
        <w:t xml:space="preserve"> </w:t>
      </w:r>
      <w:r>
        <w:t xml:space="preserve">cell angles within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rise from</w:t>
      </w:r>
      <w:r>
        <w:t xml:space="preserve"> </w:t>
      </w:r>
      <m:oMath>
        <m:r>
          <m:t>16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73.6</m:t>
        </m:r>
        <m:r>
          <m:rPr>
            <m:sty m:val="p"/>
          </m:rPr>
          <m:t>%</m:t>
        </m:r>
      </m:oMath>
      <w:r>
        <w:t xml:space="preserve">, matching</w:t>
      </w:r>
      <w:r>
        <w:t xml:space="preserve"> </w:t>
      </w:r>
      <w:r>
        <w:t xml:space="preserve">the reference</w:t>
      </w:r>
      <w:r>
        <w:t xml:space="preserve"> </w:t>
      </w:r>
      <m:oMath>
        <m:r>
          <m:t>74.0</m:t>
        </m:r>
        <m:r>
          <m:rPr>
            <m:sty m:val="p"/>
          </m:rPr>
          <m:t>%</m:t>
        </m:r>
      </m:oMath>
      <w:r>
        <w:t xml:space="preserve">, ablation-isolated to the mask), but on its own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move exact match: the fully symmetry-conditioned flow still matches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held-out crystals. Fixing crystal family perfectly is necessary, not</w:t>
      </w:r>
      <w:r>
        <w:t xml:space="preserve"> </w:t>
      </w:r>
      <w:r>
        <w:t xml:space="preserve">sufficient—the residual blocker is close-packing</w:t>
      </w:r>
      <w:r>
        <w:t xml:space="preserve"> </w:t>
      </w:r>
      <w:r>
        <w:rPr>
          <w:i/>
          <w:iCs/>
        </w:rPr>
        <w:t xml:space="preserve">precision</w:t>
      </w:r>
      <w:r>
        <w:t xml:space="preserve">. The finishing</w:t>
      </w:r>
      <w:r>
        <w:t xml:space="preserve"> </w:t>
      </w:r>
      <w:r>
        <w:t xml:space="preserve">stack of §</w:t>
      </w:r>
      <w:hyperlink w:anchor="sec:finish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supplies it, and we ablate each lever independently</w:t>
      </w:r>
      <w:r>
        <w:t xml:space="preserve"> </w:t>
      </w:r>
      <w:r>
        <w:t xml:space="preserve">(Table </w:t>
      </w:r>
      <w:hyperlink w:anchor="tab:ladder">
        <w:r>
          <w:rPr>
            <w:rStyle w:val="Hyperlink"/>
          </w:rPr>
          <w:t xml:space="preserve">7</w:t>
        </w:r>
      </w:hyperlink>
      <w:r>
        <w:t xml:space="preserve">, Fig. </w:t>
      </w:r>
      <w:hyperlink w:anchor="fig:ladder">
        <w:r>
          <w:rPr>
            <w:rStyle w:val="Hyperlink"/>
          </w:rPr>
          <w:t xml:space="preserve">1</w:t>
        </w:r>
      </w:hyperlink>
      <w:r>
        <w:t xml:space="preserve">; best-of-</w:t>
      </w:r>
      <m:oMath>
        <m:r>
          <m:t>10</m:t>
        </m:r>
      </m:oMath>
      <w:r>
        <w:t xml:space="preserve">,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, 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).</w:t>
      </w:r>
    </w:p>
    <w:p>
      <w:pPr>
        <w:pStyle w:val="BodyText"/>
        <w:spacing w:before="0" w:after="0" w:line="480" w:lineRule="auto"/>
      </w:pPr>
      <w:r>
        <w:t xml:space="preserve">The rigid-press finisher alone unblocks match (</w:t>
      </w:r>
      <m:oMath>
        <m:r>
          <m:t>0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1.5</m:t>
        </m:r>
        <m:r>
          <m:rPr>
            <m:sty m:val="p"/>
          </m:rPr>
          <m:t>%</m:t>
        </m:r>
      </m:oMath>
      <w:r>
        <w:t xml:space="preserve">; the raw flow</w:t>
      </w:r>
      <w:r>
        <w:t xml:space="preserve"> </w:t>
      </w:r>
      <w:r>
        <w:t xml:space="preserve">matches nothing); repairing the centroid head doubles it to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; corpus scale</w:t>
      </w:r>
      <w:r>
        <w:t xml:space="preserve"> </w:t>
      </w:r>
      <w:r>
        <w:t xml:space="preserve">(</w:t>
      </w:r>
      <m:oMath>
        <m:r>
          <m:t>2.3</m:t>
        </m:r>
        <m:r>
          <m:rPr>
            <m:sty m:val="p"/>
          </m:rPr>
          <m:t>×</m:t>
        </m:r>
      </m:oMath>
      <w:r>
        <w:t xml:space="preserve">) improves the averaged metrics (RMAD, coset error) but leaves exact</w:t>
      </w:r>
      <w:r>
        <w:t xml:space="preserve"> </w:t>
      </w:r>
      <w:r>
        <w:t xml:space="preserve">match flat at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, mirroring the orientation-scale finding of</w:t>
      </w:r>
      <w:r>
        <w:t xml:space="preserve"> </w:t>
      </w:r>
      <w:r>
        <w:t xml:space="preserve">§</w:t>
      </w:r>
      <w:hyperlink w:anchor="sec:scale">
        <w:r>
          <w:rPr>
            <w:rStyle w:val="Hyperlink"/>
          </w:rPr>
          <w:t xml:space="preserve">2.6</w:t>
        </w:r>
      </w:hyperlink>
      <w:r>
        <w:t xml:space="preserve">. Self-conditioning is the first lever to move the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tolerance, and scoring at MolCrystalFlow’s own match@</w:t>
      </w:r>
      <m:oMath>
        <m:r>
          <m:t>10</m:t>
        </m:r>
      </m:oMath>
      <w:r>
        <w:t xml:space="preserve"> </w:t>
      </w:r>
      <w:r>
        <w:t xml:space="preserve">protocol with finer</w:t>
      </w:r>
      <w:r>
        <w:t xml:space="preserve"> </w:t>
      </w:r>
      <w:r>
        <w:t xml:space="preserve">(</w:t>
      </w:r>
      <m:oMath>
        <m:r>
          <m:t>100</m:t>
        </m:r>
      </m:oMath>
      <w:r>
        <w:t xml:space="preserve">-step) sampling reaches</w:t>
      </w:r>
      <w:r>
        <w:t xml:space="preserve"> </w:t>
      </w:r>
      <m:oMath>
        <m:r>
          <m:t>6.1</m:t>
        </m:r>
        <m:r>
          <m:rPr>
            <m:sty m:val="p"/>
          </m:rPr>
          <m:t>%</m:t>
        </m:r>
      </m:oMath>
      <w:r>
        <w:t xml:space="preserve">; AlphaFold-style recycling reaches</w:t>
      </w:r>
      <w:r>
        <w:t xml:space="preserve"> </w:t>
      </w:r>
      <m:oMath>
        <m:r>
          <m:rPr>
            <m:sty m:val="b"/>
          </m:rPr>
          <m:t>6.9</m:t>
        </m:r>
        <m:r>
          <m:rPr>
            <m:sty m:val="b"/>
          </m:rPr>
          <m:t>%</m:t>
        </m:r>
      </m:oMath>
      <w:r>
        <w:t xml:space="preserve">—statistical parity with MolCrystalFlow’s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</w:t>
      </w:r>
      <w:r>
        <w:t xml:space="preserve"> </w:t>
      </w:r>
      <m:oMath>
        <m:r>
          <m:t>3.66</m:t>
        </m:r>
      </m:oMath>
      <w:r>
        <w:t xml:space="preserve">–</w:t>
      </w:r>
      <m:oMath>
        <m:r>
          <m:t>12.54</m:t>
        </m:r>
      </m:oMath>
      <w:r>
        <w:t xml:space="preserve">, overlapping</w:t>
      </w:r>
      <w:r>
        <w:t xml:space="preserve"> </w:t>
      </w:r>
      <m:oMath>
        <m:r>
          <m:t>8</m:t>
        </m:r>
      </m:oMath>
      <w:r>
        <w:t xml:space="preserve">), from a flow that matched zero. An orientation-TTA</w:t>
      </w:r>
      <w:r>
        <w:t xml:space="preserve"> </w:t>
      </w:r>
      <w:r>
        <w:t xml:space="preserve">finishing pass (best-of-</w:t>
      </w:r>
      <m:oMath>
        <m:r>
          <m:t>30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the finishing candidates) reaches</w:t>
      </w:r>
      <w:r>
        <w:t xml:space="preserve"> </w:t>
      </w:r>
      <m:oMath>
        <m:r>
          <m:rPr>
            <m:sty m:val="b"/>
          </m:rPr>
          <m:t>10.7</m:t>
        </m:r>
        <m:r>
          <m:rPr>
            <m:sty m:val="b"/>
          </m:rPr>
          <m:t>%</m:t>
        </m:r>
      </m:oMath>
      <w:r>
        <w:t xml:space="preserve">, above MolCrystalFlow, though at a larger finishing budget than</w:t>
      </w:r>
      <w:r>
        <w:t xml:space="preserve"> </w:t>
      </w:r>
      <w:r>
        <w:t xml:space="preserve">strict match@</w:t>
      </w:r>
      <m:oMath>
        <m:r>
          <m:t>10</m:t>
        </m:r>
      </m:oMath>
      <w:r>
        <w:t xml:space="preserve">. The median atom-RMSD to the reference falls from</w:t>
      </w:r>
      <w:r>
        <w:t xml:space="preserve"> </w:t>
      </w:r>
      <m:oMath>
        <m:r>
          <m:t>1.02</m:t>
        </m:r>
      </m:oMath>
      <w:r>
        <w:t xml:space="preserve"> </w:t>
      </w:r>
      <w:r>
        <w:t xml:space="preserve">(raw) to</w:t>
      </w:r>
      <w:r>
        <w:t xml:space="preserve"> </w:t>
      </w:r>
      <m:oMath>
        <m:r>
          <m:t>0.77</m:t>
        </m:r>
      </m:oMath>
      <w:r>
        <w:t xml:space="preserve"> </w:t>
      </w:r>
      <w:r>
        <w:t xml:space="preserve">(best), and cell-volume RMAD from</w:t>
      </w:r>
      <w:r>
        <w:t xml:space="preserve"> </w:t>
      </w:r>
      <m:oMath>
        <m:r>
          <m:t>33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21</m:t>
        </m:r>
        <m:r>
          <m:rPr>
            <m:sty m:val="p"/>
          </m:rPr>
          <m:t>%</m:t>
        </m:r>
      </m:oMath>
      <w:r>
        <w:t xml:space="preserve">. Diminishing returns are</w:t>
      </w:r>
      <w:r>
        <w:t xml:space="preserve"> </w:t>
      </w:r>
      <w:r>
        <w:t xml:space="preserve">explicit: recycling and orientation-TTA both refine positioning, so stacking them</w:t>
      </w:r>
      <w:r>
        <w:t xml:space="preserve"> </w:t>
      </w:r>
      <w:r>
        <w:t xml:space="preserve">(</w:t>
      </w:r>
      <m:oMath>
        <m:r>
          <m:t>8.4</m:t>
        </m:r>
        <m:r>
          <m:rPr>
            <m:sty m:val="p"/>
          </m:rPr>
          <m:t>%</m:t>
        </m:r>
      </m:oMath>
      <w:r>
        <w:t xml:space="preserve">) underperforms TTA alone; corpus scale and cell relaxation add nothing to</w:t>
      </w:r>
      <w:r>
        <w:t xml:space="preserve"> </w:t>
      </w:r>
      <w:r>
        <w:t xml:space="preserve">match. These diminishing returns mark the effective ceiling for the current architecture.</w:t>
      </w:r>
    </w:p>
    <w:bookmarkStart w:id="28" w:name="fig:ladder"/>
    <w:p>
      <w:pPr>
        <w:pStyle w:val="CaptionedFigure"/>
        <w:spacing w:before="0" w:after="0" w:line="480" w:lineRule="auto"/>
      </w:pPr>
      <w:r>
        <w:drawing>
          <wp:inline>
            <wp:extent cx="5334000" cy="23584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3_ladd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0" w:line="480" w:lineRule="auto"/>
      </w:pPr>
      <w:r>
        <w:t xml:space="preserve">Figure 1. The exact-match lever ladder (coset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, best-of-</w:t>
      </w:r>
      <m:oMath>
        <m:r>
          <m:t>10</m:t>
        </m:r>
      </m:oMath>
      <w:r>
        <w:t xml:space="preserve">,</w:t>
      </w:r>
      <w:r>
        <w:t xml:space="preserve"> </w:t>
      </w:r>
      <w:r>
        <w:rPr>
          <w:smallCaps/>
        </w:rPr>
        <w:t xml:space="preserve">StructureMatcher</w:t>
      </w:r>
      <w:r>
        <w:t xml:space="preserve">).</w:t>
      </w:r>
      <w:r>
        <w:t xml:space="preserve"> </w:t>
      </w:r>
      <w:r>
        <w:rPr>
          <w:b/>
          <w:bCs/>
        </w:rPr>
        <w:t xml:space="preserve">(a)</w:t>
      </w:r>
      <w:r>
        <w:t xml:space="preserve"> Each lever added in turn lifts held-out</w:t>
      </w:r>
      <w:r>
        <w:t xml:space="preserve"> </w:t>
      </w:r>
      <w:r>
        <w:t xml:space="preserve">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(raw fully symmetry-conditioned flow) 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, at parity with MolCrystalFlow (dashed); the orientation-TTA</w:t>
      </w:r>
      <w:r>
        <w:t xml:space="preserve"> </w:t>
      </w:r>
      <w:r>
        <w:t xml:space="preserve">pass reaches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at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finishing budget.</w:t>
      </w:r>
      <w:r>
        <w:t xml:space="preserve"> </w:t>
      </w:r>
      <w:r>
        <w:rPr>
          <w:b/>
          <w:bCs/>
        </w:rPr>
        <w:t xml:space="preserve">(b)</w:t>
      </w:r>
      <w:r>
        <w:t xml:space="preserve"> The best</w:t>
      </w:r>
      <w:r>
        <w:t xml:space="preserve"> </w:t>
      </w:r>
      <w:r>
        <w:t xml:space="preserve">configuration across the site-tolerance sweep against MolCrystalFlow’s reported</w:t>
      </w:r>
      <w:r>
        <w:t xml:space="preserve"> </w:t>
      </w:r>
      <w:r>
        <w:t xml:space="preserve">match@</w:t>
      </w:r>
      <m:oMath>
        <m:r>
          <m:t>10</m:t>
        </m:r>
      </m:oMath>
      <w:r>
        <w:t xml:space="preserve">: strict match@</w:t>
      </w:r>
      <m:oMath>
        <m:r>
          <m:t>10</m:t>
        </m:r>
      </m:oMath>
      <w:r>
        <w:t xml:space="preserve"> </w:t>
      </w:r>
      <w:r>
        <w:t xml:space="preserve">is at parity, orientation-TTA clears it.</w:t>
      </w:r>
    </w:p>
    <w:bookmarkEnd w:id="28"/>
    <w:bookmarkStart w:id="29" w:name="tab:ladder"/>
    <w:p>
      <w:pPr>
        <w:pStyle w:val="TableCaption"/>
        <w:spacing w:before="0" w:after="0" w:line="480" w:lineRule="auto"/>
      </w:pPr>
      <w:r>
        <w:t xml:space="preserve">Table 7. Exact-match lever ladder: held-out best-of-</w:t>
      </w:r>
      <m:oMath>
        <m:r>
          <m:t>10</m:t>
        </m:r>
      </m:oMath>
      <w:r>
        <w:t xml:space="preserve"> </w:t>
      </w:r>
      <w:r>
        <w:t xml:space="preserve">match (coset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;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ltol</w:t>
      </w:r>
      <m:oMath>
        <m:r>
          <m:rPr>
            <m:sty m:val="p"/>
          </m:rPr>
          <m:t>=</m:t>
        </m:r>
        <m:r>
          <m:t>0.3</m:t>
        </m:r>
      </m:oMath>
      <w:r>
        <w:t xml:space="preserve">/atol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frozen cell). Each row adds</w:t>
      </w:r>
      <w:r>
        <w:t xml:space="preserve"> </w:t>
      </w:r>
      <w:r>
        <w:t xml:space="preserve">one lever to the row above. Strict match@</w:t>
      </w:r>
      <m:oMath>
        <m:r>
          <m:t>10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model draws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single</w:t>
      </w:r>
      <w:r>
        <w:t xml:space="preserve"> </w:t>
      </w:r>
      <w:r>
        <w:t xml:space="preserve">finish; orientation-TTA is best-of-</w:t>
      </w:r>
      <m:oMath>
        <m:r>
          <m:t>30</m:t>
        </m:r>
      </m:oMath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finishing candidates).</w:t>
      </w:r>
      <w:r>
        <w:t xml:space="preserve"> </w:t>
      </w:r>
      <w:r>
        <w:t xml:space="preserve">MolCrystalFlow is the symmetry-free rigid-body flow.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. Exact-match lever ladder: held-out best-of-10 match (coset on, n{=}131; StructureMatcher ltol=0.3/atol=10^\circ; frozen cell). Each row adds one lever to the row above. Strict match@10 is 10 model draws \times single finish; orientation-TTA is best-of-30 (3\times finishing candidates). MolCrystalFlow is the symmetry-free rigid-body flow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0.8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flow (fully sym-conditioned)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mask + coset, no 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rigid-press finisher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physical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centroid fix (OT + prior)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 centroid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RMAD/coset, not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self-conditioning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 move tight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match@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+ steps</w:t>
            </w:r>
            <m:oMath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protocol + finer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recycling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6.1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6.9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strict; parity w/ MCF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orientation-TTA (best-of-</w:t>
            </w:r>
            <m:oMath>
              <m:r>
                <m:t>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10.7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finish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MolCrystalFlow (sym-free)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bookmarkEnd w:id="29"/>
    <w:bookmarkEnd w:id="30"/>
    <w:bookmarkStart w:id="31" w:name="sec:limits"/>
    <w:p>
      <w:pPr>
        <w:pStyle w:val="Heading2"/>
        <w:spacing w:before="0" w:after="0" w:line="480" w:lineRule="auto"/>
      </w:pPr>
      <w:r>
        <w:t xml:space="preserve">Limitations</w:t>
      </w:r>
    </w:p>
    <w:p>
      <w:pPr>
        <w:pStyle w:val="FirstParagraph"/>
        <w:spacing w:before="0" w:after="0" w:line="480" w:lineRule="auto"/>
      </w:pPr>
      <w:r>
        <w:t xml:space="preserve">Evaluation is by reconstruction against known CSD structures under simulated</w:t>
      </w:r>
      <w:r>
        <w:t xml:space="preserve"> </w:t>
      </w:r>
      <w:r>
        <w:t xml:space="preserve">conditioning, not de-novo discovery; a stable–unique–novel evaluation is not</w:t>
      </w:r>
      <w:r>
        <w:t xml:space="preserve"> </w:t>
      </w:r>
      <w:r>
        <w:t xml:space="preserve">informative here because the universal interatomic potentials used to judge</w:t>
      </w:r>
      <w:r>
        <w:t xml:space="preserve"> </w:t>
      </w:r>
      <w:r>
        <w:t xml:space="preserve">stability are trained on inorganic data</w:t>
      </w:r>
      <w:r>
        <w:rPr>
          <w:vertAlign w:val="superscript"/>
        </w:rPr>
        <w:t xml:space="preserve">13</w:t>
      </w:r>
      <w:r>
        <w:t xml:space="preserve"> </w:t>
      </w:r>
      <w:r>
        <w:t xml:space="preserve">and do not transfer to</w:t>
      </w:r>
      <w:r>
        <w:t xml:space="preserve"> </w:t>
      </w:r>
      <w:r>
        <w:t xml:space="preserve">organic molecular crystals. The analysis is scoped to rigid, largely organic</w:t>
      </w:r>
      <w:r>
        <w:t xml:space="preserve"> </w:t>
      </w:r>
      <w:r>
        <w:t xml:space="preserve">(C/H/N/O-dominated) molecules on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positions, where the</w:t>
      </w:r>
      <w:r>
        <w:t xml:space="preserve"> </w:t>
      </w:r>
      <w:r>
        <w:t xml:space="preserve">asymmetric-unit pose is genuinely free; molecules on special positions carry a site</w:t>
      </w:r>
      <w:r>
        <w:t xml:space="preserve"> </w:t>
      </w:r>
      <w:r>
        <w:t xml:space="preserve">symmetry that further constrains the pose and should be more favorable, and</w:t>
      </w:r>
      <w:r>
        <w:t xml:space="preserve"> </w:t>
      </w:r>
      <w:r>
        <w:t xml:space="preserve">flexible molecules are excluded by the rigid-conformer gate. The present analysis</w:t>
      </w:r>
      <w:r>
        <w:t xml:space="preserve"> </w:t>
      </w:r>
      <w:r>
        <w:t xml:space="preserve">predicts that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generation is most effective precisely</w:t>
      </w:r>
      <w:r>
        <w:t xml:space="preserve"> </w:t>
      </w:r>
      <w:r>
        <w:t xml:space="preserve">where orientation is externally constrained, consistent with MOFFlow’s success on</w:t>
      </w:r>
      <w:r>
        <w:t xml:space="preserve"> </w:t>
      </w:r>
      <w:r>
        <w:t xml:space="preserve">framework-connected blocks</w:t>
      </w:r>
      <w:r>
        <w:rPr>
          <w:vertAlign w:val="superscript"/>
        </w:rPr>
        <w:t xml:space="preserve">7</w:t>
      </w:r>
      <w:r>
        <w:t xml:space="preserve">. The MolCrystalFlow comparison is</w:t>
      </w:r>
      <w:r>
        <w:t xml:space="preserve"> </w:t>
      </w:r>
      <w:r>
        <w:t xml:space="preserve">comparable-task rather than a strict head-to-head—our corpus is a smaller</w:t>
      </w:r>
      <w:r>
        <w:t xml:space="preserve"> </w:t>
      </w:r>
      <w:r>
        <w:t xml:space="preserve">CSD-derived molecular set at diagnostic scale—and the strict match@</w:t>
      </w:r>
      <m:oMath>
        <m:r>
          <m:t>10</m:t>
        </m:r>
      </m:oMath>
      <w:r>
        <w:t xml:space="preserve"> </w:t>
      </w:r>
      <w:r>
        <w:t xml:space="preserve">parity</w:t>
      </w:r>
      <w:r>
        <w:t xml:space="preserve"> </w:t>
      </w:r>
      <w:r>
        <w:t xml:space="preserve">carries a wide confidence interval, while the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figure uses a larger</w:t>
      </w:r>
      <w:r>
        <w:t xml:space="preserve"> </w:t>
      </w:r>
      <w:r>
        <w:t xml:space="preserve">finishing budget than strict match@</w:t>
      </w:r>
      <m:oMath>
        <m:r>
          <m:t>10</m:t>
        </m:r>
      </m:oMath>
      <w:r>
        <w:t xml:space="preserve">. Template-free reconstruction is not yet at</w:t>
      </w:r>
      <w:r>
        <w:t xml:space="preserve"> </w:t>
      </w:r>
      <w:r>
        <w:t xml:space="preserve">the template ceiling (top-1</w:t>
      </w:r>
      <w:r>
        <w:t xml:space="preserve"> </w:t>
      </w:r>
      <m:oMath>
        <m:r>
          <m:t>39</m:t>
        </m:r>
      </m:oMath>
      <w:r>
        <w:t xml:space="preserve">–</w:t>
      </w:r>
      <m:oMath>
        <m:r>
          <m:t>43</m:t>
        </m:r>
        <m:r>
          <m:rPr>
            <m:sty m:val="p"/>
          </m:rPr>
          <m:t>%</m:t>
        </m:r>
      </m:oMath>
      <w:r>
        <w:t xml:space="preserve">). Because the learnable signal is visible</w:t>
      </w:r>
      <w:r>
        <w:t xml:space="preserve"> </w:t>
      </w:r>
      <w:r>
        <w:t xml:space="preserve">only when the metric isolates orientation and samples the multimodal target, we</w:t>
      </w:r>
      <w:r>
        <w:t xml:space="preserve"> </w:t>
      </w:r>
      <w:r>
        <w:t xml:space="preserve">report geodesic error and controlled best-of-</w:t>
      </w:r>
      <m:oMath>
        <m:r>
          <m:t>k</m:t>
        </m:r>
      </m:oMath>
      <w:r>
        <w:t xml:space="preserve"> </w:t>
      </w:r>
      <w:r>
        <w:t xml:space="preserve">match rather than a single</w:t>
      </w:r>
      <w:r>
        <w:t xml:space="preserve"> </w:t>
      </w:r>
      <w:r>
        <w:t xml:space="preserve">match-rate number</w:t>
      </w:r>
      <w:r>
        <w:rPr>
          <w:vertAlign w:val="superscript"/>
        </w:rPr>
        <w:t xml:space="preserve">14</w:t>
      </w:r>
      <w:r>
        <w:t xml:space="preserve">.</w:t>
      </w:r>
    </w:p>
    <w:bookmarkEnd w:id="31"/>
    <w:bookmarkEnd w:id="32"/>
    <w:bookmarkStart w:id="33" w:name="conclusions"/>
    <w:p>
      <w:pPr>
        <w:pStyle w:val="Heading1"/>
        <w:spacing w:before="0" w:after="0" w:line="480" w:lineRule="auto"/>
      </w:pPr>
      <w:r>
        <w:t xml:space="preserve">Conclusions</w:t>
      </w:r>
    </w:p>
    <w:p>
      <w:pPr>
        <w:pStyle w:val="FirstParagraph"/>
        <w:spacing w:before="0" w:after="0" w:line="480" w:lineRule="auto"/>
      </w:pPr>
      <w:r>
        <w:t xml:space="preserve">The learnable content of a rigid-body orientation field is the</w:t>
      </w:r>
      <w:r>
        <w:t xml:space="preserve"> </w:t>
      </w:r>
      <w:r>
        <w:t xml:space="preserve">space-group-determined relative rotation; a deployable, leak-free coset label</w:t>
      </w:r>
      <w:r>
        <w:t xml:space="preserve"> </w:t>
      </w:r>
      <w:r>
        <w:t xml:space="preserve">delivers it,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reaches the oracle codebook, the</w:t>
      </w:r>
      <w:r>
        <w:t xml:space="preserve"> </w:t>
      </w:r>
      <w:r>
        <w:t xml:space="preserve">coset makes orientation work end-to-end, and top-</w:t>
      </w:r>
      <m:oMath>
        <m:r>
          <m:t>k</m:t>
        </m:r>
      </m:oMath>
      <w:r>
        <w:t xml:space="preserve"> </w:t>
      </w:r>
      <w:r>
        <w:t xml:space="preserve">marginalization opens a</w:t>
      </w:r>
      <w:r>
        <w:t xml:space="preserve"> </w:t>
      </w:r>
      <w:r>
        <w:t xml:space="preserve">template-free path. Extending symmetry conditioning to the lattice yields the first</w:t>
      </w:r>
      <w:r>
        <w:t xml:space="preserve"> </w:t>
      </w:r>
      <w:r>
        <w:t xml:space="preserve">fully symmetry-conditioned molecular-crystal flow, and composed with an</w:t>
      </w:r>
      <w:r>
        <w:t xml:space="preserve"> </w:t>
      </w:r>
      <w:r>
        <w:t xml:space="preserve">unsupervised symmetry-preserving finisher and a fully-ablated lever stack it reaches</w:t>
      </w:r>
      <w:r>
        <w:t xml:space="preserve"> </w:t>
      </w:r>
      <w:r>
        <w:t xml:space="preserve">exact-match parity with the symmetry-free rigid-body flows (</w:t>
      </w:r>
      <m:oMath>
        <m:r>
          <m:t>0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strict,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 orientation TTA), with each lever’s contribution quantified. This gives rigid-body molecular-crystal</w:t>
      </w:r>
      <w:r>
        <w:t xml:space="preserve"> </w:t>
      </w:r>
      <w:r>
        <w:t xml:space="preserve">generators</w:t>
      </w:r>
      <w:r>
        <w:rPr>
          <w:vertAlign w:val="superscript"/>
        </w:rPr>
        <w:t xml:space="preserve">6</w:t>
      </w:r>
      <w:r>
        <w:t xml:space="preserve"> </w:t>
      </w:r>
      <w:r>
        <w:t xml:space="preserve">a concrete recipe: condition both</w:t>
      </w:r>
      <w:r>
        <w:t xml:space="preserve"> </w:t>
      </w:r>
      <w:r>
        <w:t xml:space="preserve">orientation (on the generating coset) and the lattice (on the crystal family),</w:t>
      </w:r>
      <w:r>
        <w:t xml:space="preserve"> </w:t>
      </w:r>
      <w:r>
        <w:t xml:space="preserve">sample only the free pose, and finish with a symmetry-preserving physical</w:t>
      </w:r>
      <w:r>
        <w:t xml:space="preserve"> </w:t>
      </w:r>
      <w:r>
        <w:t xml:space="preserve">relaxation.</w:t>
      </w:r>
    </w:p>
    <w:bookmarkEnd w:id="33"/>
    <w:bookmarkStart w:id="41" w:name="methods"/>
    <w:p>
      <w:pPr>
        <w:pStyle w:val="Heading1"/>
        <w:spacing w:before="0" w:after="0" w:line="480" w:lineRule="auto"/>
      </w:pPr>
      <w:r>
        <w:t xml:space="preserve">Methods</w:t>
      </w:r>
    </w:p>
    <w:bookmarkStart w:id="34" w:name="rigid-body-flow"/>
    <w:p>
      <w:pPr>
        <w:pStyle w:val="Heading2"/>
        <w:spacing w:before="0" w:after="0" w:line="480" w:lineRule="auto"/>
      </w:pPr>
      <w:r>
        <w:t xml:space="preserve">Rigid-body flow</w:t>
      </w:r>
    </w:p>
    <w:p>
      <w:pPr>
        <w:pStyle w:val="FirstParagraph"/>
        <w:spacing w:before="0" w:after="0" w:line="480" w:lineRule="auto"/>
      </w:pPr>
      <w:r>
        <w:t xml:space="preserve">SymMC-Flow represents a molecular crystal by a lattice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and, per molecule</w:t>
      </w:r>
      <w:r>
        <w:t xml:space="preserve"> </w:t>
      </w:r>
      <m:oMath>
        <m:r>
          <m:t>m</m:t>
        </m:r>
      </m:oMath>
      <w:r>
        <w:t xml:space="preserve">, a fractional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an</w:t>
      </w:r>
      <w:r>
        <w:t xml:space="preserve"> </w:t>
      </w:r>
      <w:r>
        <w:t xml:space="preserve">orientation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acting on a shared body-frame conformer, so that</w:t>
      </w:r>
      <w:r>
        <w:t xml:space="preserve"> </w:t>
      </w:r>
      <w:r>
        <w:t xml:space="preserve">atom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sits at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cart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 </m:t>
        </m:r>
        <m:sSub>
          <m:e>
            <m:r>
              <m:rPr>
                <m:nor/>
                <m:sty m:val="p"/>
              </m:rPr>
              <m:t>local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. Each crystal is parsed into rigid</w:t>
      </w:r>
      <w:r>
        <w:t xml:space="preserve"> </w:t>
      </w:r>
      <w:r>
        <w:t xml:space="preserve">blocks by a covalent-bond graph with periodic unwrapping; species are keyed by a</w:t>
      </w:r>
      <w:r>
        <w:t xml:space="preserve"> </w:t>
      </w:r>
      <w:r>
        <w:t xml:space="preserve">Weisfeiler–Leman hash and share one reference conformer rotated into a</w:t>
      </w:r>
      <w:r>
        <w:t xml:space="preserve"> </w:t>
      </w:r>
      <w:r>
        <w:t xml:space="preserve">molecule-intrinsic frame, so each copy’s pose is the Kabsch rotation to that frame</w:t>
      </w:r>
      <w:r>
        <w:t xml:space="preserve"> </w:t>
      </w:r>
      <w:r>
        <w:t xml:space="preserve">(Supporting Information). A conditional flow-matching</w:t>
      </w:r>
      <w:r>
        <w:t xml:space="preserve"> </w:t>
      </w:r>
      <w:r>
        <w:t xml:space="preserve">objective</w:t>
      </w:r>
      <w:r>
        <w:rPr>
          <w:vertAlign w:val="superscript"/>
        </w:rPr>
        <w:t xml:space="preserve">4</w:t>
      </w:r>
      <w:r>
        <w:t xml:space="preserve"> </w:t>
      </w:r>
      <w:r>
        <w:t xml:space="preserve">is trained jointly over three manifolds—a</w:t>
      </w:r>
      <w:r>
        <w:t xml:space="preserve"> </w:t>
      </w:r>
      <w:r>
        <w:t xml:space="preserve">Euclidean path for a volume-normalized log-metric lattice, a torus geodesic for</w:t>
      </w:r>
      <w:r>
        <w:t xml:space="preserve"> </w:t>
      </w:r>
      <w:r>
        <w:t xml:space="preserve">centroids, and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geodesic for orientations—with the velocity</w:t>
      </w:r>
      <w:r>
        <w:t xml:space="preserve"> </w:t>
      </w:r>
      <w:r>
        <w:t xml:space="preserve">field conditioned on the space group; an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-equivariant</w:t>
      </w:r>
      <w:r>
        <w:t xml:space="preserve"> </w:t>
      </w:r>
      <w:r>
        <w:t xml:space="preserve">encoder</w:t>
      </w:r>
      <w:r>
        <w:rPr>
          <w:vertAlign w:val="superscript"/>
        </w:rPr>
        <w:t xml:space="preserve">15</w:t>
      </w:r>
      <w:r>
        <w:t xml:space="preserve"> </w:t>
      </w:r>
      <w:r>
        <w:t xml:space="preserve">embeds the conformer and pair-bias attention mixes</w:t>
      </w:r>
      <w:r>
        <w:t xml:space="preserve"> </w:t>
      </w:r>
      <w:r>
        <w:t xml:space="preserve">molecules within the cell. Sampling integrates the three coupled fields with an</w:t>
      </w:r>
      <w:r>
        <w:t xml:space="preserve"> </w:t>
      </w:r>
      <w:r>
        <w:t xml:space="preserve">RK4 solver in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steps.</w:t>
      </w:r>
    </w:p>
    <w:bookmarkEnd w:id="34"/>
    <w:bookmarkStart w:id="35" w:name="sec:coset"/>
    <w:p>
      <w:pPr>
        <w:pStyle w:val="Heading2"/>
        <w:spacing w:before="0" w:after="0" w:line="480" w:lineRule="auto"/>
      </w:pPr>
      <w:r>
        <w:t xml:space="preserve">Deployable symmetry-coset conditioning</w:t>
      </w:r>
    </w:p>
    <w:p>
      <w:pPr>
        <w:pStyle w:val="FirstParagraph"/>
        <w:spacing w:before="0" w:after="0" w:line="480" w:lineRule="auto"/>
      </w:pPr>
      <w:r>
        <w:t xml:space="preserve">The non-reference relative rotations of §</w:t>
      </w:r>
      <w:hyperlink w:anchor="sec:decomp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fall into a discrete set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cosets</w:t>
      </w:r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equals the rotation part of the operation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that maps the reference copy to copy</w:t>
      </w:r>
      <w:r>
        <w:t xml:space="preserve"> </w:t>
      </w:r>
      <m:oMath>
        <m:r>
          <m:t>m</m:t>
        </m:r>
      </m:oMath>
      <w:r>
        <w:t xml:space="preserve">. We assign each molecule this generating</w:t>
      </w:r>
      <w:r>
        <w:t xml:space="preserve"> </w:t>
      </w:r>
      <w:r>
        <w:t xml:space="preserve">operation from the crystallography, by matching its fractional centroid against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(minimum image) over the space group’s operations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obtained from pymatgen—never from the observed rotation. The resulting label is</w:t>
      </w:r>
      <w:r>
        <w:t xml:space="preserve"> </w:t>
      </w:r>
      <w:r>
        <w:rPr>
          <w:b/>
          <w:bCs/>
        </w:rPr>
        <w:t xml:space="preserve">leak-free</w:t>
      </w:r>
      <w:r>
        <w:t xml:space="preserve"> </w:t>
      </w:r>
      <w:r>
        <w:t xml:space="preserve">and available at sampling time from a symmetry template, exactly</w:t>
      </w:r>
      <w:r>
        <w:t xml:space="preserve"> </w:t>
      </w:r>
      <w:r>
        <w:t xml:space="preserve">as DiffCSP++/WyckoffDiff-style generators supply Wyckoff templates for</w:t>
      </w:r>
      <w:r>
        <w:t xml:space="preserve"> </w:t>
      </w:r>
      <w:r>
        <w:t xml:space="preserve">atoms</w:t>
      </w:r>
      <w:r>
        <w:rPr>
          <w:vertAlign w:val="superscript"/>
        </w:rPr>
        <w:t xml:space="preserve">8,9</w:t>
      </w:r>
      <w:r>
        <w:t xml:space="preserve">. This yields</w:t>
      </w:r>
      <w:r>
        <w:t xml:space="preserve"> </w:t>
      </w:r>
      <m:oMath>
        <m:r>
          <m:t>238</m:t>
        </m:r>
      </m:oMath>
      <w:r>
        <w:t xml:space="preserve"> </w:t>
      </w:r>
      <w:r>
        <w:t xml:space="preserve">operation-cosets</w:t>
      </w:r>
      <w:r>
        <w:t xml:space="preserve"> </w:t>
      </w:r>
      <w:r>
        <w:t xml:space="preserve">across the corpus (versus</w:t>
      </w:r>
      <w:r>
        <w:t xml:space="preserve"> </w:t>
      </w:r>
      <m:oMath>
        <m:r>
          <m:t>707</m:t>
        </m:r>
      </m:oMath>
      <w:r>
        <w:t xml:space="preserve"> </w:t>
      </w:r>
      <w:r>
        <w:t xml:space="preserve">for a codebook clustered from the target rotations,</w:t>
      </w:r>
      <w:r>
        <w:t xml:space="preserve"> </w:t>
      </w:r>
      <w:r>
        <w:t xml:space="preserve">whose index is derived in part from the answer and so serves only as an upper</w:t>
      </w:r>
      <w:r>
        <w:t xml:space="preserve"> </w:t>
      </w:r>
      <w:r>
        <w:t xml:space="preserve">bound). The coset index enters the network as a per-molecule embedding and is</w:t>
      </w:r>
      <w:r>
        <w:t xml:space="preserve"> </w:t>
      </w:r>
      <w:r>
        <w:t xml:space="preserve">threaded through the sampler, conditioning both training and generation.</w:t>
      </w:r>
    </w:p>
    <w:bookmarkEnd w:id="35"/>
    <w:bookmarkStart w:id="36" w:name="mathrmso3-averaged-objective"/>
    <w:p>
      <w:pPr>
        <w:pStyle w:val="Heading2"/>
        <w:spacing w:before="0" w:after="0" w:line="480" w:lineRule="auto"/>
      </w:pP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</w:t>
      </w:r>
    </w:p>
    <w:p>
      <w:pPr>
        <w:pStyle w:val="FirstParagraph"/>
        <w:spacing w:before="0" w:after="0" w:line="480" w:lineRule="auto"/>
      </w:pPr>
      <w:r>
        <w:t xml:space="preserve">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flow-matching residual has high variance because the prior</w:t>
      </w:r>
      <w:r>
        <w:t xml:space="preserve"> </w:t>
      </w:r>
      <w:r>
        <w:t xml:space="preserve">rotation is drawn uniformly. Following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flow objective</w:t>
      </w:r>
      <w:r>
        <w:t xml:space="preserve"> </w:t>
      </w:r>
      <w:r>
        <w:t xml:space="preserve">for conformer generation</w:t>
      </w:r>
      <w:r>
        <w:rPr>
          <w:vertAlign w:val="superscript"/>
        </w:rPr>
        <w:t xml:space="preserve">16</w:t>
      </w:r>
      <w:r>
        <w:t xml:space="preserve">, we average the orientation</w:t>
      </w:r>
      <w:r>
        <w:t xml:space="preserve"> </w:t>
      </w:r>
      <w:r>
        <w:t xml:space="preserve">residual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prior draws per molecule before the gradient step, reducing</w:t>
      </w:r>
      <w:r>
        <w:t xml:space="preserve"> </w:t>
      </w:r>
      <w:r>
        <w:t xml:space="preserve">target variance at fixed data.</w:t>
      </w:r>
    </w:p>
    <w:bookmarkEnd w:id="36"/>
    <w:bookmarkStart w:id="37" w:name="template-free-coset-prediction"/>
    <w:p>
      <w:pPr>
        <w:pStyle w:val="Heading2"/>
        <w:spacing w:before="0" w:after="0" w:line="480" w:lineRule="auto"/>
      </w:pPr>
      <w:r>
        <w:t xml:space="preserve">Template-free coset prediction</w:t>
      </w:r>
    </w:p>
    <w:p>
      <w:pPr>
        <w:pStyle w:val="FirstParagraph"/>
        <w:spacing w:before="0" w:after="0" w:line="480" w:lineRule="auto"/>
      </w:pPr>
      <w:r>
        <w:t xml:space="preserve">For template-free deployment the coset must be inferred. We train a classifier that</w:t>
      </w:r>
      <w:r>
        <w:t xml:space="preserve"> </w:t>
      </w:r>
      <w:r>
        <w:t xml:space="preserve">predicts each molecule’s coset from the conformer, centroid, lattice, and space</w:t>
      </w:r>
      <w:r>
        <w:t xml:space="preserve"> </w:t>
      </w:r>
      <w:r>
        <w:t xml:space="preserve">group—</w:t>
      </w:r>
      <w:r>
        <w:rPr>
          <w:i/>
          <w:iCs/>
        </w:rPr>
        <w:t xml:space="preserve">without</w:t>
      </w:r>
      <w:r>
        <w:t xml:space="preserve"> </w:t>
      </w:r>
      <w:r>
        <w:t xml:space="preserve">orientation, so it cannot leak the target. Because its</w:t>
      </w:r>
      <w:r>
        <w:t xml:space="preserve"> </w:t>
      </w:r>
      <w:r>
        <w:t xml:space="preserve">argmax is noisy, we</w:t>
      </w:r>
      <w:r>
        <w:t xml:space="preserve"> </w:t>
      </w:r>
      <w:r>
        <w:rPr>
          <w:i/>
          <w:iCs/>
        </w:rPr>
        <w:t xml:space="preserve">marginalize the top-</w:t>
      </w:r>
      <m:oMath>
        <m:r>
          <m:t>k</m:t>
        </m:r>
      </m:oMath>
      <w:r>
        <w:t xml:space="preserve">: condition the flow on each of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most-likely cosets and select the best draw (in deployment by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  <m:r>
              <m:t>p</m:t>
            </m:r>
          </m:sub>
        </m:sSub>
      </m:oMath>
      <w:r>
        <w:t xml:space="preserve">/energy; here, an oracle upper bound).</w:t>
      </w:r>
    </w:p>
    <w:bookmarkEnd w:id="37"/>
    <w:bookmarkStart w:id="38" w:name="sec:family"/>
    <w:p>
      <w:pPr>
        <w:pStyle w:val="Heading2"/>
        <w:spacing w:before="0" w:after="0" w:line="480" w:lineRule="auto"/>
      </w:pPr>
      <w:r>
        <w:t xml:space="preserve">Full symmetry conditioning: the crystal-family lattice mask</w:t>
      </w:r>
    </w:p>
    <w:p>
      <w:pPr>
        <w:pStyle w:val="FirstParagraph"/>
        <w:spacing w:before="0" w:after="0" w:line="480" w:lineRule="auto"/>
      </w:pPr>
      <w:r>
        <w:t xml:space="preserve">The coset conditions orientation; the lattice remains free. Molecular crystals are</w:t>
      </w:r>
      <w:r>
        <w:t xml:space="preserve"> </w:t>
      </w:r>
      <w:r>
        <w:t xml:space="preserve">overwhelmingly monoclinic and orthorhombic, so reference cells place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74</m:t>
        </m:r>
        <m:r>
          <m:rPr>
            <m:sty m:val="p"/>
          </m:rPr>
          <m:t>%</m:t>
        </m:r>
      </m:oMath>
      <w:r>
        <w:t xml:space="preserve"> </w:t>
      </w:r>
      <w:r>
        <w:t xml:space="preserve">of cell angles at exactly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yet an unconstrained</w:t>
      </w:r>
      <w:r>
        <w:t xml:space="preserve"> </w:t>
      </w:r>
      <m:oMath>
        <m:r>
          <m:t>9</m:t>
        </m:r>
      </m:oMath>
      <w:r>
        <w:t xml:space="preserve">-DOF shape head</w:t>
      </w:r>
      <w:r>
        <w:t xml:space="preserve"> </w:t>
      </w:r>
      <w:r>
        <w:t xml:space="preserve">reproduces this for only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16</m:t>
        </m:r>
        <m:r>
          <m:rPr>
            <m:sty m:val="p"/>
          </m:rPr>
          <m:t>%</m:t>
        </m:r>
      </m:oMath>
      <w:r>
        <w:t xml:space="preserve">. We condition the lattice on the crystal</w:t>
      </w:r>
      <w:r>
        <w:t xml:space="preserve"> </w:t>
      </w:r>
      <w:r>
        <w:t xml:space="preserve">family the way DiffCSP++</w:t>
      </w:r>
      <w:r>
        <w:rPr>
          <w:vertAlign w:val="superscript"/>
        </w:rPr>
        <w:t xml:space="preserve">8</w:t>
      </w:r>
      <w:r>
        <w:t xml:space="preserve"> </w:t>
      </w:r>
      <w:r>
        <w:t xml:space="preserve">conditions inorganic sites:</w:t>
      </w:r>
      <w:r>
        <w:t xml:space="preserve"> </w:t>
      </w:r>
      <w:r>
        <w:t xml:space="preserve">represent the cell by the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-invariant log-metric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t>L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, whose first coordinate is the volume and whose</w:t>
      </w:r>
      <w:r>
        <w:t xml:space="preserve"> </w:t>
      </w:r>
      <w:r>
        <w:t xml:space="preserve">remaining coordinates are the deviatoric shape directions, and apply a binary</w:t>
      </w:r>
      <w:r>
        <w:t xml:space="preserve"> </w:t>
      </w:r>
      <w:r>
        <w:rPr>
          <w:i/>
          <w:iCs/>
        </w:rPr>
        <w:t xml:space="preserve">family mask</w:t>
      </w:r>
      <w:r>
        <w:t xml:space="preserve"> </w:t>
      </w:r>
      <w:r>
        <w:t xml:space="preserve">that freezes the constrained coordinates to their canonical</w:t>
      </w:r>
      <w:r>
        <w:t xml:space="preserve"> </w:t>
      </w:r>
      <w:r>
        <w:t xml:space="preserve">values after each sampler step and in the prior (basis and per-family mask in the</w:t>
      </w:r>
      <w:r>
        <w:t xml:space="preserve"> </w:t>
      </w:r>
      <w:r>
        <w:t xml:space="preserve">Supporting Information). The flow thus learns only the free, family-consistent</w:t>
      </w:r>
      <w:r>
        <w:t xml:space="preserve"> </w:t>
      </w:r>
      <w:r>
        <w:t xml:space="preserve">degrees of freedom. The mask mechanism is DiffCSP++’s; our contribution is</w:t>
      </w:r>
      <w:r>
        <w:t xml:space="preserve"> </w:t>
      </w:r>
      <w:r>
        <w:t xml:space="preserve">transporting it into the molecular rigid-body flow and composing it with the</w:t>
      </w:r>
      <w:r>
        <w:t xml:space="preserve"> </w:t>
      </w:r>
      <w:r>
        <w:t xml:space="preserve">orientation coset, giving a fully symmetry-conditioned flow.</w:t>
      </w:r>
    </w:p>
    <w:bookmarkEnd w:id="38"/>
    <w:bookmarkStart w:id="39" w:name="sec:finish"/>
    <w:p>
      <w:pPr>
        <w:pStyle w:val="Heading2"/>
        <w:spacing w:before="0" w:after="0" w:line="480" w:lineRule="auto"/>
      </w:pPr>
      <w:r>
        <w:t xml:space="preserve">Exact-match finishing: physical press, learned prior, self-conditioning,</w:t>
      </w:r>
      <w:r>
        <w:t xml:space="preserve"> </w:t>
      </w:r>
      <w:r>
        <w:t xml:space="preserve">recycling</w:t>
      </w:r>
    </w:p>
    <w:p>
      <w:pPr>
        <w:pStyle w:val="FirstParagraph"/>
        <w:spacing w:before="0" w:after="0" w:line="480" w:lineRule="auto"/>
      </w:pPr>
      <w:r>
        <w:t xml:space="preserve">Symmetry conditioning is necessary but not sufficient for exact match; a small</w:t>
      </w:r>
      <w:r>
        <w:t xml:space="preserve"> </w:t>
      </w:r>
      <w:r>
        <w:t xml:space="preserve">stack of levers supplies the remaining positioning precision, each ablated</w:t>
      </w:r>
      <w:r>
        <w:t xml:space="preserve"> </w:t>
      </w:r>
      <w:r>
        <w:t xml:space="preserve">independently (§</w:t>
      </w:r>
      <w:hyperlink w:anchor="sec:ladder">
        <w:r>
          <w:rPr>
            <w:rStyle w:val="Hyperlink"/>
          </w:rPr>
          <w:t xml:space="preserve">2.8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(i) Rigid-press finisher:</w:t>
      </w:r>
      <w:r>
        <w:t xml:space="preserve"> </w:t>
      </w:r>
      <w:r>
        <w:t xml:space="preserve">an</w:t>
      </w:r>
      <w:r>
        <w:t xml:space="preserve"> </w:t>
      </w:r>
      <w:r>
        <w:t xml:space="preserve">unsupervised, symmetry- and rigidity-preserving relaxation of the generated</w:t>
      </w:r>
      <w:r>
        <w:t xml:space="preserve"> </w:t>
      </w:r>
      <w:r>
        <w:t xml:space="preserve">packing—a Lennard-Jones energy over intermolecular atom pairs (van der Waals</w:t>
      </w:r>
      <w:r>
        <w:t xml:space="preserve"> </w:t>
      </w:r>
      <w:r>
        <w:t xml:space="preserve">radii), optimized over the asymmetric-unit pose and the family-masked cell, with</w:t>
      </w:r>
      <w:r>
        <w:t xml:space="preserve"> </w:t>
      </w:r>
      <w:r>
        <w:t xml:space="preserve">symmetry copies regenerated from the space-group operations each step, so it cannot</w:t>
      </w:r>
      <w:r>
        <w:t xml:space="preserve"> </w:t>
      </w:r>
      <w:r>
        <w:t xml:space="preserve">break the imposed symmetry and never sees the target.</w:t>
      </w:r>
      <w:r>
        <w:t xml:space="preserve"> </w:t>
      </w:r>
      <w:r>
        <w:rPr>
          <w:i/>
          <w:iCs/>
        </w:rPr>
        <w:t xml:space="preserve">(ii) Learned centroid</w:t>
      </w:r>
      <w:r>
        <w:rPr>
          <w:i/>
          <w:iCs/>
        </w:rPr>
        <w:t xml:space="preserve"> </w:t>
      </w:r>
      <w:r>
        <w:rPr>
          <w:i/>
          <w:iCs/>
        </w:rPr>
        <w:t xml:space="preserve">prior:</w:t>
      </w:r>
      <w:r>
        <w:t xml:space="preserve"> </w:t>
      </w:r>
      <w:r>
        <w:t xml:space="preserve">optimal-transport coupling</w:t>
      </w:r>
      <w:r>
        <w:rPr>
          <w:vertAlign w:val="superscript"/>
        </w:rPr>
        <w:t xml:space="preserve">17</w:t>
      </w:r>
      <w:r>
        <w:t xml:space="preserve"> </w:t>
      </w:r>
      <w:r>
        <w:t xml:space="preserve">with a fixed</w:t>
      </w:r>
      <w:r>
        <w:t xml:space="preserve"> </w:t>
      </w:r>
      <w:r>
        <w:t xml:space="preserve">Gaussian centroid prior repairs an under-trained centroid head.</w:t>
      </w:r>
      <w:r>
        <w:t xml:space="preserve"> </w:t>
      </w:r>
      <w:r>
        <w:rPr>
          <w:i/>
          <w:iCs/>
        </w:rPr>
        <w:t xml:space="preserve">(iii) Self-conditioning:</w:t>
      </w:r>
      <w:r>
        <w:t xml:space="preserve"> </w:t>
      </w:r>
      <w:r>
        <w:t xml:space="preserve">the model optionally consumes its own terminal</w:t>
      </w:r>
      <w:r>
        <w:t xml:space="preserve"> </w:t>
      </w:r>
      <w:r>
        <w:t xml:space="preserve">estimate of the structure, trained with probability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 carried across</w:t>
      </w:r>
      <w:r>
        <w:t xml:space="preserve"> </w:t>
      </w:r>
      <w:r>
        <w:t xml:space="preserve">sampler steps.</w:t>
      </w:r>
      <w:r>
        <w:t xml:space="preserve"> </w:t>
      </w:r>
      <w:r>
        <w:rPr>
          <w:i/>
          <w:iCs/>
        </w:rPr>
        <w:t xml:space="preserve">(iv) Recycling:</w:t>
      </w:r>
      <w:r>
        <w:t xml:space="preserve"> </w:t>
      </w:r>
      <w:r>
        <w:t xml:space="preserve">AlphaFold-style, the sampling trajectory is</w:t>
      </w:r>
      <w:r>
        <w:t xml:space="preserve"> </w:t>
      </w:r>
      <w:r>
        <w:t xml:space="preserve">re-solved conditioned on the previous pass’s output structure.</w:t>
      </w:r>
      <w:r>
        <w:t xml:space="preserve"> </w:t>
      </w:r>
      <w:r>
        <w:rPr>
          <w:i/>
          <w:iCs/>
        </w:rPr>
        <w:t xml:space="preserve">(v) Orientation test-time augmentation (TTA):</w:t>
      </w:r>
      <w:r>
        <w:t xml:space="preserve"> </w:t>
      </w:r>
      <w:r>
        <w:t xml:space="preserve">perturbing the</w:t>
      </w:r>
      <w:r>
        <w:t xml:space="preserve"> </w:t>
      </w:r>
      <w:r>
        <w:t xml:space="preserve">asymmetric-unit orientation and pooling the best finished draw. All are gated</w:t>
      </w:r>
      <w:r>
        <w:t xml:space="preserve"> </w:t>
      </w:r>
      <w:r>
        <w:t xml:space="preserve">behind configuration flags, leaving the default generation path unchanged (finisher</w:t>
      </w:r>
      <w:r>
        <w:t xml:space="preserve"> </w:t>
      </w:r>
      <w:r>
        <w:t xml:space="preserve">energy/optimizer and the self-conditioning update in the Supporting Information).</w:t>
      </w:r>
    </w:p>
    <w:bookmarkEnd w:id="39"/>
    <w:bookmarkStart w:id="40" w:name="sec:data"/>
    <w:p>
      <w:pPr>
        <w:pStyle w:val="Heading2"/>
        <w:spacing w:before="0" w:after="0" w:line="480" w:lineRule="auto"/>
      </w:pPr>
      <w:r>
        <w:t xml:space="preserve">Data and evaluation</w:t>
      </w:r>
    </w:p>
    <w:p>
      <w:pPr>
        <w:pStyle w:val="FirstParagraph"/>
        <w:spacing w:before="0" w:after="0" w:line="480" w:lineRule="auto"/>
      </w:pPr>
      <w:r>
        <w:t xml:space="preserve">The corpus is a seeded CSD sample</w:t>
      </w:r>
      <w:r>
        <w:rPr>
          <w:vertAlign w:val="superscript"/>
        </w:rPr>
        <w:t xml:space="preserve">12</w:t>
      </w:r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ordered organic</w:t>
      </w:r>
      <w:r>
        <w:t xml:space="preserve"> </w:t>
      </w:r>
      <w:r>
        <w:t xml:space="preserve">molecular crystals (</w:t>
      </w:r>
      <m:oMath>
        <m:r>
          <m:t>5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rigid blocks, a fixed</w:t>
      </w:r>
      <w:r>
        <w:t xml:space="preserve"> </w:t>
      </w:r>
      <m:oMath>
        <m:r>
          <m:t>964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split), with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095</m:t>
        </m:r>
      </m:oMath>
      <w:r>
        <w:t xml:space="preserve"> </w:t>
      </w:r>
      <w:r>
        <w:t xml:space="preserve">crystals containing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copies of a species—the multi-copy subset</w:t>
      </w:r>
      <w:r>
        <w:t xml:space="preserve"> </w:t>
      </w:r>
      <w:r>
        <w:t xml:space="preserve">where a relative target exists—and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539</m:t>
        </m:r>
      </m:oMath>
      <w:r>
        <w:t xml:space="preserve">-crystal scale corpus for</w:t>
      </w:r>
      <w:r>
        <w:t xml:space="preserve"> </w:t>
      </w:r>
      <w:r>
        <w:t xml:space="preserve">§</w:t>
      </w:r>
      <w:hyperlink w:anchor="sec:scale">
        <w:r>
          <w:rPr>
            <w:rStyle w:val="Hyperlink"/>
          </w:rPr>
          <w:t xml:space="preserve">2.6</w:t>
        </w:r>
      </w:hyperlink>
      <w:r>
        <w:t xml:space="preserve">. The primary training metric is the held-out non-reference</w:t>
      </w:r>
      <w:r>
        <w:t xml:space="preserve"> </w:t>
      </w:r>
      <w:r>
        <w:t xml:space="preserve">orientation-loss drop (percentage reduction from untrained to trained on</w:t>
      </w:r>
      <w:r>
        <w:t xml:space="preserve"> </w:t>
      </w:r>
      <w:r>
        <w:t xml:space="preserve">non-reference copies, which cannot be earned by predicting the identity). We also</w:t>
      </w:r>
      <w:r>
        <w:t xml:space="preserve"> </w:t>
      </w:r>
      <w:r>
        <w:t xml:space="preserve">report orientation-isolated and end-to-end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reconstruction</w:t>
      </w:r>
      <w:r>
        <w:rPr>
          <w:vertAlign w:val="superscript"/>
        </w:rPr>
        <w:t xml:space="preserve">18</w:t>
      </w:r>
      <w:r>
        <w:t xml:space="preserve"> </w:t>
      </w:r>
      <w:r>
        <w:t xml:space="preserve">with best-of-</w:t>
      </w:r>
      <m:oMath>
        <m:r>
          <m:t>k</m:t>
        </m:r>
      </m:oMath>
      <w:r>
        <w:t xml:space="preserve"> </w:t>
      </w:r>
      <w:r>
        <w:t xml:space="preserve">sampling, following</w:t>
      </w:r>
      <w:r>
        <w:t xml:space="preserve"> </w:t>
      </w:r>
      <w:r>
        <w:t xml:space="preserve">match-rate cautions</w:t>
      </w:r>
      <w:r>
        <w:rPr>
          <w:vertAlign w:val="superscript"/>
        </w:rPr>
        <w:t xml:space="preserve">14</w:t>
      </w:r>
      <w:r>
        <w:t xml:space="preserve">. All learning numbers are means</w:t>
      </w:r>
      <w:r>
        <w:t xml:space="preserve"> </w:t>
      </w:r>
      <w:r>
        <w:t xml:space="preserve">over three seeds.</w:t>
      </w:r>
    </w:p>
    <w:bookmarkEnd w:id="40"/>
    <w:bookmarkEnd w:id="41"/>
    <w:bookmarkStart w:id="42" w:name="acknowledgments"/>
    <w:p>
      <w:pPr>
        <w:pStyle w:val="Heading1"/>
        <w:spacing w:before="0" w:after="0" w:line="480" w:lineRule="auto"/>
      </w:pPr>
      <w:r>
        <w:t xml:space="preserve">Acknowledgments</w:t>
      </w:r>
    </w:p>
    <w:p>
      <w:pPr>
        <w:pStyle w:val="FirstParagraph"/>
        <w:spacing w:before="0" w:after="0" w:line="480" w:lineRule="auto"/>
      </w:pPr>
      <w:r>
        <w:t xml:space="preserve">The author thanks the Cambridge Crystallographic Data Centre for access to the</w:t>
      </w:r>
      <w:r>
        <w:t xml:space="preserve"> </w:t>
      </w:r>
      <w:r>
        <w:t xml:space="preserve">Cambridge Structural Database under an academic licence. No external funding</w:t>
      </w:r>
      <w:r>
        <w:t xml:space="preserve"> </w:t>
      </w:r>
      <w:r>
        <w:t xml:space="preserve">supported this work. The author declares no competing financial interest. During</w:t>
      </w:r>
      <w:r>
        <w:t xml:space="preserve"> </w:t>
      </w:r>
      <w:r>
        <w:t xml:space="preserve">the preparation of this manuscript, the author used Claude Opus 4.8 (Anthropic)</w:t>
      </w:r>
      <w:r>
        <w:t xml:space="preserve"> </w:t>
      </w:r>
      <w:r>
        <w:t xml:space="preserve">for language editing of the text; the author reviewed and edited all output and</w:t>
      </w:r>
      <w:r>
        <w:t xml:space="preserve"> </w:t>
      </w:r>
      <w:r>
        <w:t xml:space="preserve">takes full responsibility for the content of this work.</w:t>
      </w:r>
    </w:p>
    <w:bookmarkEnd w:id="42"/>
    <w:bookmarkStart w:id="44" w:name="data-and-software-availability"/>
    <w:p>
      <w:pPr>
        <w:pStyle w:val="Heading1"/>
        <w:spacing w:before="0" w:after="0" w:line="480" w:lineRule="auto"/>
      </w:pPr>
      <w:r>
        <w:t xml:space="preserve">Data and Software Availability</w:t>
      </w:r>
    </w:p>
    <w:p>
      <w:pPr>
        <w:pStyle w:val="FirstParagraph"/>
        <w:spacing w:before="0" w:after="0" w:line="480" w:lineRule="auto"/>
      </w:pPr>
      <w:r>
        <w:t xml:space="preserve">The SymMC-Flow source code, the CSD refcode manifest, and the export and</w:t>
      </w:r>
      <w:r>
        <w:t xml:space="preserve"> </w:t>
      </w:r>
      <w:r>
        <w:t xml:space="preserve">factorization pipeline are openly available at</w:t>
      </w:r>
      <w:r>
        <w:t xml:space="preserve"> </w:t>
      </w:r>
      <w:hyperlink r:id="rId43">
        <w:r>
          <w:rPr>
            <w:rStyle w:val="Hyperlink"/>
          </w:rPr>
          <w:t xml:space="preserve">https://github.com/fronkt/symmc-flow</w:t>
        </w:r>
      </w:hyperlink>
      <w:r>
        <w:t xml:space="preserve"> </w:t>
      </w:r>
      <w:r>
        <w:t xml:space="preserve">and archived at</w:t>
      </w:r>
      <w:r>
        <w:t xml:space="preserve"> </w:t>
      </w:r>
      <w:r>
        <w:t xml:space="preserve">Zenodo</w:t>
      </w:r>
      <w:r>
        <w:rPr>
          <w:vertAlign w:val="superscript"/>
        </w:rPr>
        <w:t xml:space="preserve">19</w:t>
      </w:r>
      <w:r>
        <w:t xml:space="preserve">. The Cambridge Structural Database is</w:t>
      </w:r>
      <w:r>
        <w:t xml:space="preserve"> </w:t>
      </w:r>
      <w:r>
        <w:t xml:space="preserve">licence-restricted; the underlying crystal structures are not redistributed, but</w:t>
      </w:r>
      <w:r>
        <w:t xml:space="preserve"> </w:t>
      </w:r>
      <w:r>
        <w:t xml:space="preserve">the deposited refcode manifest reproduces the corpus from a licensed CSD</w:t>
      </w:r>
      <w:r>
        <w:t xml:space="preserve"> </w:t>
      </w:r>
      <w:r>
        <w:t xml:space="preserve">installation. The Supporting Information document contains the extended methods.</w:t>
      </w:r>
    </w:p>
    <w:bookmarkEnd w:id="44"/>
    <w:bookmarkStart w:id="45" w:name="associated-content"/>
    <w:p>
      <w:pPr>
        <w:pStyle w:val="Heading1"/>
        <w:spacing w:before="0" w:after="0" w:line="480" w:lineRule="auto"/>
      </w:pPr>
      <w:r>
        <w:t xml:space="preserve">Associated Content</w:t>
      </w:r>
    </w:p>
    <w:p>
      <w:pPr>
        <w:pStyle w:val="FirstParagraph"/>
        <w:spacing w:before="0" w:after="0" w:line="480" w:lineRule="auto"/>
      </w:pPr>
      <w:r>
        <w:rPr>
          <w:b/>
          <w:bCs/>
        </w:rPr>
        <w:t xml:space="preserve">Supporting Information.</w:t>
      </w:r>
    </w:p>
    <w:p>
      <w:pPr>
        <w:pStyle w:val="BodyText"/>
        <w:spacing w:before="0" w:after="0" w:line="480" w:lineRule="auto"/>
      </w:pPr>
      <w:r>
        <w:t xml:space="preserve">Rigid-body factorization, intrinsic gauge, manifold parametrizations, and</w:t>
      </w:r>
      <w:r>
        <w:t xml:space="preserve"> </w:t>
      </w:r>
      <w:r>
        <w:t xml:space="preserve">deployable coset recovery; the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conditional probe; the</w:t>
      </w:r>
      <w:r>
        <w:t xml:space="preserve"> </w:t>
      </w:r>
      <w:r>
        <w:t xml:space="preserve">crystal-family lattice mask (log-metric basis and per-family free/frozen</w:t>
      </w:r>
      <w:r>
        <w:t xml:space="preserve"> </w:t>
      </w:r>
      <w:r>
        <w:t xml:space="preserve">coordinates); the rigid-press finisher energy and optimizer and the</w:t>
      </w:r>
      <w:r>
        <w:t xml:space="preserve"> </w:t>
      </w:r>
      <w:r>
        <w:t xml:space="preserve">self-conditioning and recycling update rules; and per-seed numbers with the</w:t>
      </w:r>
      <w:r>
        <w:t xml:space="preserve"> </w:t>
      </w:r>
      <w:r>
        <w:t xml:space="preserve">tolerance sweep (PDF).</w:t>
      </w:r>
    </w:p>
    <w:bookmarkEnd w:id="45"/>
    <w:bookmarkStart w:id="70" w:name="references"/>
    <w:p>
      <w:pPr>
        <w:pStyle w:val="Heading1"/>
        <w:spacing w:before="0" w:after="0" w:line="480" w:lineRule="auto"/>
      </w:pPr>
      <w:r>
        <w:t xml:space="preserve">References</w:t>
      </w:r>
    </w:p>
    <w:bookmarkStart w:id="69" w:name="refs"/>
    <w:bookmarkStart w:id="46" w:name="ref-xie2022cdvae"/>
    <w:p>
      <w:pPr>
        <w:pStyle w:val="Bibliography"/>
        <w:spacing w:before="0" w:after="0" w:line="480" w:lineRule="auto"/>
      </w:pPr>
      <w:r>
        <w:t xml:space="preserve">(1)</w:t>
      </w:r>
      <w:r>
        <w:t xml:space="preserve"> </w:t>
      </w:r>
      <w:r>
        <w:t xml:space="preserve">	</w:t>
      </w:r>
      <w:r>
        <w:t xml:space="preserve">Xie, T.; Fu, X.; Ganea, O.-E.; Barzilay, R.; Jaakkola, T. Crystal Diffusion Variational Autoencoder for Periodic Material Generation.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2022.</w:t>
      </w:r>
    </w:p>
    <w:bookmarkEnd w:id="46"/>
    <w:bookmarkStart w:id="47" w:name="ref-jiao2023diffcsp"/>
    <w:p>
      <w:pPr>
        <w:pStyle w:val="Bibliography"/>
        <w:spacing w:before="0" w:after="0" w:line="480" w:lineRule="auto"/>
      </w:pPr>
      <w:r>
        <w:t xml:space="preserve">(2)</w:t>
      </w:r>
      <w:r>
        <w:t xml:space="preserve"> </w:t>
      </w:r>
      <w:r>
        <w:t xml:space="preserve">	</w:t>
      </w:r>
      <w:r>
        <w:t xml:space="preserve">Jiao, R.; Huang, W.; Lin, P.; Han, J.; Chen, P.; Lu, Y.; Liu, Y. Crystal Structure Prediction by Joint Equivariant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47"/>
    <w:bookmarkStart w:id="48" w:name="ref-miller2024flowmm"/>
    <w:p>
      <w:pPr>
        <w:pStyle w:val="Bibliography"/>
        <w:spacing w:before="0" w:after="0" w:line="480" w:lineRule="auto"/>
      </w:pPr>
      <w:r>
        <w:t xml:space="preserve">(3)</w:t>
      </w:r>
      <w:r>
        <w:t xml:space="preserve"> </w:t>
      </w:r>
      <w:r>
        <w:t xml:space="preserve">	</w:t>
      </w:r>
      <w:r>
        <w:t xml:space="preserve">Miller, B. K.; Chen, R. T. Q.; Sriram, A.; Wood, B. M.</w:t>
      </w:r>
      <w:r>
        <w:t xml:space="preserve"> </w:t>
      </w:r>
      <w:r>
        <w:t xml:space="preserve">FlowMM</w:t>
      </w:r>
      <w:r>
        <w:t xml:space="preserve">: Generating Materials with Riemannian Flow Matching.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2024.</w:t>
      </w:r>
    </w:p>
    <w:bookmarkEnd w:id="48"/>
    <w:bookmarkStart w:id="49" w:name="ref-lipman2023flowmatching"/>
    <w:p>
      <w:pPr>
        <w:pStyle w:val="Bibliography"/>
        <w:spacing w:before="0" w:after="0" w:line="480" w:lineRule="auto"/>
      </w:pPr>
      <w:r>
        <w:t xml:space="preserve">(4)</w:t>
      </w:r>
      <w:r>
        <w:t xml:space="preserve"> </w:t>
      </w:r>
      <w:r>
        <w:t xml:space="preserve">	</w:t>
      </w:r>
      <w:r>
        <w:t xml:space="preserve">Lipman, Y.; Chen, R. T. Q.; Ben-Hamu, H.; Nickel, M.; Le, M. Flow Matching for Generative Modeling.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49"/>
    <w:bookmarkStart w:id="50" w:name="ref-chen2024riemannian"/>
    <w:p>
      <w:pPr>
        <w:pStyle w:val="Bibliography"/>
        <w:spacing w:before="0" w:after="0" w:line="480" w:lineRule="auto"/>
      </w:pPr>
      <w:r>
        <w:t xml:space="preserve">(5)</w:t>
      </w:r>
      <w:r>
        <w:t xml:space="preserve"> </w:t>
      </w:r>
      <w:r>
        <w:t xml:space="preserve">	</w:t>
      </w:r>
      <w:r>
        <w:t xml:space="preserve">Chen, R. T. Q.; Lipman, Y. Flow Matching on General Geometries.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2024.</w:t>
      </w:r>
    </w:p>
    <w:bookmarkEnd w:id="50"/>
    <w:bookmarkStart w:id="51" w:name="ref-zeng2026molcrystalflow"/>
    <w:p>
      <w:pPr>
        <w:pStyle w:val="Bibliography"/>
        <w:spacing w:before="0" w:after="0" w:line="480" w:lineRule="auto"/>
      </w:pPr>
      <w:r>
        <w:t xml:space="preserve">(6)</w:t>
      </w:r>
      <w:r>
        <w:t xml:space="preserve"> </w:t>
      </w:r>
      <w:r>
        <w:t xml:space="preserve">	</w:t>
      </w:r>
      <w:r>
        <w:t xml:space="preserve">Zeng, C.; Sullivan, H. W.; Egg, T.; Martirossyan, M. M.; Höllmer, P.; Jin, J.; Hennig, R. G.; Roitberg, A.; Martiniani, S.; Tadmor, E. B.; Liu, M.</w:t>
      </w:r>
      <w:r>
        <w:t xml:space="preserve"> </w:t>
      </w:r>
      <w:r>
        <w:t xml:space="preserve">MolCrystalFlow</w:t>
      </w:r>
      <w:r>
        <w:t xml:space="preserve">: Molecular Crystal Structure Prediction via Flow Matching.</w:t>
      </w:r>
      <w:r>
        <w:t xml:space="preserve"> </w:t>
      </w:r>
      <w:r>
        <w:rPr>
          <w:i/>
          <w:iCs/>
        </w:rPr>
        <w:t xml:space="preserve">arXiv preprint arXiv:2602.16020</w:t>
      </w:r>
      <w:r>
        <w:t xml:space="preserve"> </w:t>
      </w:r>
      <w:r>
        <w:rPr>
          <w:b/>
          <w:bCs/>
        </w:rPr>
        <w:t xml:space="preserve">2026</w:t>
      </w:r>
      <w:r>
        <w:t xml:space="preserve">.</w:t>
      </w:r>
    </w:p>
    <w:bookmarkEnd w:id="51"/>
    <w:bookmarkStart w:id="52" w:name="ref-kim2025mofflow"/>
    <w:p>
      <w:pPr>
        <w:pStyle w:val="Bibliography"/>
        <w:spacing w:before="0" w:after="0" w:line="480" w:lineRule="auto"/>
      </w:pPr>
      <w:r>
        <w:t xml:space="preserve">(7)</w:t>
      </w:r>
      <w:r>
        <w:t xml:space="preserve"> </w:t>
      </w:r>
      <w:r>
        <w:t xml:space="preserve">	</w:t>
      </w:r>
      <w:r>
        <w:t xml:space="preserve">Kim, N.; Kim, S.; Kim, M.; Park, J.; Ahn, S.</w:t>
      </w:r>
      <w:r>
        <w:t xml:space="preserve"> </w:t>
      </w:r>
      <w:r>
        <w:t xml:space="preserve">MOFFlow</w:t>
      </w:r>
      <w:r>
        <w:t xml:space="preserve">: Flow Matching for Structure Prediction of Metal-Organic Frameworks.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2025.</w:t>
      </w:r>
    </w:p>
    <w:bookmarkEnd w:id="52"/>
    <w:bookmarkStart w:id="53" w:name="ref-jiao2024diffcsppp"/>
    <w:p>
      <w:pPr>
        <w:pStyle w:val="Bibliography"/>
        <w:spacing w:before="0" w:after="0" w:line="480" w:lineRule="auto"/>
      </w:pPr>
      <w:r>
        <w:t xml:space="preserve">(8)</w:t>
      </w:r>
      <w:r>
        <w:t xml:space="preserve"> </w:t>
      </w:r>
      <w:r>
        <w:t xml:space="preserve">	</w:t>
      </w:r>
      <w:r>
        <w:t xml:space="preserve">Jiao, R.; Huang, W.; Liu, Y.; Zhao, D.; Liu, Y. Space Group Constrained Crystal Generation.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2024.</w:t>
      </w:r>
    </w:p>
    <w:bookmarkEnd w:id="53"/>
    <w:bookmarkStart w:id="54" w:name="ref-wyckoffdiff2025"/>
    <w:p>
      <w:pPr>
        <w:pStyle w:val="Bibliography"/>
        <w:spacing w:before="0" w:after="0" w:line="480" w:lineRule="auto"/>
      </w:pPr>
      <w:r>
        <w:t xml:space="preserve">(9)</w:t>
      </w:r>
      <w:r>
        <w:t xml:space="preserve"> </w:t>
      </w:r>
      <w:r>
        <w:t xml:space="preserve">	</w:t>
      </w:r>
      <w:r>
        <w:t xml:space="preserve">Kelvinius, F. E.; Andersson, O. B.; Parackal, A. S.; Qian, D.; Armiento, R.; Lindsten, F.</w:t>
      </w:r>
      <w:r>
        <w:t xml:space="preserve"> </w:t>
      </w:r>
      <w:r>
        <w:t xml:space="preserve">WyckoffDiff</w:t>
      </w:r>
      <w:r>
        <w:t xml:space="preserve">: A Generative Diffusion Model for Crystal Symmetry.</w:t>
      </w:r>
      <w:r>
        <w:t xml:space="preserve"> </w:t>
      </w:r>
      <w:r>
        <w:rPr>
          <w:i/>
          <w:iCs/>
        </w:rPr>
        <w:t xml:space="preserve">arXiv preprint arXiv:2502.06485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54"/>
    <w:bookmarkStart w:id="55" w:name="ref-symmcd2025"/>
    <w:p>
      <w:pPr>
        <w:pStyle w:val="Bibliography"/>
        <w:spacing w:before="0" w:after="0" w:line="480" w:lineRule="auto"/>
      </w:pPr>
      <w:r>
        <w:t xml:space="preserve">(10)</w:t>
      </w:r>
      <w:r>
        <w:t xml:space="preserve"> </w:t>
      </w:r>
      <w:r>
        <w:t xml:space="preserve">	</w:t>
      </w:r>
      <w:r>
        <w:t xml:space="preserve">Levy, D.; Panigrahi, S. S.; Kaba, S.-O.; Zhu, Q.; Lee, K. L. K.; Galkin, M.; Miret, S.; Ravanbakhsh, S.</w:t>
      </w:r>
      <w:r>
        <w:t xml:space="preserve"> </w:t>
      </w:r>
      <w:r>
        <w:t xml:space="preserve">SymmCD</w:t>
      </w:r>
      <w:r>
        <w:t xml:space="preserve">: Symmetry-Preserving Crystal Generation with Diffusion Models.</w:t>
      </w:r>
      <w:r>
        <w:t xml:space="preserve"> </w:t>
      </w:r>
      <w:r>
        <w:rPr>
          <w:i/>
          <w:iCs/>
        </w:rPr>
        <w:t xml:space="preserve">arXiv preprint arXiv:2502.03638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55"/>
    <w:bookmarkStart w:id="56" w:name="ref-mu2026nextcrystal"/>
    <w:p>
      <w:pPr>
        <w:pStyle w:val="Bibliography"/>
        <w:spacing w:before="0" w:after="0" w:line="480" w:lineRule="auto"/>
      </w:pPr>
      <w:r>
        <w:t xml:space="preserve">(11)</w:t>
      </w:r>
      <w:r>
        <w:t xml:space="preserve"> </w:t>
      </w:r>
      <w:r>
        <w:t xml:space="preserve">	</w:t>
      </w:r>
      <w:r>
        <w:t xml:space="preserve">Mu, J.; He, L.; Zhu, X.; Yin, S.</w:t>
      </w:r>
      <w:r>
        <w:t xml:space="preserve"> </w:t>
      </w:r>
      <w:r>
        <w:t xml:space="preserve">NextCrystal</w:t>
      </w:r>
      <w:r>
        <w:t xml:space="preserve">: A Symmetry-Driven Generative Framework for Crystal Structure Prediction.</w:t>
      </w:r>
      <w:r>
        <w:t xml:space="preserve"> </w:t>
      </w:r>
      <w:r>
        <w:rPr>
          <w:i/>
          <w:iCs/>
        </w:rPr>
        <w:t xml:space="preserve">arXiv preprint arXiv:2602.17176</w:t>
      </w:r>
      <w:r>
        <w:t xml:space="preserve"> </w:t>
      </w:r>
      <w:r>
        <w:rPr>
          <w:b/>
          <w:bCs/>
        </w:rPr>
        <w:t xml:space="preserve">2026</w:t>
      </w:r>
      <w:r>
        <w:t xml:space="preserve">.</w:t>
      </w:r>
    </w:p>
    <w:bookmarkEnd w:id="56"/>
    <w:bookmarkStart w:id="58" w:name="ref-groom2016csd"/>
    <w:p>
      <w:pPr>
        <w:pStyle w:val="Bibliography"/>
        <w:spacing w:before="0" w:after="0" w:line="480" w:lineRule="auto"/>
      </w:pPr>
      <w:r>
        <w:t xml:space="preserve">(12)</w:t>
      </w:r>
      <w:r>
        <w:t xml:space="preserve"> </w:t>
      </w:r>
      <w:r>
        <w:t xml:space="preserve">	</w:t>
      </w:r>
      <w:r>
        <w:t xml:space="preserve">Groom, C. R.; Bruno, I. J.; Lightfoot, M. P.; Ward, S. C. The Cambridge Structural Database.</w:t>
      </w:r>
      <w:r>
        <w:t xml:space="preserve"> </w:t>
      </w:r>
      <w:r>
        <w:rPr>
          <w:i/>
          <w:iCs/>
        </w:rPr>
        <w:t xml:space="preserve">Acta Crystallographica Section B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72</w:t>
      </w:r>
      <w:r>
        <w:t xml:space="preserve"> </w:t>
      </w:r>
      <w:r>
        <w:t xml:space="preserve">(2), 171–179.</w:t>
      </w:r>
      <w:r>
        <w:t xml:space="preserve"> </w:t>
      </w:r>
      <w:hyperlink r:id="rId57">
        <w:r>
          <w:rPr>
            <w:rStyle w:val="Hyperlink"/>
          </w:rPr>
          <w:t xml:space="preserve">https://doi.org/10.1107/S2052520616003954</w:t>
        </w:r>
      </w:hyperlink>
      <w:r>
        <w:t xml:space="preserve">.</w:t>
      </w:r>
    </w:p>
    <w:bookmarkEnd w:id="58"/>
    <w:bookmarkStart w:id="60" w:name="ref-deng2023chgnet"/>
    <w:p>
      <w:pPr>
        <w:pStyle w:val="Bibliography"/>
        <w:spacing w:before="0" w:after="0" w:line="480" w:lineRule="auto"/>
      </w:pPr>
      <w:r>
        <w:t xml:space="preserve">(13)</w:t>
      </w:r>
      <w:r>
        <w:t xml:space="preserve"> </w:t>
      </w:r>
      <w:r>
        <w:t xml:space="preserve">	</w:t>
      </w:r>
      <w:r>
        <w:t xml:space="preserve">Deng, B.; Zhong, P.; Jun, K.; Riebesell, J.; Han, K.; Bartel, C. J.; Ceder, G.</w:t>
      </w:r>
      <w:r>
        <w:t xml:space="preserve"> </w:t>
      </w:r>
      <w:r>
        <w:t xml:space="preserve">CHGNet</w:t>
      </w:r>
      <w:r>
        <w:t xml:space="preserve"> </w:t>
      </w:r>
      <w:r>
        <w:t xml:space="preserve">as a Pretrained Universal Neural Network Potential for Charge-Informed Atomistic Modelling.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1031–1041.</w:t>
      </w:r>
      <w:r>
        <w:t xml:space="preserve"> </w:t>
      </w:r>
      <w:hyperlink r:id="rId59">
        <w:r>
          <w:rPr>
            <w:rStyle w:val="Hyperlink"/>
          </w:rPr>
          <w:t xml:space="preserve">https://doi.org/10.1038/s42256-023-00716-3</w:t>
        </w:r>
      </w:hyperlink>
      <w:r>
        <w:t xml:space="preserve">.</w:t>
      </w:r>
    </w:p>
    <w:bookmarkEnd w:id="60"/>
    <w:bookmarkStart w:id="61" w:name="ref-martirossyan2025matching"/>
    <w:p>
      <w:pPr>
        <w:pStyle w:val="Bibliography"/>
        <w:spacing w:before="0" w:after="0" w:line="480" w:lineRule="auto"/>
      </w:pPr>
      <w:r>
        <w:t xml:space="preserve">(14)</w:t>
      </w:r>
      <w:r>
        <w:t xml:space="preserve"> </w:t>
      </w:r>
      <w:r>
        <w:t xml:space="preserve">	</w:t>
      </w:r>
      <w:r>
        <w:t xml:space="preserve">Martirossyan, M. M.; Egg, T.; Hoellmer, P.; Karypis, G.; Transtrum, M.; Roitberg, A.; Liu, M.; Hennig, R. G.; Tadmor, E. B.; Martiniani, S. All That Structure Matches Does Not Glitter.</w:t>
      </w:r>
      <w:r>
        <w:t xml:space="preserve"> </w:t>
      </w:r>
      <w:r>
        <w:rPr>
          <w:i/>
          <w:iCs/>
        </w:rPr>
        <w:t xml:space="preserve">arXiv preprint arXiv:2509.12178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61"/>
    <w:bookmarkStart w:id="62" w:name="ref-satorras2021egnn"/>
    <w:p>
      <w:pPr>
        <w:pStyle w:val="Bibliography"/>
        <w:spacing w:before="0" w:after="0" w:line="480" w:lineRule="auto"/>
      </w:pPr>
      <w:r>
        <w:t xml:space="preserve">(15)</w:t>
      </w:r>
      <w:r>
        <w:t xml:space="preserve"> </w:t>
      </w:r>
      <w:r>
        <w:t xml:space="preserve">	</w:t>
      </w:r>
      <w:r>
        <w:t xml:space="preserve">Satorras, V. G.; Hoogeboom, E.; Welling, M.</w:t>
      </w:r>
      <w:r>
        <w:t xml:space="preserve"> </w:t>
      </w:r>
      <w:r>
        <w:t xml:space="preserve">E</w:t>
      </w:r>
      <w:r>
        <w:t xml:space="preserve">(n) Equivariant Graph Neural Networks.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2021.</w:t>
      </w:r>
    </w:p>
    <w:bookmarkEnd w:id="62"/>
    <w:bookmarkStart w:id="63" w:name="ref-cao2025so3averaged"/>
    <w:p>
      <w:pPr>
        <w:pStyle w:val="Bibliography"/>
        <w:spacing w:before="0" w:after="0" w:line="480" w:lineRule="auto"/>
      </w:pPr>
      <w:r>
        <w:t xml:space="preserve">(16)</w:t>
      </w:r>
      <w:r>
        <w:t xml:space="preserve"> </w:t>
      </w:r>
      <w:r>
        <w:t xml:space="preserve">	</w:t>
      </w:r>
      <w:r>
        <w:t xml:space="preserve">Cao, Z.; Geiger, M.; Santos Costa, A. dos; Reidenbach, D.; Kreis, K.; Geffner, T.; Pellegrini, F.; Zhou, G.; Kucukbenli, E. Efficient Molecular Conformer Generation with</w:t>
      </w:r>
      <w:r>
        <w:t xml:space="preserve"> </w:t>
      </w:r>
      <w:r>
        <w:t xml:space="preserve">SO(3)</w:t>
      </w:r>
      <w:r>
        <w:t xml:space="preserve">-Averaged Flow Matching and Reflow.</w:t>
      </w:r>
      <w:r>
        <w:t xml:space="preserve"> </w:t>
      </w:r>
      <w:r>
        <w:rPr>
          <w:i/>
          <w:iCs/>
        </w:rPr>
        <w:t xml:space="preserve">arXiv preprint arXiv:2507.09785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63"/>
    <w:bookmarkStart w:id="64" w:name="ref-pooladian2023multisample"/>
    <w:p>
      <w:pPr>
        <w:pStyle w:val="Bibliography"/>
        <w:spacing w:before="0" w:after="0" w:line="480" w:lineRule="auto"/>
      </w:pPr>
      <w:r>
        <w:t xml:space="preserve">(17)</w:t>
      </w:r>
      <w:r>
        <w:t xml:space="preserve"> </w:t>
      </w:r>
      <w:r>
        <w:t xml:space="preserve">	</w:t>
      </w:r>
      <w:r>
        <w:t xml:space="preserve">Pooladian, A.-A.; Ben-Hamu, H.; Domingo-Enrich, C.; Amos, B.; Lipman, Y.; Chen, R. T. Q. Multisample Flow Matching: Straightening Flows with Minibatch Couplings.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2023.</w:t>
      </w:r>
    </w:p>
    <w:bookmarkEnd w:id="64"/>
    <w:bookmarkStart w:id="66" w:name="ref-ong2013pymatgen"/>
    <w:p>
      <w:pPr>
        <w:pStyle w:val="Bibliography"/>
        <w:spacing w:before="0" w:after="0" w:line="480" w:lineRule="auto"/>
      </w:pPr>
      <w:r>
        <w:t xml:space="preserve">(18)</w:t>
      </w:r>
      <w:r>
        <w:t xml:space="preserve"> </w:t>
      </w:r>
      <w:r>
        <w:t xml:space="preserve">	</w:t>
      </w:r>
      <w:r>
        <w:t xml:space="preserve">Ong, S. P.; Richards, W. D.; Jain, A.; Hautier, G.; Kocher, M.; Cholia, S.; Gunter, D.; Chevrier, V. L.; Persson, K. A.; Ceder, G. Python Materials Genomics (Pymatgen): A Robust, Open-Source Python Library for Materials Analysis.</w:t>
      </w:r>
      <w:r>
        <w:t xml:space="preserve"> </w:t>
      </w:r>
      <w:r>
        <w:rPr>
          <w:i/>
          <w:iCs/>
        </w:rPr>
        <w:t xml:space="preserve">Computational Materials Science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68</w:t>
      </w:r>
      <w:r>
        <w:t xml:space="preserve">, 314–319.</w:t>
      </w:r>
      <w:r>
        <w:t xml:space="preserve"> </w:t>
      </w:r>
      <w:hyperlink r:id="rId65">
        <w:r>
          <w:rPr>
            <w:rStyle w:val="Hyperlink"/>
          </w:rPr>
          <w:t xml:space="preserve">https://doi.org/10.1016/j.commatsci.2012.10.028</w:t>
        </w:r>
      </w:hyperlink>
      <w:r>
        <w:t xml:space="preserve">.</w:t>
      </w:r>
    </w:p>
    <w:bookmarkEnd w:id="66"/>
    <w:bookmarkStart w:id="68" w:name="ref-cai2026symmcflow"/>
    <w:p>
      <w:pPr>
        <w:pStyle w:val="Bibliography"/>
        <w:spacing w:before="0" w:after="0" w:line="480" w:lineRule="auto"/>
      </w:pPr>
      <w:r>
        <w:t xml:space="preserve">(19)</w:t>
      </w:r>
      <w:r>
        <w:t xml:space="preserve"> </w:t>
      </w:r>
      <w:r>
        <w:t xml:space="preserve">	</w:t>
      </w:r>
      <w:r>
        <w:t xml:space="preserve">Cai, F.</w:t>
      </w:r>
      <w:r>
        <w:t xml:space="preserve"> </w:t>
      </w:r>
      <w:r>
        <w:rPr>
          <w:i/>
          <w:iCs/>
        </w:rPr>
        <w:t xml:space="preserve">fronkt/symmc-flow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SymMC</w:t>
      </w:r>
      <w:r>
        <w:rPr>
          <w:i/>
          <w:iCs/>
        </w:rPr>
        <w:t xml:space="preserve">-</w:t>
      </w:r>
      <w:r>
        <w:rPr>
          <w:i/>
          <w:iCs/>
        </w:rPr>
        <w:t xml:space="preserve">Flow</w:t>
      </w:r>
      <w:r>
        <w:rPr>
          <w:i/>
          <w:iCs/>
        </w:rPr>
        <w:t xml:space="preserve"> </w:t>
      </w:r>
      <w:r>
        <w:rPr>
          <w:i/>
          <w:iCs/>
        </w:rPr>
        <w:t xml:space="preserve">Symmetry-Conditioned Rigid-Body Flow Matching and CSD Data Pipeline for Molecular-Crystal Structure Prediction (V2)</w:t>
      </w:r>
      <w:r>
        <w:t xml:space="preserve">; Software; Zenodo, 2026.</w:t>
      </w:r>
      <w:r>
        <w:t xml:space="preserve"> </w:t>
      </w:r>
      <w:hyperlink r:id="rId67">
        <w:r>
          <w:rPr>
            <w:rStyle w:val="Hyperlink"/>
          </w:rPr>
          <w:t xml:space="preserve">https://doi.org/10.5281/zenodo.21500734</w:t>
        </w:r>
      </w:hyperlink>
      <w:r>
        <w:t xml:space="preserve">.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  <w:jc w:val="left"/>
    </w:pPr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480" w:lineRule="auto"/>
      <w:outlineLvl w:val="0"/>
    </w:pPr>
    <w:rPr>
      <w:rFonts w:ascii="Times New Roman" w:hAnsi="Times New Roman" w:eastAsia="Times New Roman" w:cs="Times New Roman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1"/>
    </w:pPr>
    <w:rPr>
      <w:rFonts w:ascii="Times New Roman" w:hAnsi="Times New Roman" w:eastAsia="Times New Roman" w:cs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2"/>
    </w:pPr>
    <w:rPr>
      <w:rFonts w:ascii="Times New Roman" w:hAnsi="Times New Roman" w:eastAsia="Times New Roman" w:cs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3"/>
    </w:pPr>
    <w:rPr>
      <w:rFonts w:ascii="Times New Roman" w:hAnsi="Times New Roman" w:eastAsia="Times New Roman" w:cs="Times New Roman"/>
      <w:b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480" w:lineRule="auto"/>
      <w:outlineLvl w:val="5"/>
    </w:pPr>
    <w:rPr>
      <w:rFonts w:ascii="Times New Roman" w:hAnsi="Times New Roman" w:eastAsia="Times New Roman" w:cs="Times New Roman"/>
      <w:b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65" Type="http://schemas.openxmlformats.org/officeDocument/2006/relationships/hyperlink" Target="https://doi.org/10.1016/j.commatsci.2012.10.028" TargetMode="External"/><Relationship Id="rId59" Type="http://schemas.openxmlformats.org/officeDocument/2006/relationships/hyperlink" Target="https://doi.org/10.1038/s42256-023-00716-3" TargetMode="External"/><Relationship Id="rId57" Type="http://schemas.openxmlformats.org/officeDocument/2006/relationships/hyperlink" Target="https://doi.org/10.1107/S2052520616003954" TargetMode="External"/><Relationship Id="rId67" Type="http://schemas.openxmlformats.org/officeDocument/2006/relationships/hyperlink" Target="https://doi.org/10.5281/zenodo.21500734" TargetMode="External"/><Relationship Id="rId43" Type="http://schemas.openxmlformats.org/officeDocument/2006/relationships/hyperlink" Target="https://github.com/fronkt/symmc-flow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016/j.commatsci.2012.10.028" TargetMode="External"/><Relationship Id="rId59" Type="http://schemas.openxmlformats.org/officeDocument/2006/relationships/hyperlink" Target="https://doi.org/10.1038/s42256-023-00716-3" TargetMode="External"/><Relationship Id="rId57" Type="http://schemas.openxmlformats.org/officeDocument/2006/relationships/hyperlink" Target="https://doi.org/10.1107/S2052520616003954" TargetMode="External"/><Relationship Id="rId67" Type="http://schemas.openxmlformats.org/officeDocument/2006/relationships/hyperlink" Target="https://doi.org/10.5281/zenodo.21500734" TargetMode="External"/><Relationship Id="rId43" Type="http://schemas.openxmlformats.org/officeDocument/2006/relationships/hyperlink" Target="https://github.com/fronkt/symmc-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Fully Symmetry-Conditioned Rigid-Body Flow Matching for Molecular-Crystal Structure Prediction</dc:title>
  <dc:creator>Frank Cai Purdue University, West Lafayette, Indiana 47907, United States frankyc11223@gmail.com</dc:creator>
  <cp:keywords/>
  <dcterms:created xsi:type="dcterms:W3CDTF">2026-08-02T21:48:53Z</dcterms:created>
  <dcterms:modified xsi:type="dcterms:W3CDTF">2026-08-02T21:48:53Z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Rigid-body flow matching reduces molecular-crystal structure prediction to a lattice, fractional centroids, and per-molecule orientations on \mathrm{SO}(3), but current rigid-body molecular-crystal generators leave crystallographic symmetry unconditioned, and symmetry-conditioned generation has been demonstrated only for inorganic atomic sites. We show that the per-molecule orientation target factorizes as R_m=\mathrm{rot}(g_m)\,R_{\text{asym}} into a space-group-determined relative rotation, which a flow learns, and a gauge-free asymmetric-unit pose, which it cannot regress from packing. We turn this into a deployable method: a leak-free coset label—the generating space-group operation, recoverable from a symmetry template at sampling time—conditions the orientation flow. On Cambridge Structural Database crystals, deployable coset conditioning lifts the held-out non-reference orientation loss by 41.1\% (versus 27.5\% for a paired control), two-thirds of the way to a leaky-codebook oracle (\sim\!48\%); an \mathrm{SO}(3)-averaged objective closes the gap (47.7\%). Supplying the coset at generation collapses the end-to-end orientation error sevenfold (93.5^\circ\!\to\!13.4^\circ), and the advantage widens with data. Extending symmetry conditioning to the lattice—a crystal-family mask on an \mathrm{O}(3)-invariant log-metric parametrization—gives, to our knowledge, the first fully symmetry-conditioned molecular-crystal flow. Paired with an unsupervised symmetry-preserving packing finisher, a fully-ablated stack of levers lifts held-out exact match from 0\% to 6.9\% (strict best-of-10, StructureMatcher \text{stol}\,1.0), at statistical parity with the symmetry-free MolCrystalFlow (\sim\!8\%), reaching 10.7\% with orientation test-time augmentation. We report the contribution of each lever.</vt:lpwstr>
  </property>
  <property fmtid="{D5CDD505-2E9C-101B-9397-08002B2CF9AE}" pid="3" name="bibliography">
    <vt:lpwstr>references.bib</vt:lpwstr>
  </property>
  <property fmtid="{D5CDD505-2E9C-101B-9397-08002B2CF9AE}" pid="4" name="csl">
    <vt:lpwstr>acs.csl</vt:lpwstr>
  </property>
</Properties>
</file>