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 low-dimensional target amenable to fast</w:t>
      </w:r>
      <w:r>
        <w:t xml:space="preserve"> </w:t>
      </w:r>
      <w:r>
        <w:t xml:space="preserve">flow-matching samplers. Whether the orientation field is actually learnable on</w:t>
      </w:r>
      <w:r>
        <w:t xml:space="preserve"> </w:t>
      </w:r>
      <w:r>
        <w:t xml:space="preserve">real molecular crystals has not been examined. We introduce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use it to</w:t>
      </w:r>
      <w:r>
        <w:t xml:space="preserve"> </w:t>
      </w:r>
      <w:r>
        <w:t xml:space="preserve">characterize the orientation field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exported from the</w:t>
      </w:r>
      <w:r>
        <w:t xml:space="preserve"> </w:t>
      </w:r>
      <w:r>
        <w:t xml:space="preserve">Cambridge Structural Database. The lattice and centroid flows learn normally,</w:t>
      </w:r>
      <w:r>
        <w:t xml:space="preserve"> </w:t>
      </w:r>
      <w:r>
        <w:t xml:space="preserve">but the absolute per-molecule orientation flow remains at its predict-zero</w:t>
      </w:r>
      <w:r>
        <w:t xml:space="preserve"> </w:t>
      </w:r>
      <w:r>
        <w:t xml:space="preserve">floor. We trace this to a 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 free</w:t>
      </w:r>
      <w:r>
        <w:t xml:space="preserve"> </w:t>
      </w:r>
      <w:r>
        <w:t xml:space="preserve">orientation in the cell. The free part is gauge-arbitrary and is not learnable</w:t>
      </w:r>
      <w:r>
        <w:t xml:space="preserve"> </w:t>
      </w:r>
      <w:r>
        <w:t xml:space="preserve">from composition and packing here; the relative part is learnable. Re-gauging to</w:t>
      </w:r>
      <w:r>
        <w:t xml:space="preserve"> </w:t>
      </w:r>
      <w:r>
        <w:t xml:space="preserve">cancel the free part lifts the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and, in an orientation-isolated evaluation,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 multi-copy packings exactly under</w:t>
      </w:r>
      <w:r>
        <w:t xml:space="preserve"> </w:t>
      </w:r>
      <w:r>
        <w:t xml:space="preserve">StructureMatcher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</w:t>
      </w:r>
      <w:r>
        <w:t xml:space="preserve"> </w:t>
      </w:r>
      <w:r>
        <w:t xml:space="preserve">coset identity raises the learnable signal to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, showing the residual</w:t>
      </w:r>
      <w:r>
        <w:t xml:space="preserve"> </w:t>
      </w:r>
      <w:r>
        <w:t xml:space="preserve">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</w:t>
      </w:r>
      <w:r>
        <w:t xml:space="preserve"> </w:t>
      </w:r>
      <w:r>
        <w:t xml:space="preserve">from packing rather than by the network’s capacity to represent the rotation.</w:t>
      </w:r>
      <w:r>
        <w:t xml:space="preserve"> </w:t>
      </w:r>
      <w:r>
        <w:t xml:space="preserve">End-to-end joint generation, which must also sample the lattice and centroids,</w:t>
      </w:r>
      <w:r>
        <w:t xml:space="preserve"> </w:t>
      </w:r>
      <w:r>
        <w:t xml:space="preserve">does not yet reconstruct packings exactly, placing the orientation result as a</w:t>
      </w:r>
      <w:r>
        <w:t xml:space="preserve"> </w:t>
      </w:r>
      <w:r>
        <w:t xml:space="preserve">characterization rather than a finished generator.</w:t>
      </w:r>
      <w:r>
        <w:t xml:space="preserve"> </w:t>
      </w:r>
      <w:r>
        <w:t xml:space="preserve">The result delineates exactly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</w:t>
      </w:r>
      <w:r>
        <w:t xml:space="preserve"> </w:t>
      </w:r>
      <w:r>
        <w:t xml:space="preserve">cannot contribute to molecular-crystal generation, and suggests that such</w:t>
      </w:r>
      <w:r>
        <w:t xml:space="preserve"> </w:t>
      </w:r>
      <w:r>
        <w:t xml:space="preserve">generators 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rPr>
          <w:vertAlign w:val="superscript"/>
        </w:rPr>
        <w:t xml:space="preserve">1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rPr>
          <w:vertAlign w:val="superscript"/>
        </w:rPr>
        <w:t xml:space="preserve">3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rPr>
          <w:vertAlign w:val="superscript"/>
        </w:rPr>
        <w:t xml:space="preserve">4,5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rPr>
          <w:vertAlign w:val="superscript"/>
        </w:rPr>
        <w:t xml:space="preserve">6,7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rPr>
          <w:vertAlign w:val="superscript"/>
        </w:rPr>
        <w:t xml:space="preserve">9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rPr>
          <w:vertAlign w:val="superscript"/>
        </w:rPr>
        <w:t xml:space="preserve">10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rPr>
          <w:vertAlign w:val="superscript"/>
        </w:rPr>
        <w:t xml:space="preserve">6,7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rPr>
          <w:vertAlign w:val="superscript"/>
        </w:rPr>
        <w:t xml:space="preserve">4,5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rPr>
          <w:vertAlign w:val="superscript"/>
        </w:rPr>
        <w:t xml:space="preserve">8,9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rPr>
          <w:vertAlign w:val="superscript"/>
        </w:rPr>
        <w:t xml:space="preserve">14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0"/>
    <w:bookmarkStart w:id="31" w:name="results"/>
    <w:p>
      <w:pPr>
        <w:pStyle w:val="Heading1"/>
      </w:pPr>
      <w:r>
        <w:t xml:space="preserve">Results</w:t>
      </w:r>
    </w:p>
    <w:bookmarkStart w:id="15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Figure </w:t>
      </w:r>
      <w:hyperlink w:anchor="fig:schemati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</w:t>
      </w:r>
      <w:r>
        <w:t xml:space="preserve"> </w:t>
      </w:r>
      <w:r>
        <w:t xml:space="preserve">factorization and the orientation decomposition developed below. Architecture,</w:t>
      </w:r>
      <w:r>
        <w:t xml:space="preserve"> </w:t>
      </w:r>
      <w:r>
        <w:t xml:space="preserve">manifold operations, and data 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Start w:id="14" w:name="fig:schematic"/>
    <w:p>
      <w:pPr>
        <w:pStyle w:val="CaptionedFigure"/>
      </w:pPr>
      <w:r>
        <w:drawing>
          <wp:inline>
            <wp:extent cx="5334000" cy="22801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1_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Rigid-body factorization and the orientation decomposition.</w:t>
      </w:r>
      <w:r>
        <w:t xml:space="preserve"> </w:t>
      </w:r>
      <w:r>
        <w:t xml:space="preserve">(a) A molecular crystal is represented by a lattice</w:t>
      </w:r>
      <w:r>
        <w:t xml:space="preserve"> </w:t>
      </w:r>
      <m:oMath>
        <m:r>
          <m:t>L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per molecule, and an 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 body-frame conformer, with atoms reconstructed by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. (b) The per-molecule orientation target factors as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into a space-group-determined</w:t>
      </w:r>
      <w:r>
        <w:t xml:space="preserve"> </w:t>
      </w:r>
      <w:r>
        <w:t xml:space="preserve">relative rotation, which the flow learns, and the asymmetric unit’s free</w:t>
      </w:r>
      <w:r>
        <w:t xml:space="preserve"> </w:t>
      </w:r>
      <w:r>
        <w:t xml:space="preserve">orientation, which is gauge-arbitrary and not learnable from composition and</w:t>
      </w:r>
      <w:r>
        <w:t xml:space="preserve"> </w:t>
      </w:r>
      <w:r>
        <w:t xml:space="preserve">packing.</w:t>
      </w:r>
    </w:p>
    <w:bookmarkEnd w:id="14"/>
    <w:bookmarkEnd w:id="15"/>
    <w:bookmarkStart w:id="17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6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6"/>
    <w:bookmarkEnd w:id="17"/>
    <w:bookmarkStart w:id="18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8"/>
    <w:bookmarkStart w:id="20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genuinely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19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9"/>
    <w:bookmarkEnd w:id="20"/>
    <w:bookmarkStart w:id="22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rPr>
          <w:vertAlign w:val="superscript"/>
        </w:rPr>
        <w:t xml:space="preserve">16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rPr>
          <w:vertAlign w:val="superscript"/>
        </w:rPr>
        <w:t xml:space="preserve">14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rPr>
          <w:vertAlign w:val="superscript"/>
        </w:rPr>
        <w:t xml:space="preserve">17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21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21"/>
    <w:bookmarkEnd w:id="22"/>
    <w:bookmarkStart w:id="28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18–20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b); over three seeds the coset-conditioned non-reference</w:t>
      </w:r>
      <w:r>
        <w:t xml:space="preserve"> </w:t>
      </w:r>
      <w:r>
        <w:t xml:space="preserve">drop is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rPr>
          <w:vertAlign w:val="superscript"/>
        </w:rPr>
        <w:t xml:space="preserve">18–20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3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3"/>
    <w:bookmarkStart w:id="27" w:name="fig:results"/>
    <w:p>
      <w:pPr>
        <w:pStyle w:val="CaptionedFigure"/>
      </w:pPr>
      <w:r>
        <w:drawing>
          <wp:inline>
            <wp:extent cx="5334000" cy="222603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ig2_resul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7"/>
    <w:bookmarkEnd w:id="28"/>
    <w:bookmarkStart w:id="29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rPr>
          <w:vertAlign w:val="superscript"/>
        </w:rPr>
        <w:t xml:space="preserve">10,11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29"/>
    <w:bookmarkStart w:id="30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30"/>
    <w:bookmarkEnd w:id="31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underscores why a single match-rate number is an unreliable</w:t>
      </w:r>
      <w:r>
        <w:t xml:space="preserve"> </w:t>
      </w:r>
      <w:r>
        <w:t xml:space="preserve">summary</w:t>
      </w:r>
      <w:r>
        <w:rPr>
          <w:vertAlign w:val="superscript"/>
        </w:rPr>
        <w:t xml:space="preserve">17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rPr>
          <w:vertAlign w:val="superscript"/>
        </w:rPr>
        <w:t xml:space="preserve">18–20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genuinely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32"/>
    <w:bookmarkStart w:id="42" w:name="methods"/>
    <w:p>
      <w:pPr>
        <w:pStyle w:val="Heading1"/>
      </w:pPr>
      <w:r>
        <w:t xml:space="preserve">Methods</w:t>
      </w:r>
    </w:p>
    <w:bookmarkStart w:id="33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3"/>
    <w:bookmarkStart w:id="34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rPr>
          <w:vertAlign w:val="superscript"/>
        </w:rPr>
        <w:t xml:space="preserve">22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5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rPr>
          <w:vertAlign w:val="superscript"/>
        </w:rPr>
        <w:t xml:space="preserve">12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4"/>
    <w:bookmarkStart w:id="35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5"/>
    <w:bookmarkStart w:id="36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6"/>
    <w:bookmarkStart w:id="37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7"/>
    <w:bookmarkStart w:id="38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8"/>
    <w:bookmarkStart w:id="39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39"/>
    <w:bookmarkStart w:id="40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rPr>
          <w:vertAlign w:val="superscript"/>
        </w:rPr>
        <w:t xml:space="preserve">16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40"/>
    <w:bookmarkStart w:id="4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41"/>
    <w:bookmarkEnd w:id="42"/>
    <w:bookmarkStart w:id="4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bookmarkEnd w:id="43"/>
    <w:bookmarkStart w:id="45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4">
        <w:r>
          <w:rPr>
            <w:rStyle w:val="Hyperlink"/>
          </w:rPr>
          <w:t xml:space="preserve">https://github.com/fronkt/symmc-flow</w:t>
        </w:r>
      </w:hyperlink>
      <w:r>
        <w:t xml:space="preserve">.</w:t>
      </w:r>
    </w:p>
    <w:bookmarkEnd w:id="45"/>
    <w:bookmarkStart w:id="4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6"/>
    <w:bookmarkStart w:id="47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7"/>
    <w:bookmarkStart w:id="4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48"/>
    <w:bookmarkStart w:id="77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Start w:id="76" w:name="refs"/>
    <w:bookmarkStart w:id="49" w:name="ref-xie2022cdvae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T. Xie, X. Fu, O.-E. Ganea, R. Barzilay and T. Jaakkola,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2022.</w:t>
      </w:r>
    </w:p>
    <w:bookmarkEnd w:id="49"/>
    <w:bookmarkStart w:id="50" w:name="ref-jiao2023diffcsp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R. Jiao, W. Huang, P. Lin, J. Han, P. Chen, Y. Lu and Y. Liu, 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2023.</w:t>
      </w:r>
    </w:p>
    <w:bookmarkEnd w:id="50"/>
    <w:bookmarkStart w:id="51" w:name="ref-miller2024flowmm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B. K. Miller, R. T. Q. Chen, A. Sriram and B. M. Wood,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2024.</w:t>
      </w:r>
    </w:p>
    <w:bookmarkEnd w:id="51"/>
    <w:bookmarkStart w:id="52" w:name="ref-lipman2023flowmatching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Y. Lipman, R. T. Q. Chen, H. Ben-Hamu, M. Nickel and M. Le,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2023.</w:t>
      </w:r>
    </w:p>
    <w:bookmarkEnd w:id="52"/>
    <w:bookmarkStart w:id="53" w:name="ref-chen2024riemannian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R. T. Q. Chen and Y. Lipman,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53"/>
    <w:bookmarkStart w:id="54" w:name="ref-yim2023se3diffusion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J. Yim, B. L. Trippe, V. De Bortoli, E. Mathieu, A. Doucet, R. Barzilay and T. Jaakkola,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54"/>
    <w:bookmarkStart w:id="55" w:name="ref-yim2023frameflow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J. Yim, A. Campbell, A. Y. K. Foong, M. Gastegger, J. Jiménez-Luna, S. Lewis, V. G. Satorras, B. S. Veeling, R. Barzilay, T. Jaakkola and F. Noé,</w:t>
      </w:r>
      <w:r>
        <w:t xml:space="preserve"> </w:t>
      </w:r>
      <w:r>
        <w:rPr>
          <w:i/>
          <w:iCs/>
        </w:rPr>
        <w:t xml:space="preserve">arXiv preprint arXiv:2310.05297</w:t>
      </w:r>
      <w:r>
        <w:t xml:space="preserve">.</w:t>
      </w:r>
    </w:p>
    <w:bookmarkEnd w:id="55"/>
    <w:bookmarkStart w:id="57" w:name="ref-price2023blindtest7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L. M. Hunnisett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, DOI:</w:t>
      </w:r>
      <w:hyperlink r:id="rId56">
        <w:r>
          <w:rPr>
            <w:rStyle w:val="Hyperlink"/>
          </w:rPr>
          <w:t xml:space="preserve">10.1107/S2052520624007492</w:t>
        </w:r>
      </w:hyperlink>
      <w:r>
        <w:t xml:space="preserve">.</w:t>
      </w:r>
    </w:p>
    <w:bookmarkEnd w:id="57"/>
    <w:bookmarkStart w:id="59" w:name="ref-obrien2021dataefficient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hyperlink r:id="rId58">
        <w:r>
          <w:rPr>
            <w:rStyle w:val="Hyperlink"/>
          </w:rPr>
          <w:t xml:space="preserve">S. Wengert, G. Csányi, K. Reuter and J. T. Margraf,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Chemical Science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4536–4546</w:t>
        </w:r>
      </w:hyperlink>
      <w:r>
        <w:t xml:space="preserve">.</w:t>
      </w:r>
    </w:p>
    <w:bookmarkEnd w:id="59"/>
    <w:bookmarkStart w:id="60" w:name="ref-jin2025oxtal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E. Jin, A. C. Nica, M. Galkin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60"/>
    <w:bookmarkStart w:id="61" w:name="ref-subramanian2026packflow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A. Subramanian, E. Pan, J. Nam, M. Weiler, S. Qu, C. W. Park, T. S. Jaakkola, E. Olivetti and R. Gomez-Bombarelli,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61"/>
    <w:bookmarkStart w:id="62" w:name="ref-kim2025mofflow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N. Kim, S. Kim, M. Kim, J. Park and S. Ahn,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2025.</w:t>
      </w:r>
    </w:p>
    <w:bookmarkEnd w:id="62"/>
    <w:bookmarkStart w:id="63" w:name="ref-leach2022so3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A. Leach, S. M. Schmon, M. T. Degiacomi and C. G. Willcocks, in</w:t>
      </w:r>
      <w:r>
        <w:t xml:space="preserve"> </w:t>
      </w:r>
      <w:r>
        <w:rPr>
          <w:i/>
          <w:iCs/>
        </w:rPr>
        <w:t xml:space="preserve">ICLR 2022 workshop on geometrical and topological representation learning</w:t>
      </w:r>
      <w:r>
        <w:t xml:space="preserve">, 2022.</w:t>
      </w:r>
    </w:p>
    <w:bookmarkEnd w:id="63"/>
    <w:bookmarkStart w:id="65" w:name="ref-groom2016csd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64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Crystallographica Section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5"/>
    <w:bookmarkStart w:id="66" w:name="ref-satorras2021egnn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V. G. Satorras, E. Hoogeboom and M. Welling,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2021.</w:t>
      </w:r>
    </w:p>
    <w:bookmarkEnd w:id="66"/>
    <w:bookmarkStart w:id="68" w:name="ref-ong2013pymatgen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67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Computational Materials Science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68"/>
    <w:bookmarkStart w:id="69" w:name="ref-martirossyan2025matching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M. M. Martirossyan, T. Egg, P. Hoellmer, G. Karypis, M. Transtrum, A. Roitberg, M. Liu, R. G. Hennig, E. B. Tadmor and S. Martiniani,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69"/>
    <w:bookmarkStart w:id="70" w:name="ref-jiao2024diffcsppp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R. Jiao, W. Huang, Y. Liu, D. Zhao and Y. Liu,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70"/>
    <w:bookmarkStart w:id="71" w:name="ref-wyckoffdiff2025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F. E. Kelvinius, O. B. Andersson, A. S. Parackal, D. Qian, R. Armiento and F. Lindsten,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.</w:t>
      </w:r>
    </w:p>
    <w:bookmarkEnd w:id="71"/>
    <w:bookmarkStart w:id="72" w:name="ref-symmcd2025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D. Levy, S. S. Panigrahi, S.-O. Kaba, Q. Zhu, K. L. K. Lee, M. Galkin, S. Miret and S. Ravanbakhsh,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.</w:t>
      </w:r>
    </w:p>
    <w:bookmarkEnd w:id="72"/>
    <w:bookmarkStart w:id="74" w:name="ref-deng2023chgnet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73">
        <w:r>
          <w:rPr>
            <w:rStyle w:val="Hyperlink"/>
          </w:rPr>
          <w:t xml:space="preserve">B. Deng, P. Zhong, K. Jun, J. Riebesell, K. Han, C. J. Bartel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Nature Machine Intelligence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1031–1041</w:t>
        </w:r>
      </w:hyperlink>
      <w:r>
        <w:t xml:space="preserve">.</w:t>
      </w:r>
    </w:p>
    <w:bookmarkEnd w:id="74"/>
    <w:bookmarkStart w:id="75" w:name="ref-pooladian2023multisample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A.-A. Pooladian, H. Ben-Hamu, C. Domingo-Enrich, B. Amos, Y. Lipman and R. T. Q. Chen,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cai495@purdue.edu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hyperlink" Id="rId67" Target="https://doi.org/10.1016/j.commatsci.2012.10.028" TargetMode="External" /><Relationship Type="http://schemas.openxmlformats.org/officeDocument/2006/relationships/hyperlink" Id="rId73" Target="https://doi.org/10.1038/s42256-023-00716-3" TargetMode="External" /><Relationship Type="http://schemas.openxmlformats.org/officeDocument/2006/relationships/hyperlink" Id="rId58" Target="https://doi.org/10.1039/D0SC05765G" TargetMode="External" /><Relationship Type="http://schemas.openxmlformats.org/officeDocument/2006/relationships/hyperlink" Id="rId64" Target="https://doi.org/10.1107/S2052520616003954" TargetMode="External" /><Relationship Type="http://schemas.openxmlformats.org/officeDocument/2006/relationships/hyperlink" Id="rId56" Target="https://doi.org/10.1107/S2052520624007492" TargetMode="External" /><Relationship Type="http://schemas.openxmlformats.org/officeDocument/2006/relationships/hyperlink" Id="rId44" Target="https://github.com/fronkt/symmc-flo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16/j.commatsci.2012.10.028" TargetMode="External" /><Relationship Type="http://schemas.openxmlformats.org/officeDocument/2006/relationships/hyperlink" Id="rId73" Target="https://doi.org/10.1038/s42256-023-00716-3" TargetMode="External" /><Relationship Type="http://schemas.openxmlformats.org/officeDocument/2006/relationships/hyperlink" Id="rId58" Target="https://doi.org/10.1039/D0SC05765G" TargetMode="External" /><Relationship Type="http://schemas.openxmlformats.org/officeDocument/2006/relationships/hyperlink" Id="rId64" Target="https://doi.org/10.1107/S2052520616003954" TargetMode="External" /><Relationship Type="http://schemas.openxmlformats.org/officeDocument/2006/relationships/hyperlink" Id="rId56" Target="https://doi.org/10.1107/S2052520624007492" TargetMode="External" /><Relationship Type="http://schemas.openxmlformats.org/officeDocument/2006/relationships/hyperlink" Id="rId44" Target="https://github.com/fronkt/symmc-flo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2026-06-22T07:31:30Z</dcterms:created>
  <dcterms:modified xsi:type="dcterms:W3CDTF">2026-06-22T07:31:30Z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\mathrm{SO}(3), a low-dimensional target amenable to fast flow-matching samplers. Whether the orientation field is actually learnable on real molecular crystals has not been examined. We introduce SymMC-Flow, a space-group-conditioned rigid-body flow on \text{lattice}\times\mathbb{T}^3\times\mathrm{SO}(3), and use it to characterize the orientation field on 1{,}127 crystals exported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free orientation in the cell. The free part is gauge-arbitrary and is not learnable from composition and packing here; the relative part is learnable. Re-gauging to cancel the free part lifts the held-out non-reference orientation loss by 27\% (versus \sim\!0\% for the absolute target) and, in an orientation-isolated evaluation, reconstructs 13.7\% (mean over three seeds) of held-out multi-copy packings exactly under StructureMatcher against 0\% for the predict-floor baseline. Conditioning on a discrete space-group coset identity raises the learnable signal to 51\%, showing the residual ceiling is set by the difficulty of inferring the symmetry operation from packing rather than by the network’s capacity to represent the rotation. End-to-end joint generation, which must also sample the lattice and centroids, does not yet reconstruct packings exactly, placing the orientation result as a characterization rather than a finished generator. The result delineates exactly what a rigid-body \mathrm{SO}(3) flow can and cannot contribute to molecular-crystal generation, and suggests that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