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the orientation field is actually</w:t>
      </w:r>
      <w:r>
        <w:t xml:space="preserve"> </w:t>
      </w:r>
      <w:r>
        <w:t xml:space="preserve">learnable on real molecular crystals has not been examined. We introduce</w:t>
      </w:r>
      <w:r>
        <w:t xml:space="preserve"> </w:t>
      </w:r>
      <w:r>
        <w:t xml:space="preserve">SymMC-Flow, a 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used as a diagnostic</w:t>
      </w:r>
      <w:r>
        <w:t xml:space="preserve"> </w:t>
      </w:r>
      <w:r>
        <w:t xml:space="preserve">study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from the Cambridge Structural Database. The</w:t>
      </w:r>
      <w:r>
        <w:t xml:space="preserve"> </w:t>
      </w:r>
      <w:r>
        <w:t xml:space="preserve">lattice and centroid flows learn normally, but the absolute per-molecule</w:t>
      </w:r>
      <w:r>
        <w:t xml:space="preserve"> </w:t>
      </w:r>
      <w:r>
        <w:t xml:space="preserve">orientation flow remains at its predict-zero floor. We trace this to a</w:t>
      </w:r>
      <w:r>
        <w:t xml:space="preserve"> </w:t>
      </w:r>
      <w:r>
        <w:t xml:space="preserve">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</w:t>
      </w:r>
      <w:r>
        <w:t xml:space="preserve"> </w:t>
      </w:r>
      <w:r>
        <w:t xml:space="preserve">gauge-arbitrary free orientation, which is not learnable from composition and</w:t>
      </w:r>
      <w:r>
        <w:t xml:space="preserve"> </w:t>
      </w:r>
      <w:r>
        <w:t xml:space="preserve">packing; the relative part is. Re-gauging to cancel the free part lifts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</w:t>
      </w:r>
      <w:r>
        <w:t xml:space="preserve"> </w:t>
      </w:r>
      <w:r>
        <w:t xml:space="preserve">held-out multi-copy packings exactly under StructureMatcher,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 coset</w:t>
      </w:r>
      <w:r>
        <w:t xml:space="preserve"> </w:t>
      </w:r>
      <w:r>
        <w:t xml:space="preserve">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 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 from packing rather than by network capacity.</w:t>
      </w:r>
      <w:r>
        <w:t xml:space="preserve"> </w:t>
      </w:r>
      <w:r>
        <w:t xml:space="preserve">End-to-end joint generation does not yet reconstruct packings exactly,</w:t>
      </w:r>
      <w:r>
        <w:t xml:space="preserve"> </w:t>
      </w:r>
      <w:r>
        <w:t xml:space="preserve">placing this as a characterization rather than a finished generator. The</w:t>
      </w:r>
      <w:r>
        <w:t xml:space="preserve"> </w:t>
      </w:r>
      <w:r>
        <w:t xml:space="preserve">result maps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 cannot</w:t>
      </w:r>
      <w:r>
        <w:t xml:space="preserve"> </w:t>
      </w:r>
      <w:r>
        <w:t xml:space="preserve">contribute to molecular-crystal generation, and suggests such generators</w:t>
      </w:r>
      <w:r>
        <w:t xml:space="preserve"> </w:t>
      </w:r>
      <w:r>
        <w:t xml:space="preserve">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1"/>
    <w:bookmarkStart w:id="28" w:name="results"/>
    <w:p>
      <w:pPr>
        <w:pStyle w:val="Heading1"/>
      </w:pPr>
      <w:r>
        <w:t xml:space="preserve">Results</w:t>
      </w:r>
    </w:p>
    <w:bookmarkStart w:id="12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Architecture, manifold operations, and data</w:t>
      </w:r>
      <w:r>
        <w:t xml:space="preserve"> </w:t>
      </w:r>
      <w:r>
        <w:t xml:space="preserve">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End w:id="12"/>
    <w:bookmarkStart w:id="14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3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3"/>
    <w:bookmarkEnd w:id="14"/>
    <w:bookmarkStart w:id="15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5"/>
    <w:bookmarkStart w:id="17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6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6"/>
    <w:bookmarkEnd w:id="17"/>
    <w:bookmarkStart w:id="19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18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18"/>
    <w:bookmarkEnd w:id="19"/>
    <w:bookmarkStart w:id="25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0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0"/>
    <w:bookmarkStart w:id="24" w:name="fig:results"/>
    <w:p>
      <w:pPr>
        <w:pStyle w:val="CaptionedFigure"/>
      </w:pPr>
      <w:r>
        <w:drawing>
          <wp:inline>
            <wp:extent cx="5334000" cy="22278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2_result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4"/>
    <w:bookmarkEnd w:id="25"/>
    <w:bookmarkStart w:id="26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6"/>
    <w:bookmarkStart w:id="27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29"/>
    <w:bookmarkStart w:id="39" w:name="methods"/>
    <w:p>
      <w:pPr>
        <w:pStyle w:val="Heading1"/>
      </w:pPr>
      <w:r>
        <w:t xml:space="preserve">Methods</w:t>
      </w:r>
    </w:p>
    <w:bookmarkStart w:id="30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0"/>
    <w:bookmarkStart w:id="31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1"/>
    <w:bookmarkStart w:id="32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2"/>
    <w:bookmarkStart w:id="33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3"/>
    <w:bookmarkStart w:id="34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4"/>
    <w:bookmarkStart w:id="35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5"/>
    <w:bookmarkStart w:id="36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6"/>
    <w:bookmarkStart w:id="37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37"/>
    <w:bookmarkStart w:id="38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38"/>
    <w:bookmarkEnd w:id="39"/>
    <w:bookmarkStart w:id="4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CIF structures underlying this study are drawn from the Cambridge</w:t>
      </w:r>
      <w:r>
        <w:t xml:space="preserve"> </w:t>
      </w:r>
      <w:r>
        <w:t xml:space="preserve">Structural Database (CSD) and cannot be redistributed under the CSD licence.</w:t>
      </w:r>
      <w:r>
        <w:t xml:space="preserve"> </w:t>
      </w:r>
      <w:r>
        <w:t xml:space="preserve">The manifest of refcodes and filter protocol used to select the corpus</w:t>
      </w:r>
      <w:r>
        <w:t xml:space="preserve"> </w:t>
      </w:r>
      <w:r>
        <w:t xml:space="preserve">(3</w:t>
      </w:r>
      <w:r>
        <w:t xml:space="preserve">,</w:t>
      </w:r>
      <w:r>
        <w:t xml:space="preserve">501 candidate entries; formula,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R-factor, atom count, and space</w:t>
      </w:r>
      <w:r>
        <w:t xml:space="preserve"> </w:t>
      </w:r>
      <w:r>
        <w:t xml:space="preserve">group per entry) is openly available at</w:t>
      </w:r>
      <w:r>
        <w:t xml:space="preserve"> </w:t>
      </w:r>
      <w:hyperlink r:id="rId40">
        <w:r>
          <w:rPr>
            <w:rStyle w:val="Hyperlink"/>
          </w:rPr>
          <w:t xml:space="preserve">https://github.com/fronkt/symmc-flow/blob/master/data/csd_mol/manifest.csv</w:t>
        </w:r>
      </w:hyperlink>
      <w:r>
        <w:t xml:space="preserve"> </w:t>
      </w:r>
      <w:r>
        <w:t xml:space="preserve">and lets anyone with a licensed CSD installation regenerate the exact CIF</w:t>
      </w:r>
      <w:r>
        <w:t xml:space="preserve"> </w:t>
      </w:r>
      <w:r>
        <w:t xml:space="preserve">corpus via</w:t>
      </w:r>
      <w:r>
        <w:t xml:space="preserve"> </w:t>
      </w:r>
      <w:r>
        <w:rPr>
          <w:rStyle w:val="VerbatimChar"/>
        </w:rPr>
        <w:t xml:space="preserve">scripts/csd_export.py</w:t>
      </w:r>
      <w:r>
        <w:t xml:space="preserve">. The factorized dataset (lattice,</w:t>
      </w:r>
      <w:r>
        <w:t xml:space="preserve"> </w:t>
      </w:r>
      <w:r>
        <w:t xml:space="preserve">centroid, and orientation tensors derived from the CIFs) is itself derived</w:t>
      </w:r>
      <w:r>
        <w:t xml:space="preserve"> </w:t>
      </w:r>
      <w:r>
        <w:t xml:space="preserve">from the licensed structures and is therefore available from the author on</w:t>
      </w:r>
      <w:r>
        <w:t xml:space="preserve"> </w:t>
      </w:r>
      <w:r>
        <w:t xml:space="preserve">reasonable request, subject to the requester holding a CSD licence.</w:t>
      </w:r>
    </w:p>
    <w:bookmarkEnd w:id="41"/>
    <w:bookmarkStart w:id="44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2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hyperlink r:id="rId43">
        <w:r>
          <w:rPr>
            <w:rStyle w:val="Hyperlink"/>
          </w:rPr>
          <w:t xml:space="preserve">https://doi.org/10.5281/zenodo.20822235</w:t>
        </w:r>
      </w:hyperlink>
      <w:r>
        <w:t xml:space="preserve">.</w:t>
      </w:r>
    </w:p>
    <w:bookmarkEnd w:id="44"/>
    <w:bookmarkStart w:id="45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5"/>
    <w:bookmarkStart w:id="46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no conflicts of interest.</w:t>
      </w:r>
    </w:p>
    <w:bookmarkEnd w:id="46"/>
    <w:bookmarkStart w:id="4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7"/>
    <w:bookmarkStart w:id="48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frankyc11223@gmail.com</w:t>
      </w:r>
      <w:r>
        <w:t xml:space="preserve">;</w:t>
      </w:r>
      <w:r>
        <w:t xml:space="preserve"> </w:t>
      </w:r>
      <w:r>
        <w:t xml:space="preserve">ORCID</w:t>
      </w:r>
      <w:r>
        <w:t xml:space="preserve"> </w:t>
      </w:r>
      <w:hyperlink r:id="rId10">
        <w:r>
          <w:rPr>
            <w:rStyle w:val="Hyperlink"/>
          </w:rPr>
          <w:t xml:space="preserve">0009-0003-0041-1459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hyperlink" Id="rId43" Target="https://doi.org/10.5281/zenodo.20822235" TargetMode="External" /><Relationship Type="http://schemas.openxmlformats.org/officeDocument/2006/relationships/hyperlink" Id="rId42" Target="https://github.com/fronkt/symmc-flow" TargetMode="External" /><Relationship Type="http://schemas.openxmlformats.org/officeDocument/2006/relationships/hyperlink" Id="rId40" Target="https://github.com/fronkt/symmc-flow/blob/master/data/csd_mol/manifest.csv" TargetMode="External" /><Relationship Type="http://schemas.openxmlformats.org/officeDocument/2006/relationships/hyperlink" Id="rId10" Target="https://orcid.org/0009-0003-0041-145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5281/zenodo.20822235" TargetMode="External" /><Relationship Type="http://schemas.openxmlformats.org/officeDocument/2006/relationships/hyperlink" Id="rId42" Target="https://github.com/fronkt/symmc-flow" TargetMode="External" /><Relationship Type="http://schemas.openxmlformats.org/officeDocument/2006/relationships/hyperlink" Id="rId40" Target="https://github.com/fronkt/symmc-flow/blob/master/data/csd_mol/manifest.csv" TargetMode="External" /><Relationship Type="http://schemas.openxmlformats.org/officeDocument/2006/relationships/hyperlink" Id="rId10" Target="https://orcid.org/0009-0003-0041-145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2026-07-08T05:03:04Z</dcterms:created>
  <dcterms:modified xsi:type="dcterms:W3CDTF">2026-07-08T05:03:04Z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\mathrm{SO}(3). Whether the orientation field is actually learnable on real molecular crystals has not been examined. We introduce SymMC-Flow, a space-group-conditioned rigid-body flow on \text{lattice}\times\mathbb{T}^3\times\mathrm{SO}(3), used as a diagnostic study on 1{,}127 crystals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gauge-arbitrary free orientation, which is not learnable from composition and packing; the relative part is. Re-gauging to cancel the free part lifts held-out non-reference orientation loss by 27\% (versus \sim\!0\% for the absolute target) and reconstructs 13.7\% (mean over three seeds) of held-out multi-copy packings exactly under StructureMatcher,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network capacity. End-to-end joint generation does not yet reconstruct packings exactly, placing this as a characterization rather than a finished generator. The result maps what a rigid-body \mathrm{SO}(3) flow can and cannot contribute to molecular-crystal generation, and suggests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