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to</w:t>
      </w:r>
      <w:r>
        <w:t xml:space="preserve"> </w:t>
      </w:r>
      <w:r>
        <w:t xml:space="preserve">characterize the orientation field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, 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delineates exactly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0"/>
    <w:bookmarkStart w:id="31" w:name="results"/>
    <w:p>
      <w:pPr>
        <w:pStyle w:val="Heading1"/>
      </w:pPr>
      <w:r>
        <w:t xml:space="preserve">Results</w:t>
      </w:r>
    </w:p>
    <w:bookmarkStart w:id="15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Figure </w:t>
      </w:r>
      <w:hyperlink w:anchor="fig:schemat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</w:t>
      </w:r>
      <w:r>
        <w:t xml:space="preserve"> </w:t>
      </w:r>
      <w:r>
        <w:t xml:space="preserve">factorization and the orientation decomposition developed below. Architecture,</w:t>
      </w:r>
      <w:r>
        <w:t xml:space="preserve"> </w:t>
      </w:r>
      <w:r>
        <w:t xml:space="preserve">manifold operations, and data 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Start w:id="14" w:name="fig:schematic"/>
    <w:p>
      <w:pPr>
        <w:pStyle w:val="CaptionedFigure"/>
      </w:pPr>
      <w:r>
        <w:drawing>
          <wp:inline>
            <wp:extent cx="5334000" cy="238926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1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9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Rigid-body factorization and the orientation decomposition.</w:t>
      </w:r>
      <w:r>
        <w:t xml:space="preserve"> </w:t>
      </w:r>
      <w:r>
        <w:t xml:space="preserve">(a) A molecular crystal is represented by a 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per molecule,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with atoms reconstructed by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. (b) The per-molecule orientation target factors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 space-group-determined</w:t>
      </w:r>
      <w:r>
        <w:t xml:space="preserve"> </w:t>
      </w:r>
      <w:r>
        <w:t xml:space="preserve">relative rotation, which the flow learns, and the asymmetric unit’s free</w:t>
      </w:r>
      <w:r>
        <w:t xml:space="preserve"> </w:t>
      </w:r>
      <w:r>
        <w:t xml:space="preserve">orientation, which is gauge-arbitrary and not learnable from composition and</w:t>
      </w:r>
      <w:r>
        <w:t xml:space="preserve"> </w:t>
      </w:r>
      <w:r>
        <w:t xml:space="preserve">packing.</w:t>
      </w:r>
    </w:p>
    <w:bookmarkEnd w:id="14"/>
    <w:bookmarkEnd w:id="15"/>
    <w:bookmarkStart w:id="17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6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6"/>
    <w:bookmarkEnd w:id="17"/>
    <w:bookmarkStart w:id="18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8"/>
    <w:bookmarkStart w:id="20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genuinely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9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9"/>
    <w:bookmarkEnd w:id="20"/>
    <w:bookmarkStart w:id="22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21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1"/>
    <w:bookmarkEnd w:id="22"/>
    <w:bookmarkStart w:id="28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b); over three seeds the coset-conditioned non-reference</w:t>
      </w:r>
      <w:r>
        <w:t xml:space="preserve"> </w:t>
      </w:r>
      <w:r>
        <w:t xml:space="preserve">drop is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3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3"/>
    <w:bookmarkStart w:id="27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2_resul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7"/>
    <w:bookmarkEnd w:id="28"/>
    <w:bookmarkStart w:id="29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9"/>
    <w:bookmarkStart w:id="30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30"/>
    <w:bookmarkEnd w:id="31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underscores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genuinely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32"/>
    <w:bookmarkStart w:id="42" w:name="methods"/>
    <w:p>
      <w:pPr>
        <w:pStyle w:val="Heading1"/>
      </w:pPr>
      <w:r>
        <w:t xml:space="preserve">Methods</w:t>
      </w:r>
    </w:p>
    <w:bookmarkStart w:id="33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3"/>
    <w:bookmarkStart w:id="34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4"/>
    <w:bookmarkStart w:id="35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5"/>
    <w:bookmarkStart w:id="36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6"/>
    <w:bookmarkStart w:id="37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7"/>
    <w:bookmarkStart w:id="38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8"/>
    <w:bookmarkStart w:id="39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9"/>
    <w:bookmarkStart w:id="40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40"/>
    <w:bookmarkStart w:id="4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41"/>
    <w:bookmarkEnd w:id="42"/>
    <w:bookmarkStart w:id="4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3"/>
    <w:bookmarkStart w:id="45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4">
        <w:r>
          <w:rPr>
            <w:rStyle w:val="Hyperlink"/>
          </w:rPr>
          <w:t xml:space="preserve">https://github.com/fronkt/symmc-flow</w:t>
        </w:r>
      </w:hyperlink>
      <w:r>
        <w:t xml:space="preserve">.</w:t>
      </w:r>
    </w:p>
    <w:bookmarkEnd w:id="45"/>
    <w:bookmarkStart w:id="4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6"/>
    <w:bookmarkStart w:id="47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7"/>
    <w:bookmarkStart w:id="4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8"/>
    <w:bookmarkStart w:id="77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6" w:name="refs"/>
    <w:bookmarkStart w:id="49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49"/>
    <w:bookmarkStart w:id="50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50"/>
    <w:bookmarkStart w:id="51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51"/>
    <w:bookmarkStart w:id="52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2"/>
    <w:bookmarkStart w:id="53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3"/>
    <w:bookmarkStart w:id="54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4"/>
    <w:bookmarkStart w:id="55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5"/>
    <w:bookmarkStart w:id="57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6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7"/>
    <w:bookmarkStart w:id="59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58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59"/>
    <w:bookmarkStart w:id="60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60"/>
    <w:bookmarkStart w:id="61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61"/>
    <w:bookmarkStart w:id="62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2"/>
    <w:bookmarkStart w:id="63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3"/>
    <w:bookmarkStart w:id="65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4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5"/>
    <w:bookmarkStart w:id="66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6"/>
    <w:bookmarkStart w:id="68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68"/>
    <w:bookmarkStart w:id="69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9"/>
    <w:bookmarkStart w:id="70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70"/>
    <w:bookmarkStart w:id="71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71"/>
    <w:bookmarkStart w:id="72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2"/>
    <w:bookmarkStart w:id="74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3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4"/>
    <w:bookmarkStart w:id="75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2026-06-22T06:24:54Z</dcterms:created>
  <dcterms:modified xsi:type="dcterms:W3CDTF">2026-06-22T06:24:54Z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to characterize the orientation field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51\%,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delineates exactly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