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What an SO(3) orientation flow can and cannot learn in</w:t>
      </w:r>
      <w:r>
        <w:rPr>
          <w:b/>
          <w:bCs/>
        </w:rPr>
        <w:t xml:space="preserve"> </w:t>
      </w:r>
      <w:r>
        <w:rPr>
          <w:b/>
          <w:bCs/>
        </w:rPr>
        <w:t xml:space="preserve">molecular-crystal structure prediction</w:t>
      </w:r>
    </w:p>
    <w:p>
      <w:pPr>
        <w:pStyle w:val="Author"/>
      </w:pPr>
      <w:r>
        <w:t xml:space="preserve">Frank Cai</w:t>
      </w:r>
      <w:r>
        <w:rPr>
          <w:rStyle w:val="FootnoteReference"/>
        </w:rPr>
        <w:footnoteReference w:id="9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Rigid-body factorization is an appealing route to molecular-crystal structure</w:t>
      </w:r>
      <w:r>
        <w:t xml:space="preserve"> </w:t>
      </w:r>
      <w:r>
        <w:t xml:space="preserve">prediction: freezing each molecule’s conformer reduces a crystal to a lattice,</w:t>
      </w:r>
      <w:r>
        <w:t xml:space="preserve"> </w:t>
      </w:r>
      <w:r>
        <w:t xml:space="preserve">a set of fractional centroids on the torus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</m:oMath>
      <w:r>
        <w:t xml:space="preserve">, and a per-molecule</w:t>
      </w:r>
      <w:r>
        <w:t xml:space="preserve"> </w:t>
      </w:r>
      <w:r>
        <w:t xml:space="preserve">orientation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. Whether the orientation field is actually</w:t>
      </w:r>
      <w:r>
        <w:t xml:space="preserve"> </w:t>
      </w:r>
      <w:r>
        <w:t xml:space="preserve">learnable on real molecular crystals has not been examined. We introduce</w:t>
      </w:r>
      <w:r>
        <w:t xml:space="preserve"> </w:t>
      </w:r>
      <w:r>
        <w:t xml:space="preserve">SymMC-Flow, a space-group-conditioned rigid-body flow on</w:t>
      </w:r>
      <w:r>
        <w:t xml:space="preserve"> </w:t>
      </w:r>
      <m:oMath>
        <m:r>
          <m:rPr>
            <m:nor/>
            <m:sty m:val="p"/>
          </m:rPr>
          <m:t>lattice</m:t>
        </m:r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used as a diagnostic</w:t>
      </w:r>
      <w:r>
        <w:t xml:space="preserve"> </w:t>
      </w:r>
      <w:r>
        <w:t xml:space="preserve">study on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127</m:t>
        </m:r>
      </m:oMath>
      <w:r>
        <w:t xml:space="preserve"> </w:t>
      </w:r>
      <w:r>
        <w:t xml:space="preserve">crystals from the Cambridge Structural Database. The</w:t>
      </w:r>
      <w:r>
        <w:t xml:space="preserve"> </w:t>
      </w:r>
      <w:r>
        <w:t xml:space="preserve">lattice and centroid flows learn normally, but the absolute per-molecule</w:t>
      </w:r>
      <w:r>
        <w:t xml:space="preserve"> </w:t>
      </w:r>
      <w:r>
        <w:t xml:space="preserve">orientation flow remains at its predict-zero floor. We trace this to a</w:t>
      </w:r>
      <w:r>
        <w:t xml:space="preserve"> </w:t>
      </w:r>
      <w:r>
        <w:t xml:space="preserve">decomposition of the orientation target,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, into a space-group-determined</w:t>
      </w:r>
      <w:r>
        <w:t xml:space="preserve"> </w:t>
      </w:r>
      <w:r>
        <w:t xml:space="preserve">relative rotation between symmetry copies and the asymmetric unit’s</w:t>
      </w:r>
      <w:r>
        <w:t xml:space="preserve"> </w:t>
      </w:r>
      <w:r>
        <w:t xml:space="preserve">gauge-arbitrary free orientation, which is not learnable from composition and</w:t>
      </w:r>
      <w:r>
        <w:t xml:space="preserve"> </w:t>
      </w:r>
      <w:r>
        <w:t xml:space="preserve">packing; the relative part is. Re-gauging to cancel the free part lifts</w:t>
      </w:r>
      <w:r>
        <w:t xml:space="preserve"> </w:t>
      </w:r>
      <w:r>
        <w:t xml:space="preserve">held-out non-reference orientation loss by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(versus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absolute target) and reconstructs</w:t>
      </w:r>
      <w:r>
        <w:t xml:space="preserve"> </w:t>
      </w:r>
      <m:oMath>
        <m:r>
          <m:t>13.7</m:t>
        </m:r>
        <m:r>
          <m:rPr>
            <m:sty m:val="p"/>
          </m:rPr>
          <m:t>%</m:t>
        </m:r>
      </m:oMath>
      <w:r>
        <w:t xml:space="preserve"> </w:t>
      </w:r>
      <w:r>
        <w:t xml:space="preserve">(mean over three seeds) of</w:t>
      </w:r>
      <w:r>
        <w:t xml:space="preserve"> </w:t>
      </w:r>
      <w:r>
        <w:t xml:space="preserve">held-out multi-copy packings exactly under StructureMatcher,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predict-floor baseline. Conditioning on a discrete space-group coset</w:t>
      </w:r>
      <w:r>
        <w:t xml:space="preserve"> </w:t>
      </w:r>
      <w:r>
        <w:t xml:space="preserve">identity raises the learnable signal to roughly</w:t>
      </w:r>
      <w:r>
        <w:t xml:space="preserve"> </w:t>
      </w:r>
      <m:oMath>
        <m:r>
          <m:t>48</m:t>
        </m:r>
        <m:r>
          <m:rPr>
            <m:sty m:val="p"/>
          </m:rPr>
          <m:t>%</m:t>
        </m:r>
      </m:oMath>
      <w:r>
        <w:t xml:space="preserve"> </w:t>
      </w:r>
      <w:r>
        <w:t xml:space="preserve">(three-seed mean),</w:t>
      </w:r>
      <w:r>
        <w:t xml:space="preserve"> </w:t>
      </w:r>
      <w:r>
        <w:t xml:space="preserve">showing the residual ceiling is set by the difficulty of</w:t>
      </w:r>
      <w:r>
        <w:t xml:space="preserve"> </w:t>
      </w:r>
      <w:r>
        <w:rPr>
          <w:i/>
          <w:iCs/>
        </w:rPr>
        <w:t xml:space="preserve">inferring</w:t>
      </w:r>
      <w:r>
        <w:t xml:space="preserve"> </w:t>
      </w:r>
      <w:r>
        <w:t xml:space="preserve">the symmetry operation from packing rather than by network capacity.</w:t>
      </w:r>
      <w:r>
        <w:t xml:space="preserve"> </w:t>
      </w:r>
      <w:r>
        <w:t xml:space="preserve">End-to-end joint generation does not yet reconstruct packings exactly,</w:t>
      </w:r>
      <w:r>
        <w:t xml:space="preserve"> </w:t>
      </w:r>
      <w:r>
        <w:t xml:space="preserve">placing this as a characterization rather than a finished generator. The</w:t>
      </w:r>
      <w:r>
        <w:t xml:space="preserve"> </w:t>
      </w:r>
      <w:r>
        <w:t xml:space="preserve">result maps what a 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flow can and cannot</w:t>
      </w:r>
      <w:r>
        <w:t xml:space="preserve"> </w:t>
      </w:r>
      <w:r>
        <w:t xml:space="preserve">contribute to molecular-crystal generation, and suggests such generators</w:t>
      </w:r>
      <w:r>
        <w:t xml:space="preserve"> </w:t>
      </w:r>
      <w:r>
        <w:t xml:space="preserve">should condition on crystal symmetry for the relative orientation and</w:t>
      </w:r>
      <w:r>
        <w:t xml:space="preserve"> </w:t>
      </w:r>
      <w:r>
        <w:t xml:space="preserve">sample, rather than regress, the remaining free pose.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crystal structure prediction; flow matching;</w:t>
      </w:r>
      <w:r>
        <w:t xml:space="preserve"> </w:t>
      </w:r>
      <w:r>
        <w:t xml:space="preserve">molecular crystals; rigid-body factorization;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; space-group</w:t>
      </w:r>
      <w:r>
        <w:t xml:space="preserve"> </w:t>
      </w:r>
      <w:r>
        <w:t xml:space="preserve">symmetry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Crystal structure prediction (CSP) asks for the stable periodic arrangement of</w:t>
      </w:r>
      <w:r>
        <w:t xml:space="preserve"> </w:t>
      </w:r>
      <w:r>
        <w:t xml:space="preserve">a given chemical system, a problem whose combinatorial landscape has</w:t>
      </w:r>
      <w:r>
        <w:t xml:space="preserve"> </w:t>
      </w:r>
      <w:r>
        <w:t xml:space="preserve">historically demanded large ensembles of density-functional relaxations.</w:t>
      </w:r>
      <w:r>
        <w:t xml:space="preserve"> </w:t>
      </w:r>
      <w:r>
        <w:t xml:space="preserve">Generative models have emerged as a fast alternative that learns the</w:t>
      </w:r>
      <w:r>
        <w:t xml:space="preserve"> </w:t>
      </w:r>
      <w:r>
        <w:t xml:space="preserve">distribution of stable structures directly. The progression from the crystal</w:t>
      </w:r>
      <w:r>
        <w:t xml:space="preserve"> </w:t>
      </w:r>
      <w:r>
        <w:t xml:space="preserve">diffusion variational autoencoder</w:t>
      </w:r>
      <w:r>
        <w:t xml:space="preserve"> </w:t>
      </w:r>
      <w:r>
        <w:t xml:space="preserve">to joint equivariant</w:t>
      </w:r>
      <w:r>
        <w:t xml:space="preserve"> </w:t>
      </w:r>
      <w:r>
        <w:t xml:space="preserve">diffusion over lattices and fractional coordinates</w:t>
      </w:r>
      <w:r>
        <w:t xml:space="preserve"> </w:t>
      </w:r>
      <w:r>
        <w:t xml:space="preserve">and to</w:t>
      </w:r>
      <w:r>
        <w:t xml:space="preserve"> </w:t>
      </w:r>
      <w:r>
        <w:t xml:space="preserve">Riemannian flow matching for materials</w:t>
      </w:r>
      <w:r>
        <w:t xml:space="preserve"> </w:t>
      </w:r>
      <w:r>
        <w:t xml:space="preserve">has steadily</w:t>
      </w:r>
      <w:r>
        <w:t xml:space="preserve"> </w:t>
      </w:r>
      <w:r>
        <w:t xml:space="preserve">lowered both sample cost and error on inorganic benchmarks, where each atom is</w:t>
      </w:r>
      <w:r>
        <w:t xml:space="preserve"> </w:t>
      </w:r>
      <w:r>
        <w:t xml:space="preserve">an independent site.</w:t>
      </w:r>
    </w:p>
    <w:p>
      <w:pPr>
        <w:pStyle w:val="BodyText"/>
      </w:pPr>
      <w:r>
        <w:t xml:space="preserve">Sampling cost is a practical constraint for CSP, where a single composition may</w:t>
      </w:r>
      <w:r>
        <w:t xml:space="preserve"> </w:t>
      </w:r>
      <w:r>
        <w:t xml:space="preserve">require thousands of candidate packings before relaxation and ranking. Diffusion</w:t>
      </w:r>
      <w:r>
        <w:t xml:space="preserve"> </w:t>
      </w:r>
      <w:r>
        <w:t xml:space="preserve">samplers typically integrate hundreds to a thousand steps per structure, whereas</w:t>
      </w:r>
      <w:r>
        <w:t xml:space="preserve"> </w:t>
      </w:r>
      <w:r>
        <w:t xml:space="preserve">flow matching learns a straight conditional path that off-the-shelf ordinary</w:t>
      </w:r>
      <w:r>
        <w:t xml:space="preserve"> </w:t>
      </w:r>
      <w:r>
        <w:t xml:space="preserve">differential equation solvers traverse in tens of</w:t>
      </w:r>
      <w:r>
        <w:t xml:space="preserve"> </w:t>
      </w:r>
      <w:r>
        <w:t xml:space="preserve">steps</w:t>
      </w:r>
      <w:r>
        <w:t xml:space="preserve">. The same advantage drove</w:t>
      </w:r>
      <w:r>
        <w:t xml:space="preserve"> </w:t>
      </w:r>
      <w:r>
        <w:t xml:space="preserve">the move from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diffusion to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flow matching for</w:t>
      </w:r>
      <w:r>
        <w:t xml:space="preserve"> </w:t>
      </w:r>
      <w:r>
        <w:t xml:space="preserve">protein backbones, where roughly five-fold fewer steps were reported at equal or</w:t>
      </w:r>
      <w:r>
        <w:t xml:space="preserve"> </w:t>
      </w:r>
      <w:r>
        <w:t xml:space="preserve">better quality</w:t>
      </w:r>
      <w:r>
        <w:t xml:space="preserve">. A factorized,</w:t>
      </w:r>
      <w:r>
        <w:t xml:space="preserve"> </w:t>
      </w:r>
      <w:r>
        <w:t xml:space="preserve">flow-matched generator that retains this efficiency while respecting crystal</w:t>
      </w:r>
      <w:r>
        <w:t xml:space="preserve"> </w:t>
      </w:r>
      <w:r>
        <w:t xml:space="preserve">symmetry is therefore an attractive target, provided each of its degrees of</w:t>
      </w:r>
      <w:r>
        <w:t xml:space="preserve"> </w:t>
      </w:r>
      <w:r>
        <w:t xml:space="preserve">freedom is in fact learnable.</w:t>
      </w:r>
    </w:p>
    <w:p>
      <w:pPr>
        <w:pStyle w:val="BodyText"/>
      </w:pPr>
      <w:r>
        <w:t xml:space="preserve">Molecular crystals are harder. A molecular crystal couples flexible</w:t>
      </w:r>
      <w:r>
        <w:t xml:space="preserve"> </w:t>
      </w:r>
      <w:r>
        <w:t xml:space="preserve">intramolecular degrees of freedom to the rigid-body packing of whole molecules,</w:t>
      </w:r>
      <w:r>
        <w:t xml:space="preserve"> </w:t>
      </w:r>
      <w:r>
        <w:t xml:space="preserve">and the most common organic space groups place several symmetry-related copies</w:t>
      </w:r>
      <w:r>
        <w:t xml:space="preserve"> </w:t>
      </w:r>
      <w:r>
        <w:t xml:space="preserve">of a molecule in each cell, a regime where packing search has long been a</w:t>
      </w:r>
      <w:r>
        <w:t xml:space="preserve"> </w:t>
      </w:r>
      <w:r>
        <w:t xml:space="preserve">bottleneck in community blind tests</w:t>
      </w:r>
      <w:r>
        <w:t xml:space="preserve"> </w:t>
      </w:r>
      <w:r>
        <w:t xml:space="preserve">and a target for</w:t>
      </w:r>
      <w:r>
        <w:t xml:space="preserve"> </w:t>
      </w:r>
      <w:r>
        <w:t xml:space="preserve">data-efficient learned models</w:t>
      </w:r>
      <w:r>
        <w:t xml:space="preserve">. Two design choices</w:t>
      </w:r>
      <w:r>
        <w:t xml:space="preserve"> </w:t>
      </w:r>
      <w:r>
        <w:t xml:space="preserve">have emerged. All-atom</w:t>
      </w:r>
      <w:r>
        <w:t xml:space="preserve"> </w:t>
      </w:r>
      <w:r>
        <w:t xml:space="preserve">generators predict every atomic coordinate jointly: OXtal</w:t>
      </w:r>
      <w:r>
        <w:t xml:space="preserve"> </w:t>
      </w:r>
      <w:r>
        <w:t xml:space="preserve">learns the conditional distribution over conformation and packing with a</w:t>
      </w:r>
      <w:r>
        <w:t xml:space="preserve"> </w:t>
      </w:r>
      <w:r>
        <w:t xml:space="preserve">lattice-free diffusion model, and PackFlow</w:t>
      </w:r>
      <w:r>
        <w:t xml:space="preserve"> </w:t>
      </w:r>
      <w:r>
        <w:t xml:space="preserve">flows</w:t>
      </w:r>
      <w:r>
        <w:t xml:space="preserve"> </w:t>
      </w:r>
      <w:r>
        <w:t xml:space="preserve">heavy-atom Cartesian coordinates and lattice parameters with a reinforcement</w:t>
      </w:r>
      <w:r>
        <w:t xml:space="preserve"> </w:t>
      </w:r>
      <w:r>
        <w:t xml:space="preserve">learning alignment step. Rigid-body generators instead treat building blocks as</w:t>
      </w:r>
      <w:r>
        <w:t xml:space="preserve"> </w:t>
      </w:r>
      <w:r>
        <w:t xml:space="preserve">rigid and predict only their pose. MOFFlow</w:t>
      </w:r>
      <w:r>
        <w:t xml:space="preserve"> </w:t>
      </w:r>
      <w:r>
        <w:t xml:space="preserve">demonstrates</w:t>
      </w:r>
      <w:r>
        <w:t xml:space="preserve"> </w:t>
      </w:r>
      <w:r>
        <w:t xml:space="preserve">this for metal–organic frameworks, casting metal nodes and organic linkers as</w:t>
      </w:r>
      <w:r>
        <w:t xml:space="preserve"> </w:t>
      </w:r>
      <w:r>
        <w:t xml:space="preserve">rigid bodies and applying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flow matching to their</w:t>
      </w:r>
      <w:r>
        <w:t xml:space="preserve"> </w:t>
      </w:r>
      <w:r>
        <w:t xml:space="preserve">roto-translations, which mirrors generative modeling on the rotation</w:t>
      </w:r>
      <w:r>
        <w:t xml:space="preserve"> </w:t>
      </w:r>
      <w:r>
        <w:t xml:space="preserve">group</w:t>
      </w:r>
      <w:r>
        <w:t xml:space="preserve"> </w:t>
      </w:r>
      <w:r>
        <w:t xml:space="preserve">and the frame-based generation developed for protein</w:t>
      </w:r>
      <w:r>
        <w:t xml:space="preserve"> </w:t>
      </w:r>
      <w:r>
        <w:t xml:space="preserve">backbones</w:t>
      </w:r>
      <w:r>
        <w:t xml:space="preserve">.</w:t>
      </w:r>
    </w:p>
    <w:p>
      <w:pPr>
        <w:pStyle w:val="BodyText"/>
      </w:pPr>
      <w:r>
        <w:t xml:space="preserve">Rigid-body factorization is attractive for molecular crystals: it collapses</w:t>
      </w:r>
      <w:r>
        <w:t xml:space="preserve"> </w:t>
      </w:r>
      <w:r>
        <w:t xml:space="preserve">dozens of atomic coordinates per molecule to a single pose, exploits the</w:t>
      </w:r>
      <w:r>
        <w:t xml:space="preserve"> </w:t>
      </w:r>
      <w:r>
        <w:t xml:space="preserve">modularity of the cell, and supports the short sampling trajectories</w:t>
      </w:r>
      <w:r>
        <w:t xml:space="preserve"> </w:t>
      </w:r>
      <w:r>
        <w:t xml:space="preserve">characteristic of flow matching</w:t>
      </w:r>
      <w:r>
        <w:t xml:space="preserve">.</w:t>
      </w:r>
      <w:r>
        <w:t xml:space="preserve"> </w:t>
      </w:r>
      <w:r>
        <w:t xml:space="preserve">It also introduces a per-molecule orientation variable on the rotation group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. Whether that orientation field is learnable on real molecular</w:t>
      </w:r>
      <w:r>
        <w:t xml:space="preserve"> </w:t>
      </w:r>
      <w:r>
        <w:t xml:space="preserve">crystals is an open question. MOFFlow reports a working method but does not</w:t>
      </w:r>
      <w:r>
        <w:t xml:space="preserve"> </w:t>
      </w:r>
      <w:r>
        <w:t xml:space="preserve">analyze the orientation field in isolation, and the all-atom approaches sidestep</w:t>
      </w:r>
      <w:r>
        <w:t xml:space="preserve"> </w:t>
      </w:r>
      <w:r>
        <w:t xml:space="preserve">orientation altogether. No prior work asks what a 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orientation flow actually learns on molecular crystals, or where it fails.</w:t>
      </w:r>
    </w:p>
    <w:p>
      <w:pPr>
        <w:pStyle w:val="BodyText"/>
      </w:pPr>
      <w:r>
        <w:t xml:space="preserve">This question has a classical antecedent. Established molecular-CSP codes do not</w:t>
      </w:r>
      <w:r>
        <w:t xml:space="preserve"> </w:t>
      </w:r>
      <w:r>
        <w:t xml:space="preserve">search the orientation of every symmetry copy independently; they search only</w:t>
      </w:r>
      <w:r>
        <w:t xml:space="preserve"> </w:t>
      </w:r>
      <w:r>
        <w:t xml:space="preserve">the contents of the asymmetric unit and then</w:t>
      </w:r>
      <w:r>
        <w:t xml:space="preserve"> </w:t>
      </w:r>
      <w:r>
        <w:rPr>
          <w:i/>
          <w:iCs/>
        </w:rPr>
        <w:t xml:space="preserve">generate</w:t>
      </w:r>
      <w:r>
        <w:t xml:space="preserve"> </w:t>
      </w:r>
      <w:r>
        <w:t xml:space="preserve">the remaining</w:t>
      </w:r>
      <w:r>
        <w:t xml:space="preserve"> </w:t>
      </w:r>
      <w:r>
        <w:t xml:space="preserve">copies by applying the space-group operators, so the relative pose between</w:t>
      </w:r>
      <w:r>
        <w:t xml:space="preserve"> </w:t>
      </w:r>
      <w:r>
        <w:t xml:space="preserve">copies is fixed by symmetry and never a free</w:t>
      </w:r>
      <w:r>
        <w:t xml:space="preserve"> </w:t>
      </w:r>
      <w:r>
        <w:t xml:space="preserve">variable</w:t>
      </w:r>
      <w:r>
        <w:t xml:space="preserve">. The decomposition</w:t>
      </w:r>
      <w:r>
        <w:t xml:space="preserve"> </w:t>
      </w:r>
      <w:r>
        <w:t xml:space="preserve">we develop below is, in effect, a rediscovery of that division of labor for a</w:t>
      </w:r>
      <w:r>
        <w:t xml:space="preserve"> </w:t>
      </w:r>
      <w:r>
        <w:t xml:space="preserve">learned flow: the symmetry-relative rotation that classical search obtains for</w:t>
      </w:r>
      <w:r>
        <w:t xml:space="preserve"> </w:t>
      </w:r>
      <w:r>
        <w:t xml:space="preserve">free is what the flow can learn, and the asymmetric unit’s free pose, which</w:t>
      </w:r>
      <w:r>
        <w:t xml:space="preserve"> </w:t>
      </w:r>
      <w:r>
        <w:t xml:space="preserve">classical search does sample, is what the flow cannot regress. Framing the</w:t>
      </w:r>
      <w:r>
        <w:t xml:space="preserve"> </w:t>
      </w:r>
      <w:r>
        <w:t xml:space="preserve">result this way both credits the long-standing classical practice and clarifies</w:t>
      </w:r>
      <w:r>
        <w:t xml:space="preserve"> </w:t>
      </w:r>
      <w:r>
        <w:t xml:space="preserve">why a naive per-copy orientation flow is solving a problem that symmetry already</w:t>
      </w:r>
      <w:r>
        <w:t xml:space="preserve"> </w:t>
      </w:r>
      <w:r>
        <w:t xml:space="preserve">solves in part.</w:t>
      </w:r>
    </w:p>
    <w:p>
      <w:pPr>
        <w:pStyle w:val="BodyText"/>
      </w:pPr>
      <w:r>
        <w:t xml:space="preserve">This paper answers that question. We build SymMC-Flow, a</w:t>
      </w:r>
      <w:r>
        <w:t xml:space="preserve"> </w:t>
      </w:r>
      <w:r>
        <w:t xml:space="preserve">space-group-conditioned rigid-body flow on</w:t>
      </w:r>
      <w:r>
        <w:t xml:space="preserve"> </w:t>
      </w:r>
      <m:oMath>
        <m:r>
          <m:rPr>
            <m:nor/>
            <m:sty m:val="p"/>
          </m:rPr>
          <m:t>lattice</m:t>
        </m:r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 train it on a</w:t>
      </w:r>
      <w:r>
        <w:t xml:space="preserve"> </w:t>
      </w:r>
      <w:r>
        <w:t xml:space="preserve">corpus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127</m:t>
        </m:r>
      </m:oMath>
      <w:r>
        <w:t xml:space="preserve"> </w:t>
      </w:r>
      <w:r>
        <w:t xml:space="preserve">molecular crystals exported from the Cambridge Structural</w:t>
      </w:r>
      <w:r>
        <w:t xml:space="preserve"> </w:t>
      </w:r>
      <w:r>
        <w:t xml:space="preserve">Database (CSD)</w:t>
      </w:r>
      <w:r>
        <w:t xml:space="preserve">. The lattice and centroid flows learn; the</w:t>
      </w:r>
      <w:r>
        <w:t xml:space="preserve"> </w:t>
      </w:r>
      <w:r>
        <w:t xml:space="preserve">absolute per-molecule</w:t>
      </w:r>
      <w:r>
        <w:t xml:space="preserve"> </w:t>
      </w:r>
      <w:r>
        <w:t xml:space="preserve">orientation flow does not, sitting at the predict-zero floor across two corpus</w:t>
      </w:r>
      <w:r>
        <w:t xml:space="preserve"> </w:t>
      </w:r>
      <w:r>
        <w:t xml:space="preserve">sizes and after a gauge correction. We explain this with a decomposition of the</w:t>
      </w:r>
      <w:r>
        <w:t xml:space="preserve"> </w:t>
      </w:r>
      <w:r>
        <w:t xml:space="preserve">orientation target and a chain of controlled diagnostics, and we show that the</w:t>
      </w:r>
      <w:r>
        <w:t xml:space="preserve"> </w:t>
      </w:r>
      <w:r>
        <w:t xml:space="preserve">learnable component is real geometry, not a loss artifact.</w:t>
      </w:r>
    </w:p>
    <w:p>
      <w:pPr>
        <w:pStyle w:val="BodyText"/>
      </w:pPr>
      <w:r>
        <w:t xml:space="preserve">Our contributions are:</w:t>
      </w:r>
    </w:p>
    <w:p>
      <w:pPr>
        <w:numPr>
          <w:ilvl w:val="0"/>
          <w:numId w:val="1001"/>
        </w:numPr>
      </w:pPr>
      <w:r>
        <w:t xml:space="preserve">A 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flow for molecular crystals with a</w:t>
      </w:r>
      <w:r>
        <w:t xml:space="preserve"> </w:t>
      </w:r>
      <w:r>
        <w:t xml:space="preserve">molecule-intrinsic orientation gauge that removes the spurious cross-crystal</w:t>
      </w:r>
      <w:r>
        <w:t xml:space="preserve"> </w:t>
      </w:r>
      <w:r>
        <w:t xml:space="preserve">reference frame.</w:t>
      </w:r>
    </w:p>
    <w:p>
      <w:pPr>
        <w:numPr>
          <w:ilvl w:val="0"/>
          <w:numId w:val="1001"/>
        </w:numPr>
      </w:pPr>
      <w:r>
        <w:t xml:space="preserve">The decomposition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and a</w:t>
      </w:r>
      <w:r>
        <w:t xml:space="preserve"> </w:t>
      </w:r>
      <w:r>
        <w:t xml:space="preserve">falsification chain (predict-zero floor, gauge fix, scaling, clean-packing</w:t>
      </w:r>
      <w:r>
        <w:t xml:space="preserve"> </w:t>
      </w:r>
      <w:r>
        <w:t xml:space="preserve">control, relative re-gauge) that isolates the learnable symmetry-relative</w:t>
      </w:r>
      <w:r>
        <w:t xml:space="preserve"> </w:t>
      </w:r>
      <w:r>
        <w:t xml:space="preserve">orientation from the gauge-free asymmetric-unit pose.</w:t>
      </w:r>
    </w:p>
    <w:p>
      <w:pPr>
        <w:numPr>
          <w:ilvl w:val="0"/>
          <w:numId w:val="1001"/>
        </w:numPr>
      </w:pPr>
      <w:r>
        <w:t xml:space="preserve">An orientation-isolated StructureMatcher metric showing the learned</w:t>
      </w:r>
      <w:r>
        <w:t xml:space="preserve"> </w:t>
      </w:r>
      <w:r>
        <w:t xml:space="preserve">relative orientation reconstructs</w:t>
      </w:r>
      <w:r>
        <w:t xml:space="preserve"> </w:t>
      </w:r>
      <m:oMath>
        <m:r>
          <m:t>13.7</m:t>
        </m:r>
        <m:r>
          <m:rPr>
            <m:sty m:val="p"/>
          </m:rPr>
          <m:t>%</m:t>
        </m:r>
      </m:oMath>
      <w:r>
        <w:t xml:space="preserve"> </w:t>
      </w:r>
      <w:r>
        <w:t xml:space="preserve">(mean over three seeds) of held-out</w:t>
      </w:r>
      <w:r>
        <w:t xml:space="preserve"> </w:t>
      </w:r>
      <w:r>
        <w:t xml:space="preserve">multi-copy packings exactly,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floor.</w:t>
      </w:r>
    </w:p>
    <w:p>
      <w:pPr>
        <w:numPr>
          <w:ilvl w:val="0"/>
          <w:numId w:val="1001"/>
        </w:numPr>
      </w:pPr>
      <w:r>
        <w:t xml:space="preserve">Evidence from discrete coset-identity conditioning that the residual</w:t>
      </w:r>
      <w:r>
        <w:t xml:space="preserve"> </w:t>
      </w:r>
      <w:r>
        <w:t xml:space="preserve">ceiling is inference-limited, not representational.</w:t>
      </w:r>
    </w:p>
    <w:bookmarkEnd w:id="11"/>
    <w:bookmarkStart w:id="28" w:name="results"/>
    <w:p>
      <w:pPr>
        <w:pStyle w:val="Heading1"/>
      </w:pPr>
      <w:r>
        <w:t xml:space="preserve">Results</w:t>
      </w:r>
    </w:p>
    <w:bookmarkStart w:id="12" w:name="rigid-body-factorization-and-the-flow"/>
    <w:p>
      <w:pPr>
        <w:pStyle w:val="Heading2"/>
      </w:pPr>
      <w:r>
        <w:t xml:space="preserve">Rigid-body factorization and the flow</w:t>
      </w:r>
    </w:p>
    <w:p>
      <w:pPr>
        <w:pStyle w:val="FirstParagraph"/>
      </w:pPr>
      <w:r>
        <w:t xml:space="preserve">SymMC-Flow represents a molecular crystal as a lattice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and, for each molecule</w:t>
      </w:r>
      <w:r>
        <w:t xml:space="preserve"> </w:t>
      </w:r>
      <m:oMath>
        <m:r>
          <m:t>m</m:t>
        </m:r>
      </m:oMath>
      <w:r>
        <w:t xml:space="preserve">, a fractional centroid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an</w:t>
      </w:r>
      <w:r>
        <w:t xml:space="preserve"> </w:t>
      </w:r>
      <w:r>
        <w:t xml:space="preserve">orientation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acting on a shared, centered body-frame</w:t>
      </w:r>
      <w:r>
        <w:t xml:space="preserve"> </w:t>
      </w:r>
      <w:r>
        <w:t xml:space="preserve">conformer</w:t>
      </w:r>
      <w:r>
        <w:t xml:space="preserve"> </w:t>
      </w:r>
      <m:oMath>
        <m:sSub>
          <m:e>
            <m:r>
              <m:rPr>
                <m:nor/>
                <m:sty m:val="p"/>
              </m:rPr>
              <m:t>local</m:t>
            </m:r>
          </m:e>
          <m:sub>
            <m:r>
              <m:t>m</m:t>
            </m:r>
          </m:sub>
        </m:sSub>
      </m:oMath>
      <w:r>
        <w:t xml:space="preserve">. Atom positions follow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cart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L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local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every copy of a chemical species shares one conformer and differs only by its</w:t>
      </w:r>
      <w:r>
        <w:t xml:space="preserve"> </w:t>
      </w:r>
      <w:r>
        <w:t xml:space="preserve">pose. A conditional flow-matching objective</w:t>
      </w:r>
      <w:r>
        <w:t xml:space="preserve"> </w:t>
      </w:r>
      <w:r>
        <w:t xml:space="preserve">is</w:t>
      </w:r>
      <w:r>
        <w:t xml:space="preserve"> </w:t>
      </w:r>
      <w:r>
        <w:t xml:space="preserve">trained jointly on the three manifolds: a Euclidean path for a</w:t>
      </w:r>
      <w:r>
        <w:t xml:space="preserve"> </w:t>
      </w:r>
      <w:r>
        <w:t xml:space="preserve">volume-normalized lattice parametrization, a torus geodesic for centroids, and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geodesic for orientations, with the vector field conditioned</w:t>
      </w:r>
      <w:r>
        <w:t xml:space="preserve"> </w:t>
      </w:r>
      <w:r>
        <w:t xml:space="preserve">on the space group. An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-equivariant</w:t>
      </w:r>
      <w:r>
        <w:t xml:space="preserve"> </w:t>
      </w:r>
      <w:r>
        <w:t xml:space="preserve">encoder</w:t>
      </w:r>
      <w:r>
        <w:t xml:space="preserve"> </w:t>
      </w:r>
      <w:r>
        <w:t xml:space="preserve">embeds the conformer and pair-bias attention</w:t>
      </w:r>
      <w:r>
        <w:t xml:space="preserve"> </w:t>
      </w:r>
      <w:r>
        <w:t xml:space="preserve">mixes molecules within the cell. Architecture, manifold operations, and data</w:t>
      </w:r>
      <w:r>
        <w:t xml:space="preserve"> </w:t>
      </w:r>
      <w:r>
        <w:t xml:space="preserve">are detailed in Methods.</w:t>
      </w:r>
    </w:p>
    <w:p>
      <w:pPr>
        <w:pStyle w:val="BodyText"/>
      </w:pPr>
      <w:r>
        <w:t xml:space="preserve">Each manifold is given a parametrization that makes its conditional path</w:t>
      </w:r>
      <w:r>
        <w:t xml:space="preserve"> </w:t>
      </w:r>
      <w:r>
        <w:t xml:space="preserve">well-conditioned. The lattice is not flowed as a raw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matrix, which</w:t>
      </w:r>
      <w:r>
        <w:t xml:space="preserve"> </w:t>
      </w:r>
      <w:r>
        <w:t xml:space="preserve">mixes scale and shape and admits negative determinants, but in a ten-dimensional</w:t>
      </w:r>
      <w:r>
        <w:t xml:space="preserve"> </w:t>
      </w:r>
      <w:r>
        <w:t xml:space="preserve">space of a per-atom log-volume and a determinant-one shape, with the prior</w:t>
      </w:r>
      <w:r>
        <w:t xml:space="preserve"> </w:t>
      </w:r>
      <w:r>
        <w:t xml:space="preserve">volume matched to the corpus mean so that the generated cells start at a</w:t>
      </w:r>
      <w:r>
        <w:t xml:space="preserve"> </w:t>
      </w:r>
      <w:r>
        <w:t xml:space="preserve">physical density. Centroids live on the periodic torus and are flowed along its</w:t>
      </w:r>
      <w:r>
        <w:t xml:space="preserve"> </w:t>
      </w:r>
      <w:r>
        <w:t xml:space="preserve">geodesics with wrap-around, so the target velocity respects the minimum-image</w:t>
      </w:r>
      <w:r>
        <w:t xml:space="preserve"> </w:t>
      </w:r>
      <w:r>
        <w:t xml:space="preserve">convention. Orientations are flowed along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geodesics, with the</w:t>
      </w:r>
      <w:r>
        <w:t xml:space="preserve"> </w:t>
      </w:r>
      <w:r>
        <w:t xml:space="preserve">network predicting a body-frame angular velocity and the sampler advancing by the</w:t>
      </w:r>
      <w:r>
        <w:t xml:space="preserve"> </w:t>
      </w:r>
      <w:r>
        <w:t xml:space="preserve">exponential map, which keeps every intermediate state on the manifold. This</w:t>
      </w:r>
      <w:r>
        <w:t xml:space="preserve"> </w:t>
      </w:r>
      <w:r>
        <w:t xml:space="preserve">separation matters for the analysis: the three heads can be read independently,</w:t>
      </w:r>
      <w:r>
        <w:t xml:space="preserve"> </w:t>
      </w:r>
      <w:r>
        <w:t xml:space="preserve">so a failure localized to orientation is visible against a backdrop of lattice</w:t>
      </w:r>
      <w:r>
        <w:t xml:space="preserve"> </w:t>
      </w:r>
      <w:r>
        <w:t xml:space="preserve">and centroid that train normally.</w:t>
      </w:r>
    </w:p>
    <w:bookmarkEnd w:id="12"/>
    <w:bookmarkStart w:id="14" w:name="X9bea20bf657ff1a02fc0d5b6264462ed84ab9f1"/>
    <w:p>
      <w:pPr>
        <w:pStyle w:val="Heading2"/>
      </w:pPr>
      <w:r>
        <w:t xml:space="preserve">Lattice and centroid flows learn on real molecular crystals</w:t>
      </w:r>
    </w:p>
    <w:p>
      <w:pPr>
        <w:pStyle w:val="FirstParagraph"/>
      </w:pPr>
      <w:r>
        <w:t xml:space="preserve">The corpus is a seeded random sample of the CSD, scanning</w:t>
      </w:r>
      <w:r>
        <w:t xml:space="preserve"> </w:t>
      </w:r>
      <m:oMath>
        <m:r>
          <m:t>14</m:t>
        </m:r>
        <m:r>
          <m:rPr>
            <m:sty m:val="p"/>
          </m:rPr>
          <m:t>,</m:t>
        </m:r>
        <m:r>
          <m:t>874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retaining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127</m:t>
        </m:r>
      </m:oMath>
      <w:r>
        <w:t xml:space="preserve"> </w:t>
      </w:r>
      <w:r>
        <w:t xml:space="preserve">ordered organic molecular crystals that factorize into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048</m:t>
        </m:r>
      </m:oMath>
      <w:r>
        <w:t xml:space="preserve"> </w:t>
      </w:r>
      <w:r>
        <w:t xml:space="preserve">rigid blocks after the rigid-conformer and disorder gates (Methods).</w:t>
      </w:r>
      <w:r>
        <w:t xml:space="preserve"> </w:t>
      </w:r>
      <w:r>
        <w:t xml:space="preserve">We establish first that the pipeline learns the packing degrees of freedom.</w:t>
      </w:r>
      <w:r>
        <w:t xml:space="preserve"> </w:t>
      </w:r>
      <w:r>
        <w:t xml:space="preserve">Table </w:t>
      </w:r>
      <w:hyperlink w:anchor="tab:perhead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held-out per-head flow-matching loss before</w:t>
      </w:r>
      <w:r>
        <w:t xml:space="preserve"> </w:t>
      </w:r>
      <w:r>
        <w:t xml:space="preserve">and after training. The lattice loss falls by</w:t>
      </w:r>
      <w:r>
        <w:t xml:space="preserve"> </w:t>
      </w:r>
      <m:oMath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and the centroid loss by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, both converging within the first epoch. The absolute orientation loss</w:t>
      </w:r>
      <w:r>
        <w:t xml:space="preserve"> </w:t>
      </w:r>
      <w:r>
        <w:t xml:space="preserve">moves by only</w:t>
      </w:r>
      <w:r>
        <w:t xml:space="preserve"> </w:t>
      </w:r>
      <m:oMath>
        <m:r>
          <m:t>3.3</m:t>
        </m:r>
        <m:r>
          <m:rPr>
            <m:sty m:val="p"/>
          </m:rPr>
          <m:t>%</m:t>
        </m:r>
      </m:oMath>
      <w:r>
        <w:t xml:space="preserve"> </w:t>
      </w:r>
      <w:r>
        <w:t xml:space="preserve">and shows no downward trend over training. Lattice and</w:t>
      </w:r>
      <w:r>
        <w:t xml:space="preserve"> </w:t>
      </w:r>
      <w:r>
        <w:t xml:space="preserve">centroid behave as they do on inorganic benchmarks, where every block is a single</w:t>
      </w:r>
      <w:r>
        <w:t xml:space="preserve"> </w:t>
      </w:r>
      <w:r>
        <w:t xml:space="preserve">atom; orientation is the outlier, and it is the one degree of freedom that the</w:t>
      </w:r>
      <w:r>
        <w:t xml:space="preserve"> </w:t>
      </w:r>
      <w:r>
        <w:t xml:space="preserve">single-atom benchmarks never exercise.</w:t>
      </w:r>
    </w:p>
    <w:bookmarkStart w:id="13" w:name="tab:perhead"/>
    <w:p>
      <w:pPr>
        <w:pStyle w:val="TableCaption"/>
      </w:pPr>
      <w:r>
        <w:t xml:space="preserve">Held-out per-head flow-matching loss, untrained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trained,</w:t>
      </w:r>
      <w:r>
        <w:t xml:space="preserve"> </w:t>
      </w:r>
      <w:r>
        <w:t xml:space="preserve">on the multi-copy CSD corpus under noised conditioning and a common split.</w:t>
      </w:r>
      <w:r>
        <w:t xml:space="preserve"> </w:t>
      </w:r>
      <w:r>
        <w:t xml:space="preserve">Lattice and centroid losses are independent of the orientation target; the</w:t>
      </w:r>
      <w:r>
        <w:t xml:space="preserve"> </w:t>
      </w:r>
      <w:r>
        <w:t xml:space="preserve">orientation row is the absolute target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. Lattice and centroid learn; the</w:t>
      </w:r>
      <w:r>
        <w:t xml:space="preserve"> </w:t>
      </w:r>
      <w:r>
        <w:t xml:space="preserve">absolute orientation target stays at its predict-zero floor.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per-head flow-matching loss, untrained \rightarrow trained, on the multi-copy CSD corpus under noised conditioning and a common split. Lattice and centroid losses are independent of the orientation target; the orientation row is the absolute target R_m. Lattice and centroid learn; the absolute orientation target stays at its predict-zero floo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untrained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94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orientation (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13"/>
    <w:bookmarkEnd w:id="14"/>
    <w:bookmarkStart w:id="15" w:name="Xf2eac6c9a09d7d9171098ef97426ad3131dbaae"/>
    <w:p>
      <w:pPr>
        <w:pStyle w:val="Heading2"/>
      </w:pPr>
      <w:r>
        <w:t xml:space="preserve">The absolute orientation flow sits at a predict-zero floor</w:t>
      </w:r>
    </w:p>
    <w:p>
      <w:pPr>
        <w:pStyle w:val="FirstParagraph"/>
      </w:pPr>
      <w:r>
        <w:t xml:space="preserve">The orientation loss equals the expected squared tangent velocity</w:t>
      </w:r>
      <w:r>
        <w:t xml:space="preserve"> </w:t>
      </w:r>
      <m:oMath>
        <m:r>
          <m:rPr>
            <m:scr m:val="double-struck"/>
            <m:sty m:val="p"/>
          </m:rPr>
          <m:t>E</m:t>
        </m:r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5.24</m:t>
        </m:r>
      </m:oMath>
      <w:r>
        <w:t xml:space="preserve"> </w:t>
      </w:r>
      <w:r>
        <w:t xml:space="preserve">that a network outputting zero would</w:t>
      </w:r>
      <w:r>
        <w:t xml:space="preserve"> </w:t>
      </w:r>
      <w:r>
        <w:t xml:space="preserve">incur. A trained orientation head that never beats this value has learned</w:t>
      </w:r>
      <w:r>
        <w:t xml:space="preserve"> </w:t>
      </w:r>
      <w:r>
        <w:t xml:space="preserve">nothing. Three controls rule out the obvious explanations. First, the floor is</w:t>
      </w:r>
      <w:r>
        <w:t xml:space="preserve"> </w:t>
      </w:r>
      <w:r>
        <w:t xml:space="preserve">unchanged when the corpus is scaled from</w:t>
      </w:r>
      <w:r>
        <w:t xml:space="preserve"> </w:t>
      </w:r>
      <m:oMath>
        <m:r>
          <m:t>250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127</m:t>
        </m:r>
      </m:oMath>
      <w:r>
        <w:t xml:space="preserve"> </w:t>
      </w:r>
      <w:r>
        <w:t xml:space="preserve">crystals, so it is</w:t>
      </w:r>
      <w:r>
        <w:t xml:space="preserve"> </w:t>
      </w:r>
      <w:r>
        <w:t xml:space="preserve">not data sparsity. Second, a molecule-intrinsic orientation gauge (Methods),</w:t>
      </w:r>
      <w:r>
        <w:t xml:space="preserve"> </w:t>
      </w:r>
      <w:r>
        <w:t xml:space="preserve">which removes the arbitrary cross-crystal reference frame that would otherwise</w:t>
      </w:r>
      <w:r>
        <w:t xml:space="preserve"> </w:t>
      </w:r>
      <w:r>
        <w:t xml:space="preserve">make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rotation relative to some molecule in an unrelated structure, is</w:t>
      </w:r>
      <w:r>
        <w:t xml:space="preserve"> </w:t>
      </w:r>
      <w:r>
        <w:t xml:space="preserve">necessary for a well-posed target but does not lift the floor. Third, a</w:t>
      </w:r>
      <w:r>
        <w:t xml:space="preserve"> </w:t>
      </w:r>
      <w:r>
        <w:t xml:space="preserve">clean-packing control feeds the field the true (un-noised) lattice and</w:t>
      </w:r>
      <w:r>
        <w:t xml:space="preserve"> </w:t>
      </w:r>
      <w:r>
        <w:t xml:space="preserve">centroids while still noising the orientation and keeping the orientation</w:t>
      </w:r>
      <w:r>
        <w:t xml:space="preserve"> </w:t>
      </w:r>
      <w:r>
        <w:t xml:space="preserve">target, which is the best case for any two-stage scheme that generates packing</w:t>
      </w:r>
      <w:r>
        <w:t xml:space="preserve"> </w:t>
      </w:r>
      <w:r>
        <w:t xml:space="preserve">first and orientation second. Orientation still moves by only</w:t>
      </w:r>
      <w:r>
        <w:t xml:space="preserve"> </w:t>
      </w:r>
      <m:oMath>
        <m:r>
          <m:t>3.3</m:t>
        </m:r>
        <m:r>
          <m:rPr>
            <m:sty m:val="p"/>
          </m:rPr>
          <m:t>%</m:t>
        </m:r>
      </m:oMath>
      <w:r>
        <w:t xml:space="preserve"> </w:t>
      </w:r>
      <w:r>
        <w:t xml:space="preserve">(Table </w:t>
      </w:r>
      <w:hyperlink w:anchor="tab:twobytwo">
        <w:r>
          <w:rPr>
            <w:rStyle w:val="Hyperlink"/>
          </w:rPr>
          <w:t xml:space="preserve">2</w:t>
        </w:r>
      </w:hyperlink>
      <w:r>
        <w:t xml:space="preserve">, top row), so noised conditioning is not the cause and</w:t>
      </w:r>
      <w:r>
        <w:t xml:space="preserve"> </w:t>
      </w:r>
      <w:r>
        <w:t xml:space="preserve">a two-stage architecture cannot help. The obstruction is in the target itself.</w:t>
      </w:r>
    </w:p>
    <w:p>
      <w:pPr>
        <w:pStyle w:val="BodyText"/>
      </w:pPr>
      <w:r>
        <w:t xml:space="preserve">The gauge correction deserves emphasis because it is a prerequisite for the</w:t>
      </w:r>
      <w:r>
        <w:t xml:space="preserve"> </w:t>
      </w:r>
      <w:r>
        <w:t xml:space="preserve">target to be well-posed at all. Without it, a species’ body frame is set by</w:t>
      </w:r>
      <w:r>
        <w:t xml:space="preserve"> </w:t>
      </w:r>
      <w:r>
        <w:t xml:space="preserve">whichever copy is parsed first anywhere in the dataset, so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measures</w:t>
      </w:r>
      <w:r>
        <w:t xml:space="preserve"> </w:t>
      </w:r>
      <w:r>
        <w:t xml:space="preserve">rotation relative to a molecule in an unrelated crystal, a quantity that is</w:t>
      </w:r>
      <w:r>
        <w:t xml:space="preserve"> </w:t>
      </w:r>
      <w:r>
        <w:t xml:space="preserve">random across the corpus and would floor any orientation head by construction.</w:t>
      </w:r>
      <w:r>
        <w:t xml:space="preserve"> </w:t>
      </w:r>
      <w:r>
        <w:t xml:space="preserve">Fixing the frame to a molecule-intrinsic quantity (Methods) removes this</w:t>
      </w:r>
      <w:r>
        <w:t xml:space="preserve"> </w:t>
      </w:r>
      <w:r>
        <w:t xml:space="preserve">artificial randomness, and the harder, well-posed targets it produces require a</w:t>
      </w:r>
      <w:r>
        <w:t xml:space="preserve"> </w:t>
      </w:r>
      <w:r>
        <w:t xml:space="preserve">lower learning rate to avoid an early-training divergence in the shared trunk.</w:t>
      </w:r>
      <w:r>
        <w:t xml:space="preserve"> </w:t>
      </w:r>
      <w:r>
        <w:t xml:space="preserve">With both in place the orientation head is given every chance to learn, yet the</w:t>
      </w:r>
      <w:r>
        <w:t xml:space="preserve"> </w:t>
      </w:r>
      <w:r>
        <w:t xml:space="preserve">trained loss continues to oscillate within a narrow band around the</w:t>
      </w:r>
      <w:r>
        <w:t xml:space="preserve"> </w:t>
      </w:r>
      <w:r>
        <w:t xml:space="preserve">predict-zero value with no downward trend, while lattice and centroid converge</w:t>
      </w:r>
      <w:r>
        <w:t xml:space="preserve"> </w:t>
      </w:r>
      <w:r>
        <w:t xml:space="preserve">in the same run. The failure is specific and reproducible, not an optimization</w:t>
      </w:r>
      <w:r>
        <w:t xml:space="preserve"> </w:t>
      </w:r>
      <w:r>
        <w:t xml:space="preserve">accident.</w:t>
      </w:r>
    </w:p>
    <w:bookmarkEnd w:id="15"/>
    <w:bookmarkStart w:id="17" w:name="X9ceaeac927e6cf9f5b0f24e4caf21dc6fed5798"/>
    <w:p>
      <w:pPr>
        <w:pStyle w:val="Heading2"/>
      </w:pPr>
      <w:r>
        <w:t xml:space="preserve">The orientation target decomposes into a learnable and a free part</w:t>
      </w:r>
    </w:p>
    <w:p>
      <w:pPr>
        <w:pStyle w:val="FirstParagraph"/>
      </w:pPr>
      <w:r>
        <w:t xml:space="preserve">Consider a molecule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generated from an asymmetric-unit molecule by a</w:t>
      </w:r>
      <w:r>
        <w:t xml:space="preserve"> </w:t>
      </w:r>
      <w:r>
        <w:t xml:space="preserve">space-group operation with rotation part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. Its absolute pose</w:t>
      </w:r>
      <w:r>
        <w:t xml:space="preserve"> </w:t>
      </w:r>
      <w:r>
        <w:t xml:space="preserve">factors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asym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the orientation of the asymmetric unit in the cell.</w:t>
      </w:r>
      <w:r>
        <w:t xml:space="preserve"> </w:t>
      </w:r>
      <w:r>
        <w:t xml:space="preserve">The first factor is determined by the space group and is shared structure across</w:t>
      </w:r>
      <w:r>
        <w:t xml:space="preserve"> </w:t>
      </w:r>
      <w:r>
        <w:t xml:space="preserve">crystals; the second is a free, per-crystal choice that dominates the target.</w:t>
      </w:r>
      <w:r>
        <w:t xml:space="preserve"> </w:t>
      </w:r>
      <w:r>
        <w:t xml:space="preserve">Because the body-frame gauge is arbitrary,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carries no</w:t>
      </w:r>
      <w:r>
        <w:t xml:space="preserve"> </w:t>
      </w:r>
      <w:r>
        <w:t xml:space="preserve">consistent training signal tied to composition or packing, which produces the</w:t>
      </w:r>
      <w:r>
        <w:t xml:space="preserve"> </w:t>
      </w:r>
      <w:r>
        <w:t xml:space="preserve">floor. The empirical distribution bears this out: the absolute reference-copy</w:t>
      </w:r>
      <w:r>
        <w:t xml:space="preserve"> </w:t>
      </w:r>
      <w:r>
        <w:t xml:space="preserve">orientations track the Haar-uniform density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across the full</w:t>
      </w:r>
      <w:r>
        <w:t xml:space="preserve"> </w:t>
      </w:r>
      <w:r>
        <w:t xml:space="preserve">range of geodesic angles, with mean</w:t>
      </w:r>
      <w:r>
        <w:t xml:space="preserve"> </w:t>
      </w:r>
      <m:oMath>
        <m:sSup>
          <m:e>
            <m:r>
              <m:t>122.6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against the Haar expectation of</w:t>
      </w:r>
      <w:r>
        <w:t xml:space="preserve"> </w:t>
      </w:r>
      <m:oMath>
        <m:sSup>
          <m:e>
            <m:r>
              <m:t>126.5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(Supplementary Fig. S1). A Kolmogorov–Smirnov test detects only a</w:t>
      </w:r>
      <w:r>
        <w:t xml:space="preserve"> </w:t>
      </w:r>
      <w:r>
        <w:t xml:space="preserve">slight deviation from uniformity (</w:t>
      </w:r>
      <m:oMath>
        <m:r>
          <m:t>D</m:t>
        </m:r>
        <m:r>
          <m:rPr>
            <m:sty m:val="p"/>
          </m:rPr>
          <m:t>=</m:t>
        </m:r>
        <m:r>
          <m:t>0.04</m:t>
        </m:r>
      </m:oMath>
      <w:r>
        <w:t xml:space="preserve">), confined to a small near-identity</w:t>
      </w:r>
      <w:r>
        <w:t xml:space="preserve"> </w:t>
      </w:r>
      <w:r>
        <w:t xml:space="preserve">excess attributable to the gauge-defining copies rather than to a broad preferred</w:t>
      </w:r>
      <w:r>
        <w:t xml:space="preserve"> </w:t>
      </w:r>
      <w:r>
        <w:t xml:space="preserve">orientation. We therefore state the claim narrowly: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w:r>
        <w:t xml:space="preserve">predictable from the conditioning available here, not that orientation is</w:t>
      </w:r>
      <w:r>
        <w:t xml:space="preserve"> </w:t>
      </w:r>
      <w:r>
        <w:t xml:space="preserve">unlearnable in principle. The distinction matters. A uniform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does not by itself establish that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conditionally</w:t>
      </w:r>
      <w:r>
        <w:t xml:space="preserve"> </w:t>
      </w:r>
      <w:r>
        <w:t xml:space="preserve">independent of the packing; a weak dependence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  <m:r>
          <m:rPr>
            <m:sty m:val="p"/>
          </m:rPr>
          <m:t>∣</m:t>
        </m:r>
        <m:r>
          <m:rPr>
            <m:nor/>
            <m:sty m:val="p"/>
          </m:rPr>
          <m:t>packing</m:t>
        </m:r>
        <m:r>
          <m:rPr>
            <m:sty m:val="p"/>
          </m:rPr>
          <m:t>)</m:t>
        </m:r>
      </m:oMath>
      <w:r>
        <w:t xml:space="preserve"> </w:t>
      </w:r>
      <w:r>
        <w:t xml:space="preserve">can coexist with a Haar marginal. Our claim is the operational one that no</w:t>
      </w:r>
      <w:r>
        <w:t xml:space="preserve"> </w:t>
      </w:r>
      <w:r>
        <w:t xml:space="preserve">exploitable signal survives our composition-and-packing conditioning. We test</w:t>
      </w:r>
      <w:r>
        <w:t xml:space="preserve"> </w:t>
      </w:r>
      <w:r>
        <w:t xml:space="preserve">this directly rather than infer it from the marginal alone: a supervised probe</w:t>
      </w:r>
      <w:r>
        <w:t xml:space="preserve"> </w:t>
      </w:r>
      <w:r>
        <w:t xml:space="preserve">trained to predict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from the lattice, the centroid arrangement,</w:t>
      </w:r>
      <w:r>
        <w:t xml:space="preserve"> </w:t>
      </w:r>
      <w:r>
        <w:t xml:space="preserve">the conformer shape, and the space group does not improve on the best</w:t>
      </w:r>
      <w:r>
        <w:t xml:space="preserve"> </w:t>
      </w:r>
      <w:r>
        <w:t xml:space="preserve">feature-free constant and sits at the no-information level (Supplementary</w:t>
      </w:r>
      <w:r>
        <w:t xml:space="preserve"> </w:t>
      </w:r>
      <w:r>
        <w:t xml:space="preserve">Information), so a uniform marginal here reflects genuine conditional</w:t>
      </w:r>
      <w:r>
        <w:t xml:space="preserve"> </w:t>
      </w:r>
      <w:r>
        <w:t xml:space="preserve">unpredictability rather than masking a hidden dependence. We distinguish this</w:t>
      </w:r>
      <w:r>
        <w:t xml:space="preserve"> </w:t>
      </w:r>
      <w:r>
        <w:t xml:space="preserve">from an under-featurized model: a richer descriptor of the local environment,</w:t>
      </w:r>
      <w:r>
        <w:t xml:space="preserve"> </w:t>
      </w:r>
      <w:r>
        <w:t xml:space="preserve">such as explicit hydrogen-bond topology or dipole alignment, could in principle</w:t>
      </w:r>
      <w:r>
        <w:t xml:space="preserve"> </w:t>
      </w:r>
      <w:r>
        <w:t xml:space="preserve">expose residual signal that the present conditioning does not.</w:t>
      </w:r>
    </w:p>
    <w:p>
      <w:pPr>
        <w:pStyle w:val="BodyText"/>
      </w:pPr>
      <w:r>
        <w:t xml:space="preserve">To isolate the learnable factor we re-gauge each crystal so that the first copy</w:t>
      </w:r>
      <w:r>
        <w:t xml:space="preserve"> </w:t>
      </w:r>
      <w:r>
        <w:t xml:space="preserve">of every species is a reference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 the remaining copies carry only</w:t>
      </w:r>
      <w:r>
        <w:t xml:space="preserve"> </w:t>
      </w:r>
      <w:r>
        <w:t xml:space="preserve">the relative rotation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  <m:sSubSup>
          <m:e>
            <m:r>
              <m:t>R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which cancels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(Methods). The transformation leaves the reconstructed crystal unchanged. To</w:t>
      </w:r>
      <w:r>
        <w:t xml:space="preserve"> </w:t>
      </w:r>
      <w:r>
        <w:t xml:space="preserve">avoid crediting a trivial</w:t>
      </w:r>
      <w:r>
        <w:t xml:space="preserve"> </w:t>
      </w:r>
      <w:r>
        <w:t xml:space="preserve">“predict identity”</w:t>
      </w:r>
      <w:r>
        <w:t xml:space="preserve"> </w:t>
      </w:r>
      <w:r>
        <w:t xml:space="preserve">solution, we split the</w:t>
      </w:r>
      <w:r>
        <w:t xml:space="preserve"> </w:t>
      </w:r>
      <w:r>
        <w:t xml:space="preserve">orientation loss into reference copies (target</w:t>
      </w:r>
      <w:r>
        <w:t xml:space="preserve"> </w:t>
      </w:r>
      <m:oMath>
        <m:r>
          <m:t>I</m:t>
        </m:r>
      </m:oMath>
      <w:r>
        <w:t xml:space="preserve">) and non-reference copies</w:t>
      </w:r>
      <w:r>
        <w:t xml:space="preserve"> </w:t>
      </w:r>
      <w:r>
        <w:t xml:space="preserve">(the symmetry-determined targets), and report the latter.</w:t>
      </w:r>
      <w:r>
        <w:t xml:space="preserve"> </w:t>
      </w:r>
      <w:r>
        <w:t xml:space="preserve">Table </w:t>
      </w:r>
      <w:hyperlink w:anchor="tab:twobytw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the full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over target and conditioning.</w:t>
      </w:r>
      <w:r>
        <w:t xml:space="preserve"> </w:t>
      </w:r>
      <w:r>
        <w:t xml:space="preserve">The absolute target floors in both conditioning regimes. The relative target</w:t>
      </w:r>
      <w:r>
        <w:t xml:space="preserve"> </w:t>
      </w:r>
      <w:r>
        <w:t xml:space="preserve">descends by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on held-out non-reference copies and generalizes, with an</w:t>
      </w:r>
      <w:r>
        <w:t xml:space="preserve"> </w:t>
      </w:r>
      <w:r>
        <w:t xml:space="preserve">identical result under noised and clean conditioning. Across three random seeds</w:t>
      </w:r>
      <w:r>
        <w:t xml:space="preserve"> </w:t>
      </w:r>
      <w:r>
        <w:t xml:space="preserve">the non-reference drop is</w:t>
      </w:r>
      <w:r>
        <w:t xml:space="preserve"> </w:t>
      </w:r>
      <m:oMath>
        <m:r>
          <m:t>27.5</m:t>
        </m:r>
        <m:r>
          <m:rPr>
            <m:sty m:val="p"/>
          </m:rPr>
          <m:t>±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s.d.), so the effect is</w:t>
      </w:r>
      <w:r>
        <w:t xml:space="preserve"> </w:t>
      </w:r>
      <w:r>
        <w:t xml:space="preserve">stable. Because the conformer registry is shared across crystals, a random split</w:t>
      </w:r>
      <w:r>
        <w:t xml:space="preserve"> </w:t>
      </w:r>
      <w:r>
        <w:t xml:space="preserve">could in principle let a species seen in training reappear in validation; we</w:t>
      </w:r>
      <w:r>
        <w:t xml:space="preserve"> </w:t>
      </w:r>
      <w:r>
        <w:t xml:space="preserve">therefore repeated the three-seed measurement under a stricter species-grouped</w:t>
      </w:r>
      <w:r>
        <w:t xml:space="preserve"> </w:t>
      </w:r>
      <w:r>
        <w:t xml:space="preserve">split that assigns every crystal sharing a species to the same side of the</w:t>
      </w:r>
      <w:r>
        <w:t xml:space="preserve"> </w:t>
      </w:r>
      <w:r>
        <w:t xml:space="preserve">partition (Methods). The non-reference drop is then</w:t>
      </w:r>
      <w:r>
        <w:t xml:space="preserve"> </w:t>
      </w:r>
      <m:oMath>
        <m:r>
          <m:t>28.5</m:t>
        </m:r>
        <m:r>
          <m:rPr>
            <m:sty m:val="p"/>
          </m:rPr>
          <m:t>±</m:t>
        </m:r>
        <m:r>
          <m:t>2.9</m:t>
        </m:r>
        <m:r>
          <m:rPr>
            <m:sty m:val="p"/>
          </m:rPr>
          <m:t>%</m:t>
        </m:r>
      </m:oMath>
      <w:r>
        <w:t xml:space="preserve">, statistically</w:t>
      </w:r>
      <w:r>
        <w:t xml:space="preserve"> </w:t>
      </w:r>
      <w:r>
        <w:t xml:space="preserve">indistinguishable from the random-split value, so the learnable relative signal</w:t>
      </w:r>
      <w:r>
        <w:t xml:space="preserve"> </w:t>
      </w:r>
      <w:r>
        <w:t xml:space="preserve">is not an artifact of species leakage between training and validation</w:t>
      </w:r>
      <w:r>
        <w:t xml:space="preserve"> </w:t>
      </w:r>
      <w:r>
        <w:t xml:space="preserve">(Supplementary Information). The signal therefore rides on the space group, which is conditioned</w:t>
      </w:r>
      <w:r>
        <w:t xml:space="preserve"> </w:t>
      </w:r>
      <w:r>
        <w:t xml:space="preserve">directly, together with the</w:t>
      </w:r>
      <w:r>
        <w:t xml:space="preserve"> </w:t>
      </w:r>
      <w:r>
        <w:t xml:space="preserve">coarse centroid arrangement, and is robust to conditioning noise.</w:t>
      </w:r>
    </w:p>
    <w:p>
      <w:pPr>
        <w:pStyle w:val="BodyText"/>
      </w:pPr>
      <w:r>
        <w:t xml:space="preserve">The relative analysis runs on the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095</m:t>
        </m:r>
      </m:oMath>
      <w:r>
        <w:t xml:space="preserve"> </w:t>
      </w:r>
      <w:r>
        <w:t xml:space="preserve">crystals that contain at least two</w:t>
      </w:r>
      <w:r>
        <w:t xml:space="preserve"> </w:t>
      </w:r>
      <w:r>
        <w:t xml:space="preserve">copies of a species, the subset in which a non-trivial relative target exists;</w:t>
      </w:r>
      <w:r>
        <w:t xml:space="preserve"> </w:t>
      </w:r>
      <w:r>
        <w:t xml:space="preserve">their species multiplicities are dominated by two- and four-copy cells, with a</w:t>
      </w:r>
      <w:r>
        <w:t xml:space="preserve"> </w:t>
      </w:r>
      <w:r>
        <w:t xml:space="preserve">tail to sixteen. On this subset the overall orientation loss, counting both</w:t>
      </w:r>
      <w:r>
        <w:t xml:space="preserve"> </w:t>
      </w:r>
      <w:r>
        <w:t xml:space="preserve">copy classes, improves by</w:t>
      </w:r>
      <w:r>
        <w:t xml:space="preserve"> </w:t>
      </w:r>
      <m:oMath>
        <m:r>
          <m:t>34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36</m:t>
        </m:r>
        <m:r>
          <m:rPr>
            <m:sty m:val="p"/>
          </m:rPr>
          <m:t>%</m:t>
        </m:r>
      </m:oMath>
      <w:r>
        <w:t xml:space="preserve">, and the reference copies, whose target</w:t>
      </w:r>
      <w:r>
        <w:t xml:space="preserve"> </w:t>
      </w:r>
      <w:r>
        <w:t xml:space="preserve">is the identity, improve by</w:t>
      </w:r>
      <w:r>
        <w:t xml:space="preserve"> </w:t>
      </w:r>
      <m:oMath>
        <m:r>
          <m:t>61</m:t>
        </m:r>
        <m:r>
          <m:rPr>
            <m:sty m:val="p"/>
          </m:rPr>
          <m:t>%</m:t>
        </m:r>
      </m:oMath>
      <w:r>
        <w:t xml:space="preserve">. The non-reference figure of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conservative one, since it cannot be earned by collapsing to the identity, and it</w:t>
      </w:r>
      <w:r>
        <w:t xml:space="preserve"> </w:t>
      </w:r>
      <w:r>
        <w:t xml:space="preserve">is the number we carry forward. Read together, the floor of the absolute target</w:t>
      </w:r>
      <w:r>
        <w:t xml:space="preserve"> </w:t>
      </w:r>
      <w:r>
        <w:t xml:space="preserve">and the descent of the relative target confirm Eq. </w:t>
      </w:r>
      <w:hyperlink w:anchor="eq:decomp">
        <w:r>
          <w:rPr>
            <w:rStyle w:val="Hyperlink"/>
          </w:rPr>
          <w:t xml:space="preserve">[eq:decomp]</w:t>
        </w:r>
      </w:hyperlink>
      <w:r>
        <w:t xml:space="preserve"> </w:t>
      </w:r>
      <w:r>
        <w:t xml:space="preserve">quantitatively: the only learnable content in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part that survives</w:t>
      </w:r>
      <w:r>
        <w:t xml:space="preserve"> </w:t>
      </w:r>
      <w:r>
        <w:t xml:space="preserve">cancellation of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.</w:t>
      </w:r>
    </w:p>
    <w:bookmarkStart w:id="16" w:name="tab:twobytwo"/>
    <w:p>
      <w:pPr>
        <w:pStyle w:val="TableCaption"/>
      </w:pPr>
      <w:r>
        <w:t xml:space="preserve">Held-out non-reference orientation loss, untrained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trained, across orientation target and conditioning. The absolute pose floors;</w:t>
      </w:r>
      <w:r>
        <w:t xml:space="preserve"> </w:t>
      </w:r>
      <w:r>
        <w:t xml:space="preserve">the relative (symmetry-determined) orientation is learnable and robust to</w:t>
      </w:r>
      <w:r>
        <w:t xml:space="preserve"> </w:t>
      </w:r>
      <w:r>
        <w:t xml:space="preserve">conditioning noise.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non-reference orientation loss, untrained \rightarrow trained, across orientation target and conditioning. The absolute pose floors; the relative (symmetry-determined) orientation is learnable and robust to conditioning nois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noised conditioning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clean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5.18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5.35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5.18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27.1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26.7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</w:tbl>
    <w:bookmarkEnd w:id="16"/>
    <w:bookmarkEnd w:id="17"/>
    <w:bookmarkStart w:id="19" w:name="Xb92a642a6d8ccac0c0043ad69dc3a973d316634"/>
    <w:p>
      <w:pPr>
        <w:pStyle w:val="Heading2"/>
      </w:pPr>
      <w:r>
        <w:t xml:space="preserve">Relative orientation reconstructs real packings</w:t>
      </w:r>
    </w:p>
    <w:p>
      <w:pPr>
        <w:pStyle w:val="FirstParagraph"/>
      </w:pPr>
      <w:r>
        <w:t xml:space="preserve">A drop in flow-matching loss need not correspond to correct geometry. We</w:t>
      </w:r>
      <w:r>
        <w:t xml:space="preserve"> </w:t>
      </w:r>
      <w:r>
        <w:t xml:space="preserve">therefore evaluate the learned orientation by reconstruction. Holding the true</w:t>
      </w:r>
      <w:r>
        <w:t xml:space="preserve"> </w:t>
      </w:r>
      <w:r>
        <w:t xml:space="preserve">lattice, centroid, and conformer fixed, we sample only 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field</w:t>
      </w:r>
      <w:r>
        <w:t xml:space="preserve"> </w:t>
      </w:r>
      <w:r>
        <w:t xml:space="preserve">and rebuild each crystal, then test whether it matches the ground truth under</w:t>
      </w:r>
      <w:r>
        <w:t xml:space="preserve"> </w:t>
      </w:r>
      <w:r>
        <w:t xml:space="preserve">pymatgen’s StructureMatcher</w:t>
      </w:r>
      <w:r>
        <w:t xml:space="preserve">. The symmetry-induced relative</w:t>
      </w:r>
      <w:r>
        <w:t xml:space="preserve"> </w:t>
      </w:r>
      <w:r>
        <w:t xml:space="preserve">rotations are large, clustering near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because the dominant organic</w:t>
      </w:r>
      <w:r>
        <w:t xml:space="preserve"> </w:t>
      </w:r>
      <w:r>
        <w:t xml:space="preserve">space groups, such as</w:t>
      </w:r>
      <w:r>
        <w:t xml:space="preserve"> </w:t>
      </w:r>
      <m:oMath>
        <m:r>
          <m:t>P</m:t>
        </m:r>
        <m:sSub>
          <m:e>
            <m:r>
              <m:t>2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relate copies by two-fold</w:t>
      </w:r>
      <w:r>
        <w:t xml:space="preserve"> </w:t>
      </w:r>
      <w:r>
        <w:t xml:space="preserve">rotations and inversions</w:t>
      </w:r>
      <w:r>
        <w:t xml:space="preserve">, so a single deterministic</w:t>
      </w:r>
      <w:r>
        <w:t xml:space="preserve"> </w:t>
      </w:r>
      <w:r>
        <w:t xml:space="preserve">integration of the field collapses to the conditional mean and underperforms. We</w:t>
      </w:r>
      <w:r>
        <w:t xml:space="preserve"> </w:t>
      </w:r>
      <w:r>
        <w:t xml:space="preserve">therefore draw eight orientation samples per crystal and take the best, the</w:t>
      </w:r>
      <w:r>
        <w:t xml:space="preserve"> </w:t>
      </w:r>
      <w:r>
        <w:t xml:space="preserve">appropriate generative read for a multimodal target. Reporting a</w:t>
      </w:r>
      <w:r>
        <w:t xml:space="preserve"> </w:t>
      </w:r>
      <w:r>
        <w:t xml:space="preserve">controlled best-of-</w:t>
      </w:r>
      <m:oMath>
        <m:r>
          <m:t>k</m:t>
        </m:r>
      </m:oMath>
      <w:r>
        <w:t xml:space="preserve"> </w:t>
      </w:r>
      <w:r>
        <w:t xml:space="preserve">match alongside the geodesic orientation error, rather</w:t>
      </w:r>
      <w:r>
        <w:t xml:space="preserve"> </w:t>
      </w:r>
      <w:r>
        <w:t xml:space="preserve">than a single headline rate, follows recent cautions on match-rate</w:t>
      </w:r>
      <w:r>
        <w:t xml:space="preserve"> </w:t>
      </w:r>
      <w:r>
        <w:t xml:space="preserve">metrics</w:t>
      </w:r>
      <w:r>
        <w:t xml:space="preserve">.</w:t>
      </w:r>
    </w:p>
    <w:p>
      <w:pPr>
        <w:pStyle w:val="BodyText"/>
      </w:pPr>
      <w:r>
        <w:t xml:space="preserve">Table </w:t>
      </w:r>
      <w:hyperlink w:anchor="tab:matchrat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outcome on</w:t>
      </w:r>
      <w:r>
        <w:t xml:space="preserve"> </w:t>
      </w:r>
      <m:oMath>
        <m:r>
          <m:t>131</m:t>
        </m:r>
      </m:oMath>
      <w:r>
        <w:t xml:space="preserve"> </w:t>
      </w:r>
      <w:r>
        <w:t xml:space="preserve">held-out multi-copy</w:t>
      </w:r>
      <w:r>
        <w:t xml:space="preserve"> </w:t>
      </w:r>
      <w:r>
        <w:t xml:space="preserve">crystals, averaged over three seeds. The oracle, which uses the true orientation,</w:t>
      </w:r>
      <w:r>
        <w:t xml:space="preserve"> </w:t>
      </w:r>
      <w:r>
        <w:t xml:space="preserve">matches every structure, confirming the metric’s tolerances. The trained flow</w:t>
      </w:r>
      <w:r>
        <w:t xml:space="preserve"> </w:t>
      </w:r>
      <w:r>
        <w:t xml:space="preserve">reconstructs</w:t>
      </w:r>
      <w:r>
        <w:t xml:space="preserve"> </w:t>
      </w:r>
      <m:oMath>
        <m:r>
          <m:t>13.7</m:t>
        </m:r>
        <m:r>
          <m:rPr>
            <m:sty m:val="p"/>
          </m:rPr>
          <m:t>±</m:t>
        </m:r>
        <m:r>
          <m:t>2.0</m:t>
        </m:r>
        <m:r>
          <m:rPr>
            <m:sty m:val="p"/>
          </m:rPr>
          <m:t>%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s.d.;</w:t>
      </w:r>
      <w:r>
        <w:t xml:space="preserve"> </w:t>
      </w:r>
      <m:oMath>
        <m:r>
          <m:t>12.2</m:t>
        </m:r>
      </m:oMath>
      <w:r>
        <w:t xml:space="preserve">,</w:t>
      </w:r>
      <w:r>
        <w:t xml:space="preserve"> </w:t>
      </w:r>
      <m:oMath>
        <m:r>
          <m:t>13.0</m:t>
        </m:r>
      </m:oMath>
      <w:r>
        <w:t xml:space="preserve">,</w:t>
      </w:r>
      <w:r>
        <w:t xml:space="preserve"> </w:t>
      </w:r>
      <m:oMath>
        <m:r>
          <m:t>16.0</m:t>
        </m:r>
        <m:r>
          <m:rPr>
            <m:sty m:val="p"/>
          </m:rPr>
          <m:t>%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seeds) of held-out packings exactly,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a random (predict-floor)</w:t>
      </w:r>
      <w:r>
        <w:t xml:space="preserve"> </w:t>
      </w:r>
      <w:r>
        <w:t xml:space="preserve">field and</w:t>
      </w:r>
      <w:r>
        <w:t xml:space="preserve"> </w:t>
      </w:r>
      <m:oMath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naive choice of leaving every copy un-rotated. Its mean</w:t>
      </w:r>
      <w:r>
        <w:t xml:space="preserve"> </w:t>
      </w:r>
      <w:r>
        <w:t xml:space="preserve">non-reference orientation error is</w:t>
      </w:r>
      <w:r>
        <w:t xml:space="preserve"> </w:t>
      </w:r>
      <m:oMath>
        <m:sSup>
          <m:e>
            <m:r>
              <m:t>68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below the</w:t>
      </w:r>
      <w:r>
        <w:t xml:space="preserve"> </w:t>
      </w:r>
      <m:oMath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 a random</w:t>
      </w:r>
      <w:r>
        <w:t xml:space="preserve"> </w:t>
      </w:r>
      <w:r>
        <w:t xml:space="preserve">field (Fig. </w:t>
      </w:r>
      <w:hyperlink w:anchor="fig:results">
        <w:r>
          <w:rPr>
            <w:rStyle w:val="Hyperlink"/>
          </w:rPr>
          <w:t xml:space="preserve">1</w:t>
        </w:r>
      </w:hyperlink>
      <w:r>
        <w:t xml:space="preserve">a). The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loss reduction is real reconstructed</w:t>
      </w:r>
      <w:r>
        <w:t xml:space="preserve"> </w:t>
      </w:r>
      <w:r>
        <w:t xml:space="preserve">geometry. The reconstruction is not an artifact of the chosen tolerances:</w:t>
      </w:r>
      <w:r>
        <w:t xml:space="preserve"> </w:t>
      </w:r>
      <w:r>
        <w:t xml:space="preserve">sweeping the StructureMatcher length, site, and angle thresholds moves the rate</w:t>
      </w:r>
      <w:r>
        <w:t xml:space="preserve"> </w:t>
      </w:r>
      <w:r>
        <w:t xml:space="preserve">monotonically from</w:t>
      </w:r>
      <w:r>
        <w:t xml:space="preserve"> </w:t>
      </w:r>
      <m:oMath>
        <m:r>
          <m:t>5.3</m:t>
        </m:r>
        <m:r>
          <m:rPr>
            <m:sty m:val="p"/>
          </m:rPr>
          <m:t>%</m:t>
        </m:r>
      </m:oMath>
      <w:r>
        <w:t xml:space="preserve"> </w:t>
      </w:r>
      <w:r>
        <w:t xml:space="preserve">at the tightest setting to</w:t>
      </w:r>
      <w:r>
        <w:t xml:space="preserve"> </w:t>
      </w:r>
      <m:oMath>
        <m:r>
          <m:t>20.6</m:t>
        </m:r>
        <m:r>
          <m:rPr>
            <m:sty m:val="p"/>
          </m:rPr>
          <m:t>%</m:t>
        </m:r>
      </m:oMath>
      <w:r>
        <w:t xml:space="preserve"> </w:t>
      </w:r>
      <w:r>
        <w:t xml:space="preserve">at the loosest,</w:t>
      </w:r>
      <w:r>
        <w:t xml:space="preserve"> </w:t>
      </w:r>
      <w:r>
        <w:t xml:space="preserve">with the oracle matching every structure throughout, and a single deterministic</w:t>
      </w:r>
      <w:r>
        <w:t xml:space="preserve"> </w:t>
      </w:r>
      <w:r>
        <w:t xml:space="preserve">draw (match@1) still reconstructs a nonzero fraction against the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floor</w:t>
      </w:r>
      <w:r>
        <w:t xml:space="preserve"> </w:t>
      </w:r>
      <w:r>
        <w:t xml:space="preserve">(Supplementary Information). Under the species-grouped split above, an</w:t>
      </w:r>
      <w:r>
        <w:t xml:space="preserve"> </w:t>
      </w:r>
      <w:r>
        <w:t xml:space="preserve">orientation-isolated read reconstructs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grouped held-out crystals,</w:t>
      </w:r>
      <w:r>
        <w:t xml:space="preserve"> </w:t>
      </w:r>
      <w:r>
        <w:t xml:space="preserve">confirming the reconstruction survives the leakage control.</w:t>
      </w:r>
    </w:p>
    <w:bookmarkStart w:id="18" w:name="tab:matchrate"/>
    <w:p>
      <w:pPr>
        <w:pStyle w:val="TableCaption"/>
      </w:pPr>
      <w:r>
        <w:t xml:space="preserve">Orientation-isolated reconstruction on</w:t>
      </w:r>
      <w:r>
        <w:t xml:space="preserve"> </w:t>
      </w:r>
      <m:oMath>
        <m:r>
          <m:t>131</m:t>
        </m:r>
      </m:oMath>
      <w:r>
        <w:t xml:space="preserve"> </w:t>
      </w:r>
      <w:r>
        <w:t xml:space="preserve">held-out multi-copy</w:t>
      </w:r>
      <w:r>
        <w:t xml:space="preserve"> </w:t>
      </w:r>
      <w:r>
        <w:t xml:space="preserve">crystals (true lattice, centroid, and conformer; only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sampled;</w:t>
      </w:r>
      <w:r>
        <w:t xml:space="preserve"> </w:t>
      </w:r>
      <w:r>
        <w:t xml:space="preserve">best of eight draws; mean over three seeds). The learned field reconstructs</w:t>
      </w:r>
      <w:r>
        <w:t xml:space="preserve"> </w:t>
      </w:r>
      <w:r>
        <w:t xml:space="preserve">packings the floor and naive baselines cannot.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ientation-isolated reconstruction on 131 held-out multi-copy crystals (true lattice, centroid, and conformer; only \mathrm{SO}(3) sampled; best of eight draws; mean over three seeds). The learned field reconstructs packings the floor and naive baselines canno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non-ref. orient. 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(true orientation)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(naive,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163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untrained (predict-floor)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89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13.7</m:t>
              </m:r>
              <m:r>
                <m:rPr>
                  <m:sty m:val="p"/>
                </m:rPr>
                <m:t>±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68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bookmarkEnd w:id="18"/>
    <w:bookmarkEnd w:id="19"/>
    <w:bookmarkStart w:id="25" w:name="X788f61e46781ba45615d6115726b84b54364e2f"/>
    <w:p>
      <w:pPr>
        <w:pStyle w:val="Heading2"/>
      </w:pPr>
      <w:r>
        <w:t xml:space="preserve">The ceiling is inference-limited, not representational</w:t>
      </w:r>
    </w:p>
    <w:p>
      <w:pPr>
        <w:pStyle w:val="FirstParagraph"/>
      </w:pPr>
      <w:r>
        <w:t xml:space="preserve">Two experiments locate the remaining gap. Increasing model capacity and</w:t>
      </w:r>
      <w:r>
        <w:t xml:space="preserve"> </w:t>
      </w:r>
      <w:r>
        <w:t xml:space="preserve">training, a wider network with more attention and encoder layers trained for more</w:t>
      </w:r>
      <w:r>
        <w:t xml:space="preserve"> </w:t>
      </w:r>
      <w:r>
        <w:t xml:space="preserve">than six times as many steps, raises the non-reference signal from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. This is real headroom, but it stops short of the</w:t>
      </w:r>
      <w:r>
        <w:t xml:space="preserve"> </w:t>
      </w:r>
      <m:oMath>
        <m:r>
          <m:t>50.6</m:t>
        </m:r>
        <m:r>
          <m:rPr>
            <m:sty m:val="p"/>
          </m:rPr>
          <m:t>%</m:t>
        </m:r>
      </m:oMath>
      <w:r>
        <w:t xml:space="preserve"> </w:t>
      </w:r>
      <w:r>
        <w:t xml:space="preserve">reached by simply</w:t>
      </w:r>
      <w:r>
        <w:t xml:space="preserve"> </w:t>
      </w:r>
      <w:r>
        <w:t xml:space="preserve">telling the base model which symmetry coset each copy belongs to (below), an</w:t>
      </w:r>
      <w:r>
        <w:t xml:space="preserve"> </w:t>
      </w:r>
      <w:r>
        <w:t xml:space="preserve">oracle conditioning obtained without any extra capacity. Scaling the network</w:t>
      </w:r>
      <w:r>
        <w:t xml:space="preserve"> </w:t>
      </w:r>
      <w:r>
        <w:t xml:space="preserve">therefore narrows but does not close the gap, and is matched by a much smaller</w:t>
      </w:r>
      <w:r>
        <w:t xml:space="preserve"> </w:t>
      </w:r>
      <w:r>
        <w:t xml:space="preserve">model handed the discrete symmetry label; the relative target is not merely</w:t>
      </w:r>
      <w:r>
        <w:t xml:space="preserve"> </w:t>
      </w:r>
      <w:r>
        <w:t xml:space="preserve">under-fit.</w:t>
      </w:r>
    </w:p>
    <w:p>
      <w:pPr>
        <w:pStyle w:val="BodyText"/>
      </w:pPr>
      <w:r>
        <w:t xml:space="preserve">The decisive test conditions the field on a discrete space-group coset identity.</w:t>
      </w:r>
      <w:r>
        <w:t xml:space="preserve"> </w:t>
      </w:r>
      <w:r>
        <w:t xml:space="preserve">For a copy generated by a crystallographic operation, the relative rotation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equals that operation’s rotation part, so within a space group the</w:t>
      </w:r>
      <w:r>
        <w:t xml:space="preserve"> </w:t>
      </w:r>
      <w:r>
        <w:t xml:space="preserve">non-reference relative rotations fall into a small discrete set of cosets.</w:t>
      </w:r>
      <w:r>
        <w:t xml:space="preserve"> </w:t>
      </w:r>
      <w:r>
        <w:t xml:space="preserve">Clustering the observed relative rotations by geodesic distance within each space</w:t>
      </w:r>
      <w:r>
        <w:t xml:space="preserve"> </w:t>
      </w:r>
      <w:r>
        <w:t xml:space="preserve">group yields a codebook of</w:t>
      </w:r>
      <w:r>
        <w:t xml:space="preserve"> </w:t>
      </w:r>
      <m:oMath>
        <m:r>
          <m:t>707</m:t>
        </m:r>
      </m:oMath>
      <w:r>
        <w:t xml:space="preserve"> </w:t>
      </w:r>
      <w:r>
        <w:t xml:space="preserve">cosets across the corpus, and we condition each</w:t>
      </w:r>
      <w:r>
        <w:t xml:space="preserve"> </w:t>
      </w:r>
      <w:r>
        <w:t xml:space="preserve">molecule on its coset index, a discrete label of the kind used in</w:t>
      </w:r>
      <w:r>
        <w:t xml:space="preserve"> </w:t>
      </w:r>
      <w:r>
        <w:t xml:space="preserve">symmetry-conditioned crystal</w:t>
      </w:r>
      <w:r>
        <w:t xml:space="preserve"> </w:t>
      </w:r>
      <w:r>
        <w:t xml:space="preserve">generation</w:t>
      </w:r>
      <w:r>
        <w:t xml:space="preserve">, rather than the</w:t>
      </w:r>
      <w:r>
        <w:t xml:space="preserve"> </w:t>
      </w:r>
      <w:r>
        <w:t xml:space="preserve">continuous rotation itself. Table </w:t>
      </w:r>
      <w:hyperlink w:anchor="tab:strengthe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that coset</w:t>
      </w:r>
      <w:r>
        <w:t xml:space="preserve"> </w:t>
      </w:r>
      <w:r>
        <w:t xml:space="preserve">conditioning raises the non-reference signal to</w:t>
      </w:r>
      <w:r>
        <w:t xml:space="preserve"> </w:t>
      </w:r>
      <m:oMath>
        <m:r>
          <m:t>47.9</m:t>
        </m:r>
        <m:r>
          <m:rPr>
            <m:sty m:val="p"/>
          </m:rPr>
          <m:t>±</m:t>
        </m:r>
        <m:r>
          <m:t>3.2</m:t>
        </m:r>
        <m:r>
          <m:rPr>
            <m:sty m:val="p"/>
          </m:rPr>
          <m:t>%</m:t>
        </m:r>
      </m:oMath>
      <w:r>
        <w:t xml:space="preserve"> </w:t>
      </w:r>
      <w:r>
        <w:t xml:space="preserve">over three seeds</w:t>
      </w:r>
      <w:r>
        <w:t xml:space="preserve"> </w:t>
      </w:r>
      <w:r>
        <w:t xml:space="preserve">(</w:t>
      </w:r>
      <m:oMath>
        <m:r>
          <m:t>50.6</m:t>
        </m:r>
        <m:r>
          <m:rPr>
            <m:sty m:val="p"/>
          </m:rPr>
          <m:t>%</m:t>
        </m:r>
      </m:oMath>
      <w:r>
        <w:t xml:space="preserve"> </w:t>
      </w:r>
      <w:r>
        <w:t xml:space="preserve">on the single run shown in the table), with reference copies</w:t>
      </w:r>
      <w:r>
        <w:t xml:space="preserve"> </w:t>
      </w:r>
      <w:r>
        <w:t xml:space="preserve">reaching</w:t>
      </w:r>
      <w:r>
        <w:t xml:space="preserve"> </w:t>
      </w:r>
      <m:oMath>
        <m:r>
          <m:t>89</m:t>
        </m:r>
        <m:r>
          <m:rPr>
            <m:sty m:val="p"/>
          </m:rPr>
          <m:t>%</m:t>
        </m:r>
      </m:oMath>
      <w:r>
        <w:t xml:space="preserve">, nearly doubling the learnable component relative to a paired</w:t>
      </w:r>
      <w:r>
        <w:t xml:space="preserve"> </w:t>
      </w:r>
      <w:r>
        <w:t xml:space="preserve">control that reproduces the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baseline on the identical corpus and split</w:t>
      </w:r>
      <w:r>
        <w:t xml:space="preserve"> </w:t>
      </w:r>
      <w:r>
        <w:t xml:space="preserve">(Fig. </w:t>
      </w:r>
      <w:hyperlink w:anchor="fig:results">
        <w:r>
          <w:rPr>
            <w:rStyle w:val="Hyperlink"/>
          </w:rPr>
          <w:t xml:space="preserve">1</w:t>
        </w:r>
      </w:hyperlink>
      <w:r>
        <w:t xml:space="preserve">b). Most of the ceiling is therefore the difficulty of</w:t>
      </w:r>
      <w:r>
        <w:t xml:space="preserve"> </w:t>
      </w:r>
      <w:r>
        <w:t xml:space="preserve">inferring which symmetry</w:t>
      </w:r>
      <w:r>
        <w:t xml:space="preserve"> </w:t>
      </w:r>
      <w:r>
        <w:t xml:space="preserve">operation generated each copy from the noised packing, not an inability of 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head to represent the rotation. The residual that remains even</w:t>
      </w:r>
      <w:r>
        <w:t xml:space="preserve"> </w:t>
      </w:r>
      <w:r>
        <w:t xml:space="preserve">with the coset supplied is attributable to the free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and to the</w:t>
      </w:r>
      <w:r>
        <w:t xml:space="preserve"> </w:t>
      </w:r>
      <w:r>
        <w:t xml:space="preserve">axial gauge freedom of symmetric-top molecules, whose orientation about a</w:t>
      </w:r>
      <w:r>
        <w:t xml:space="preserve"> </w:t>
      </w:r>
      <w:r>
        <w:t xml:space="preserve">symmetry axis is genuinely unobservable.</w:t>
      </w:r>
    </w:p>
    <w:p>
      <w:pPr>
        <w:pStyle w:val="BodyText"/>
      </w:pPr>
      <w:r>
        <w:t xml:space="preserve">This experiment is a representability diagnostic, not a deployable conditioning.</w:t>
      </w:r>
      <w:r>
        <w:t xml:space="preserve"> </w:t>
      </w:r>
      <w:r>
        <w:t xml:space="preserve">Because the codebook is built by clustering the observed relative rotations, the</w:t>
      </w:r>
      <w:r>
        <w:t xml:space="preserve"> </w:t>
      </w:r>
      <w:r>
        <w:t xml:space="preserve">coset index is derived in part from the target it helps predict, so the</w:t>
      </w:r>
      <w:r>
        <w:t xml:space="preserve"> </w:t>
      </w:r>
      <m:oMath>
        <m:r>
          <m:t>50.6</m:t>
        </m:r>
        <m:r>
          <m:rPr>
            <m:sty m:val="p"/>
          </m:rPr>
          <m:t>%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an upper bound on what the discrete symmetry identity can contribute, isolating</w:t>
      </w:r>
      <w:r>
        <w:t xml:space="preserve"> </w:t>
      </w:r>
      <w:r>
        <w:t xml:space="preserve">representability from inference. The same label is in principle available at</w:t>
      </w:r>
      <w:r>
        <w:t xml:space="preserve"> </w:t>
      </w:r>
      <w:r>
        <w:t xml:space="preserve">sampling time without the answer, since the coset is a deterministic function of</w:t>
      </w:r>
      <w:r>
        <w:t xml:space="preserve"> </w:t>
      </w:r>
      <w:r>
        <w:t xml:space="preserve">the space group, the Wyckoff assignment, and the copy ordering, which</w:t>
      </w:r>
      <w:r>
        <w:t xml:space="preserve"> </w:t>
      </w:r>
      <w:r>
        <w:t xml:space="preserve">template-based generators already provide</w:t>
      </w:r>
      <w:r>
        <w:t xml:space="preserve">;</w:t>
      </w:r>
      <w:r>
        <w:t xml:space="preserve"> </w:t>
      </w:r>
      <w:r>
        <w:t xml:space="preserve">realizing that gain in a sampler is left to future work.</w:t>
      </w:r>
    </w:p>
    <w:bookmarkStart w:id="20" w:name="tab:strengthen"/>
    <w:p>
      <w:pPr>
        <w:pStyle w:val="TableCaption"/>
      </w:pPr>
      <w:r>
        <w:t xml:space="preserve">Held-out non-reference orientation loss under model and conditioning</w:t>
      </w:r>
      <w:r>
        <w:t xml:space="preserve"> </w:t>
      </w:r>
      <w:r>
        <w:t xml:space="preserve">changes. Coset conditioning nearly doubles the learnable signal; the paired</w:t>
      </w:r>
      <w:r>
        <w:t xml:space="preserve"> </w:t>
      </w:r>
      <w:r>
        <w:t xml:space="preserve">control isolates the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ld-out non-reference orientation loss under model and conditioning changes. Coset conditioning nearly doubles the learnable signal; the paired control isolates the effec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non-ref. 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(relative target)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27.1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capacity and training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5.42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2.98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45.0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coset conditioning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5.36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2.65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50.6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coset control (no coset)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27.1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0"/>
    <w:bookmarkStart w:id="24" w:name="fig:results"/>
    <w:p>
      <w:pPr>
        <w:pStyle w:val="CaptionedFigure"/>
      </w:pPr>
      <w:r>
        <w:drawing>
          <wp:inline>
            <wp:extent cx="5334000" cy="22278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fig2_results.pdf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orientation results. (a) Orientation-isolated StructureMatcher</w:t>
      </w:r>
      <w:r>
        <w:t xml:space="preserve"> </w:t>
      </w:r>
      <w:r>
        <w:t xml:space="preserve">reconstruction rate by condition (true lattice, centroid, and conformer; only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sampled; best of eight draws;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 </w:t>
      </w:r>
      <w:r>
        <w:t xml:space="preserve">held-out crystals; mean</w:t>
      </w:r>
      <w:r>
        <w:t xml:space="preserve"> </w:t>
      </w:r>
      <w:r>
        <w:t xml:space="preserve">over three seeds). The trained flow reconstructs</w:t>
      </w:r>
      <w:r>
        <w:t xml:space="preserve"> </w:t>
      </w:r>
      <m:oMath>
        <m:r>
          <m:t>13.7</m:t>
        </m:r>
        <m:r>
          <m:rPr>
            <m:sty m:val="p"/>
          </m:rPr>
          <m:t>%</m:t>
        </m:r>
      </m:oMath>
      <w:r>
        <w:t xml:space="preserve"> </w:t>
      </w:r>
      <w:r>
        <w:t xml:space="preserve">of packings exactly,</w:t>
      </w:r>
      <w:r>
        <w:t xml:space="preserve"> </w:t>
      </w:r>
      <w:r>
        <w:t xml:space="preserve">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predict-floor field and</w:t>
      </w:r>
      <w:r>
        <w:t xml:space="preserve"> </w:t>
      </w:r>
      <m:oMath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naive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baseline. (b) Held-out</w:t>
      </w:r>
      <w:r>
        <w:t xml:space="preserve"> </w:t>
      </w:r>
      <w:r>
        <w:t xml:space="preserve">non-reference orientation loss drop under the strengthening levers; coset</w:t>
      </w:r>
      <w:r>
        <w:t xml:space="preserve"> </w:t>
      </w:r>
      <w:r>
        <w:t xml:space="preserve">conditioning nearly doubles the learnable signal over the baseline level (dotted),</w:t>
      </w:r>
      <w:r>
        <w:t xml:space="preserve"> </w:t>
      </w:r>
      <w:r>
        <w:t xml:space="preserve">while the no-coset control reproduces it, showing the ceiling is inference-limited</w:t>
      </w:r>
      <w:r>
        <w:t xml:space="preserve"> </w:t>
      </w:r>
      <w:r>
        <w:t xml:space="preserve">rather than representational.</w:t>
      </w:r>
    </w:p>
    <w:bookmarkEnd w:id="24"/>
    <w:bookmarkEnd w:id="25"/>
    <w:bookmarkStart w:id="26" w:name="X92e08dda5a452b38fc400e8f4b5fff99a59848a"/>
    <w:p>
      <w:pPr>
        <w:pStyle w:val="Heading2"/>
      </w:pPr>
      <w:r>
        <w:t xml:space="preserve">End-to-end generation is bottlenecked by the joint packing</w:t>
      </w:r>
    </w:p>
    <w:p>
      <w:pPr>
        <w:pStyle w:val="FirstParagraph"/>
      </w:pPr>
      <w:r>
        <w:t xml:space="preserve">The orientation-isolated metric supplies the true lattice and centroid. The</w:t>
      </w:r>
      <w:r>
        <w:t xml:space="preserve"> </w:t>
      </w:r>
      <w:r>
        <w:t xml:space="preserve">complementary question is how the full pipeline performs when all three manifolds</w:t>
      </w:r>
      <w:r>
        <w:t xml:space="preserve"> </w:t>
      </w:r>
      <w:r>
        <w:t xml:space="preserve">are sampled from the prior, that is, end-to-end rigid-body structure prediction</w:t>
      </w:r>
      <w:r>
        <w:t xml:space="preserve"> </w:t>
      </w:r>
      <w:r>
        <w:t xml:space="preserve">given only the molecular composition and conformer. Generating complete crystals</w:t>
      </w:r>
      <w:r>
        <w:t xml:space="preserve"> </w:t>
      </w:r>
      <w:r>
        <w:t xml:space="preserve">for the held-out molecules (match@20, three seeds) yields no exact match at the</w:t>
      </w:r>
      <w:r>
        <w:t xml:space="preserve"> </w:t>
      </w:r>
      <w:r>
        <w:t xml:space="preserve">StructureMatcher tolerances above (</w:t>
      </w:r>
      <m:oMath>
        <m:r>
          <m:t>0</m:t>
        </m:r>
        <m:r>
          <m:rPr>
            <m:sty m:val="p"/>
          </m:rPr>
          <m:t>%</m:t>
        </m:r>
      </m:oMath>
      <w:r>
        <w:t xml:space="preserve">, Wilson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CI</w:t>
      </w:r>
      <w:r>
        <w:t xml:space="preserve"> </w:t>
      </w:r>
      <m:oMath>
        <m:r>
          <m:t>0</m:t>
        </m:r>
      </m:oMath>
      <w:r>
        <w:t xml:space="preserve">–</w:t>
      </w:r>
      <m:oMath>
        <m:r>
          <m:t>2.8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); the single-draw rate (match@1) is likewise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, so the gap is not an</w:t>
      </w:r>
      <w:r>
        <w:t xml:space="preserve"> </w:t>
      </w:r>
      <w:r>
        <w:t xml:space="preserve">artifact of the best-of-</w:t>
      </w:r>
      <m:oMath>
        <m:r>
          <m:t>k</m:t>
        </m:r>
      </m:oMath>
      <w:r>
        <w:t xml:space="preserve"> </w:t>
      </w:r>
      <w:r>
        <w:t xml:space="preserve">read. The best-of-</w:t>
      </w:r>
      <m:oMath>
        <m:r>
          <m:t>20</m:t>
        </m:r>
      </m:oMath>
      <w:r>
        <w:t xml:space="preserve"> </w:t>
      </w:r>
      <w:r>
        <w:t xml:space="preserve">per-component errors locate the</w:t>
      </w:r>
      <w:r>
        <w:t xml:space="preserve"> </w:t>
      </w:r>
      <w:r>
        <w:t xml:space="preserve">bottleneck: a median lattice-parameter error of</w:t>
      </w:r>
      <w:r>
        <w:t xml:space="preserve"> </w:t>
      </w:r>
      <m:oMath>
        <m:r>
          <m:t>0.46</m:t>
        </m:r>
      </m:oMath>
      <w:r>
        <w:t xml:space="preserve">, a fractional centroid</w:t>
      </w:r>
      <w:r>
        <w:t xml:space="preserve"> </w:t>
      </w:r>
      <w:r>
        <w:t xml:space="preserve">error of</w:t>
      </w:r>
      <w:r>
        <w:t xml:space="preserve"> </w:t>
      </w:r>
      <m:oMath>
        <m:r>
          <m:t>0.35</m:t>
        </m:r>
      </m:oMath>
      <w:r>
        <w:t xml:space="preserve">, and an orientation error of</w:t>
      </w:r>
      <w:r>
        <w:t xml:space="preserve"> </w:t>
      </w:r>
      <m:oMath>
        <m:sSup>
          <m:e>
            <m:r>
              <m:t>57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(medians over best-of-</w:t>
      </w:r>
      <m:oMath>
        <m:r>
          <m:t>20</m:t>
        </m:r>
      </m:oMath>
      <w:r>
        <w:t xml:space="preserve"> </w:t>
      </w:r>
      <w:r>
        <w:t xml:space="preserve">draws; this de-novo orientation error is not directly comparable to the</w:t>
      </w:r>
      <w:r>
        <w:t xml:space="preserve"> </w:t>
      </w:r>
      <w:r>
        <w:t xml:space="preserve">orientation-isolated</w:t>
      </w:r>
      <w:r>
        <w:t xml:space="preserve"> </w:t>
      </w:r>
      <m:oMath>
        <m:sSup>
          <m:e>
            <m:r>
              <m:t>68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 Table </w:t>
      </w:r>
      <w:hyperlink w:anchor="tab:matchrate">
        <w:r>
          <w:rPr>
            <w:rStyle w:val="Hyperlink"/>
          </w:rPr>
          <w:t xml:space="preserve">3</w:t>
        </w:r>
      </w:hyperlink>
      <w:r>
        <w:t xml:space="preserve">, which is a mean over</w:t>
      </w:r>
      <w:r>
        <w:t xml:space="preserve"> </w:t>
      </w:r>
      <w:r>
        <w:t xml:space="preserve">best-of-</w:t>
      </w:r>
      <m:oMath>
        <m:r>
          <m:t>8</m:t>
        </m:r>
      </m:oMath>
      <w:r>
        <w:t xml:space="preserve"> </w:t>
      </w:r>
      <w:r>
        <w:t xml:space="preserve">draws taken with the true packing supplied). Every head contributes; in particular the</w:t>
      </w:r>
      <w:r>
        <w:t xml:space="preserve"> </w:t>
      </w:r>
      <w:r>
        <w:t xml:space="preserve">centroid field, which improves by only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in loss, leaves molecules displaced</w:t>
      </w:r>
      <w:r>
        <w:t xml:space="preserve"> </w:t>
      </w:r>
      <w:r>
        <w:t xml:space="preserve">by roughly a third of a cell, and the orientation still carries the gauge-free</w:t>
      </w:r>
      <w:r>
        <w:t xml:space="preserve"> </w:t>
      </w:r>
      <w:r>
        <w:t xml:space="preserve">component. Scaling does not lift the joint result: the higher-capacity model</w:t>
      </w:r>
      <w:r>
        <w:t xml:space="preserve"> </w:t>
      </w:r>
      <w:r>
        <w:t xml:space="preserve">above, despite sharper components (median lattice-parameter error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centroid</w:t>
      </w:r>
      <w:r>
        <w:t xml:space="preserve"> </w:t>
      </w:r>
      <m:oMath>
        <m:r>
          <m:t>0.35</m:t>
        </m:r>
      </m:oMath>
      <w:r>
        <w:t xml:space="preserve">, orientation</w:t>
      </w:r>
      <w: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still yields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end-to-end at both</w:t>
      </w:r>
      <w:r>
        <w:t xml:space="preserve"> </w:t>
      </w:r>
      <w:r>
        <w:t xml:space="preserve">match@1 and match@20. To test whether this bottleneck is specific to the</w:t>
      </w:r>
      <w:r>
        <w:t xml:space="preserve"> </w:t>
      </w:r>
      <w:r>
        <w:t xml:space="preserve">rigid-body factorization or instead reflects the corpus scale, we trained an</w:t>
      </w:r>
      <w:r>
        <w:t xml:space="preserve"> </w:t>
      </w:r>
      <w:r>
        <w:t xml:space="preserve">all-atom control on the same corpus and split in which every atom is its own</w:t>
      </w:r>
      <w:r>
        <w:t xml:space="preserve"> </w:t>
      </w:r>
      <w:r>
        <w:t xml:space="preserve">block and the orientation head is disabled, the representation used by all-atom</w:t>
      </w:r>
      <w:r>
        <w:t xml:space="preserve"> </w:t>
      </w:r>
      <w:r>
        <w:t xml:space="preserve">generators</w:t>
      </w:r>
      <w:r>
        <w:t xml:space="preserve">. Despite its lattice and</w:t>
      </w:r>
      <w:r>
        <w:t xml:space="preserve"> </w:t>
      </w:r>
      <w:r>
        <w:t xml:space="preserve">centroid heads training normally (an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t xml:space="preserve">drop in flow-matching loss), it</w:t>
      </w:r>
      <w:r>
        <w:t xml:space="preserve"> </w:t>
      </w:r>
      <w:r>
        <w:t xml:space="preserve">likewise reconstructs no held-out crystal exactly (match@1 and match@20 both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), equal to its own random-prior floor. Its best-of-</w:t>
      </w:r>
      <m:oMath>
        <m:r>
          <m:t>20</m:t>
        </m:r>
      </m:oMath>
      <w:r>
        <w:t xml:space="preserve"> </w:t>
      </w:r>
      <w:r>
        <w:t xml:space="preserve">packing-component errors are as large as the rigid-body model’s (median</w:t>
      </w:r>
      <w:r>
        <w:t xml:space="preserve"> </w:t>
      </w:r>
      <w:r>
        <w:t xml:space="preserve">lattice-parameter</w:t>
      </w:r>
      <w:r>
        <w:t xml:space="preserve"> </w:t>
      </w:r>
      <m:oMath>
        <m:r>
          <m:t>0.33</m:t>
        </m:r>
      </m:oMath>
      <w:r>
        <w:t xml:space="preserve"> </w:t>
      </w:r>
      <w:r>
        <w:t xml:space="preserve">and fractional-coordinate</w:t>
      </w:r>
      <w:r>
        <w:t xml:space="preserve"> </w:t>
      </w:r>
      <m:oMath>
        <m:r>
          <m:t>0.46</m:t>
        </m:r>
      </m:oMath>
      <w:r>
        <w:t xml:space="preserve">; Supplementary</w:t>
      </w:r>
      <w:r>
        <w:t xml:space="preserve"> </w:t>
      </w:r>
      <w:r>
        <w:t xml:space="preserve">Information), locating the failure in the same joint packing. End-to-end reconstruction</w:t>
      </w:r>
      <w:r>
        <w:t xml:space="preserve"> </w:t>
      </w:r>
      <w:r>
        <w:t xml:space="preserve">at this corpus scale is therefore out of reach for the all-atom representation as</w:t>
      </w:r>
      <w:r>
        <w:t xml:space="preserve"> </w:t>
      </w:r>
      <w:r>
        <w:t xml:space="preserve">well, so the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is a property of the scale and compute budget rather than a</w:t>
      </w:r>
      <w:r>
        <w:t xml:space="preserve"> </w:t>
      </w:r>
      <w:r>
        <w:t xml:space="preserve">deficiency unique to rigid-body factorization. This control is our own all-atom</w:t>
      </w:r>
      <w:r>
        <w:t xml:space="preserve"> </w:t>
      </w:r>
      <w:r>
        <w:t xml:space="preserve">flow trained on the same thousand-crystal corpus, not one of the published</w:t>
      </w:r>
      <w:r>
        <w:t xml:space="preserve"> </w:t>
      </w:r>
      <w:r>
        <w:t xml:space="preserve">all-atom generators</w:t>
      </w:r>
      <w:r>
        <w:t xml:space="preserve">, which are trained</w:t>
      </w:r>
      <w:r>
        <w:t xml:space="preserve"> </w:t>
      </w:r>
      <w:r>
        <w:t xml:space="preserve">on far larger datasets with substantially more compute; the comparison therefore</w:t>
      </w:r>
      <w:r>
        <w:t xml:space="preserve"> </w:t>
      </w:r>
      <w:r>
        <w:t xml:space="preserve">shows that the all-atom</w:t>
      </w:r>
      <w:r>
        <w:t xml:space="preserve"> </w:t>
      </w:r>
      <w:r>
        <w:rPr>
          <w:i/>
          <w:iCs/>
        </w:rPr>
        <w:t xml:space="preserve">representation at this scale</w:t>
      </w:r>
      <w:r>
        <w:t xml:space="preserve"> </w:t>
      </w:r>
      <w:r>
        <w:t xml:space="preserve">does not rescue</w:t>
      </w:r>
      <w:r>
        <w:t xml:space="preserve"> </w:t>
      </w:r>
      <w:r>
        <w:t xml:space="preserve">end-to-end generation, not that those larger models would fail. The</w:t>
      </w:r>
      <w:r>
        <w:t xml:space="preserve"> </w:t>
      </w:r>
      <w:r>
        <w:t xml:space="preserve">orientation-isolated</w:t>
      </w:r>
      <w:r>
        <w:t xml:space="preserve"> </w:t>
      </w:r>
      <m:oMath>
        <m:r>
          <m:t>13.7</m:t>
        </m:r>
        <m:r>
          <m:rPr>
            <m:sty m:val="p"/>
          </m:rPr>
          <m:t>%</m:t>
        </m:r>
      </m:oMath>
      <w:r>
        <w:t xml:space="preserve"> </w:t>
      </w:r>
      <w:r>
        <w:t xml:space="preserve">is therefore an upper bound that is attainable only</w:t>
      </w:r>
      <w:r>
        <w:t xml:space="preserve"> </w:t>
      </w:r>
      <w:r>
        <w:t xml:space="preserve">when the packing is supplied, and end-to-end molecular-crystal generation at this</w:t>
      </w:r>
      <w:r>
        <w:t xml:space="preserve"> </w:t>
      </w:r>
      <w:r>
        <w:t xml:space="preserve">corpus scale and compute budget remains open. This is consistent with the scope</w:t>
      </w:r>
      <w:r>
        <w:t xml:space="preserve"> </w:t>
      </w:r>
      <w:r>
        <w:t xml:space="preserve">of the paper: the contribution is the characterization of the orientation field,</w:t>
      </w:r>
      <w:r>
        <w:t xml:space="preserve"> </w:t>
      </w:r>
      <w:r>
        <w:t xml:space="preserve">not a finished generator.</w:t>
      </w:r>
    </w:p>
    <w:bookmarkEnd w:id="26"/>
    <w:bookmarkStart w:id="27" w:name="X26082a8f309b6aa5a951d70201583dbbff0b5d2"/>
    <w:p>
      <w:pPr>
        <w:pStyle w:val="Heading2"/>
      </w:pPr>
      <w:r>
        <w:t xml:space="preserve">Method validation on inorganic benchmarks</w:t>
      </w:r>
    </w:p>
    <w:p>
      <w:pPr>
        <w:pStyle w:val="FirstParagraph"/>
      </w:pPr>
      <w:r>
        <w:t xml:space="preserve">For completeness we validated the SymMC-Flow architecture on standard</w:t>
      </w:r>
      <w:r>
        <w:t xml:space="preserve"> </w:t>
      </w:r>
      <w:r>
        <w:t xml:space="preserve">single-block inorganic benchmarks, where orientation is inactive. On carbon-24</w:t>
      </w:r>
      <w:r>
        <w:t xml:space="preserve"> </w:t>
      </w:r>
      <w:r>
        <w:t xml:space="preserve">and MP-20 the method is competitive with joint equivariant</w:t>
      </w:r>
      <w:r>
        <w:t xml:space="preserve"> </w:t>
      </w:r>
      <w:r>
        <w:t xml:space="preserve">diffusion</w:t>
      </w:r>
      <w:r>
        <w:t xml:space="preserve"> </w:t>
      </w:r>
      <w:r>
        <w:t xml:space="preserve">at roughly an order of magnitude fewer sampling</w:t>
      </w:r>
      <w:r>
        <w:t xml:space="preserve"> </w:t>
      </w:r>
      <w:r>
        <w:t xml:space="preserve">steps, winning some match cells and losing others. Full numbers and the</w:t>
      </w:r>
      <w:r>
        <w:t xml:space="preserve"> </w:t>
      </w:r>
      <w:r>
        <w:t xml:space="preserve">head-to-head protocol are given in Supplementary Information; these results</w:t>
      </w:r>
      <w:r>
        <w:t xml:space="preserve"> </w:t>
      </w:r>
      <w:r>
        <w:t xml:space="preserve">confirm the flow and sampler are sound and are not the focus of this study.</w:t>
      </w:r>
    </w:p>
    <w:bookmarkEnd w:id="27"/>
    <w:bookmarkEnd w:id="28"/>
    <w:bookmarkStart w:id="2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orientation field of a rigid-body molecular-crystal flow is neither fully</w:t>
      </w:r>
      <w:r>
        <w:t xml:space="preserve"> </w:t>
      </w:r>
      <w:r>
        <w:t xml:space="preserve">learnable nor uniformly broken. It splits into a space-group-determined relative</w:t>
      </w:r>
      <w:r>
        <w:t xml:space="preserve"> </w:t>
      </w:r>
      <w:r>
        <w:t xml:space="preserve">orientation that a flow learns and reconstructs, and a gauge-free</w:t>
      </w:r>
      <w:r>
        <w:t xml:space="preserve"> </w:t>
      </w:r>
      <w:r>
        <w:t xml:space="preserve">asymmetric-unit orientation that the model cannot predict from composition and</w:t>
      </w:r>
      <w:r>
        <w:t xml:space="preserve"> </w:t>
      </w:r>
      <w:r>
        <w:t xml:space="preserve">packing. This split is a property of the representation, not of the optimizer or</w:t>
      </w:r>
      <w:r>
        <w:t xml:space="preserve"> </w:t>
      </w:r>
      <w:r>
        <w:t xml:space="preserve">the architecture, which is why it survives gauge correction, data scaling,</w:t>
      </w:r>
      <w:r>
        <w:t xml:space="preserve"> </w:t>
      </w:r>
      <w:r>
        <w:t xml:space="preserve">capacity increases, and clean conditioning.</w:t>
      </w:r>
    </w:p>
    <w:p>
      <w:pPr>
        <w:pStyle w:val="BodyText"/>
      </w:pPr>
      <w:r>
        <w:t xml:space="preserve">The decomposition reconciles the divergent design choices in the field. All-atom</w:t>
      </w:r>
      <w:r>
        <w:t xml:space="preserve"> </w:t>
      </w:r>
      <w:r>
        <w:t xml:space="preserve">generators</w:t>
      </w:r>
      <w:r>
        <w:t xml:space="preserve"> </w:t>
      </w:r>
      <w:r>
        <w:t xml:space="preserve">never expose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as an explicit target and so do not encounter the floor,</w:t>
      </w:r>
      <w:r>
        <w:t xml:space="preserve"> </w:t>
      </w:r>
      <w:r>
        <w:t xml:space="preserve">trading the low dimensionality of the rigid-body representation for a target</w:t>
      </w:r>
      <w:r>
        <w:t xml:space="preserve"> </w:t>
      </w:r>
      <w:r>
        <w:t xml:space="preserve">without a gauge obstruction. MOFFlow</w:t>
      </w:r>
      <w:r>
        <w:t xml:space="preserve"> </w:t>
      </w:r>
      <w:r>
        <w:t xml:space="preserve">succeeds with a</w:t>
      </w:r>
      <w:r>
        <w:t xml:space="preserve"> </w:t>
      </w:r>
      <w:r>
        <w:t xml:space="preserve">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flow in part because framework connectivity</w:t>
      </w:r>
      <w:r>
        <w:t xml:space="preserve"> </w:t>
      </w:r>
      <w:r>
        <w:t xml:space="preserve">constrains block orientations far more tightly than the free pose of a molecule</w:t>
      </w:r>
      <w:r>
        <w:t xml:space="preserve"> </w:t>
      </w:r>
      <w:r>
        <w:t xml:space="preserve">in a van der Waals packing, shrinking the gauge-free component. The present</w:t>
      </w:r>
      <w:r>
        <w:t xml:space="preserve"> </w:t>
      </w:r>
      <w:r>
        <w:t xml:space="preserve">analysis predicts that 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generation will be most</w:t>
      </w:r>
      <w:r>
        <w:t xml:space="preserve"> </w:t>
      </w:r>
      <w:r>
        <w:t xml:space="preserve">effective precisely where orientation is constrained by the surrounding network</w:t>
      </w:r>
      <w:r>
        <w:t xml:space="preserve"> </w:t>
      </w:r>
      <w:r>
        <w:t xml:space="preserve">or by high site symmetry, and least effective for low-symmetry organic packings.</w:t>
      </w:r>
    </w:p>
    <w:p>
      <w:pPr>
        <w:pStyle w:val="BodyText"/>
      </w:pPr>
      <w:r>
        <w:t xml:space="preserve">On evaluation, the gap between the flat orientation loss and the</w:t>
      </w:r>
      <w:r>
        <w:t xml:space="preserve"> </w:t>
      </w:r>
      <m:oMath>
        <m:r>
          <m:t>13.7</m:t>
        </m:r>
        <m:r>
          <m:rPr>
            <m:sty m:val="p"/>
          </m:rPr>
          <m:t>%</m:t>
        </m:r>
      </m:oMath>
      <w:r>
        <w:t xml:space="preserve"> </w:t>
      </w:r>
      <w:r>
        <w:t xml:space="preserve">reconstruction rate shows why a single match-rate number is an unreliable</w:t>
      </w:r>
      <w:r>
        <w:t xml:space="preserve"> </w:t>
      </w:r>
      <w:r>
        <w:t xml:space="preserve">summary</w:t>
      </w:r>
      <w:r>
        <w:t xml:space="preserve">: the learnable signal is visible only</w:t>
      </w:r>
      <w:r>
        <w:t xml:space="preserve"> </w:t>
      </w:r>
      <w:r>
        <w:t xml:space="preserve">when the metric isolates orientation and samples the multimodal target. We</w:t>
      </w:r>
      <w:r>
        <w:t xml:space="preserve"> </w:t>
      </w:r>
      <w:r>
        <w:t xml:space="preserve">report the geodesic error and a controlled best-of-</w:t>
      </w:r>
      <m:oMath>
        <m:r>
          <m:t>k</m:t>
        </m:r>
      </m:oMath>
      <w:r>
        <w:t xml:space="preserve"> </w:t>
      </w:r>
      <w:r>
        <w:t xml:space="preserve">match for this reason.</w:t>
      </w:r>
    </w:p>
    <w:p>
      <w:pPr>
        <w:pStyle w:val="BodyText"/>
      </w:pPr>
      <w:r>
        <w:t xml:space="preserve">The coset result also carries a practical implication for how rigid-body</w:t>
      </w:r>
      <w:r>
        <w:t xml:space="preserve"> </w:t>
      </w:r>
      <w:r>
        <w:t xml:space="preserve">generators should be conditioned. Template-based pipelines already supply a</w:t>
      </w:r>
      <w:r>
        <w:t xml:space="preserve"> </w:t>
      </w:r>
      <w:r>
        <w:t xml:space="preserve">space group and Wyckoff assignment at sampling time, and the coset index is a</w:t>
      </w:r>
      <w:r>
        <w:t xml:space="preserve"> </w:t>
      </w:r>
      <w:r>
        <w:t xml:space="preserve">deterministic function of that assignment together with the copy ordering. A</w:t>
      </w:r>
      <w:r>
        <w:t xml:space="preserve"> </w:t>
      </w:r>
      <w:r>
        <w:t xml:space="preserve">generator that consumes this discrete label, as space-group- and</w:t>
      </w:r>
      <w:r>
        <w:t xml:space="preserve"> </w:t>
      </w:r>
      <w:r>
        <w:t xml:space="preserve">Wyckoff-conditioned models already do for atomic</w:t>
      </w:r>
      <w:r>
        <w:t xml:space="preserve"> </w:t>
      </w:r>
      <w:r>
        <w:t xml:space="preserve">sites</w:t>
      </w:r>
      <w:r>
        <w:t xml:space="preserve">, converts the</w:t>
      </w:r>
      <w:r>
        <w:t xml:space="preserve"> </w:t>
      </w:r>
      <w:r>
        <w:t xml:space="preserve">inference-limited part of the orientation field into a near-deterministic</w:t>
      </w:r>
      <w:r>
        <w:t xml:space="preserve"> </w:t>
      </w:r>
      <w:r>
        <w:t xml:space="preserve">lookup, leaving only the free pose to be sampled. This suggests that</w:t>
      </w:r>
      <w:r>
        <w:t xml:space="preserve"> </w:t>
      </w:r>
      <w:r>
        <w:t xml:space="preserve">the right division of labor for rigid-body molecular CSP is to condition on</w:t>
      </w:r>
      <w:r>
        <w:t xml:space="preserve"> </w:t>
      </w:r>
      <w:r>
        <w:t xml:space="preserve">symmetry for the relative orientation and to sample, rather than regress, the</w:t>
      </w:r>
      <w:r>
        <w:t xml:space="preserve"> </w:t>
      </w:r>
      <w:r>
        <w:t xml:space="preserve">remaining gauge-free degree of freedom.</w:t>
      </w:r>
    </w:p>
    <w:p>
      <w:pPr>
        <w:pStyle w:val="BodyText"/>
      </w:pPr>
      <w:r>
        <w:t xml:space="preserve">This study has limits. End-to-end generation does not yet reconstruct held-out</w:t>
      </w:r>
      <w:r>
        <w:t xml:space="preserve"> </w:t>
      </w:r>
      <w:r>
        <w:t xml:space="preserve">packings exactly, and the analysis isolates orientation rather than delivering a</w:t>
      </w:r>
      <w:r>
        <w:t xml:space="preserve"> </w:t>
      </w:r>
      <w:r>
        <w:t xml:space="preserve">finished generator. A de-novo stable–unique–novel evaluation would not add much</w:t>
      </w:r>
      <w:r>
        <w:t xml:space="preserve"> </w:t>
      </w:r>
      <w:r>
        <w:t xml:space="preserve">here either, because the universal interatomic potentials used to judge stability</w:t>
      </w:r>
      <w:r>
        <w:t xml:space="preserve"> </w:t>
      </w:r>
      <w:r>
        <w:t xml:space="preserve">are trained on inorganic data</w:t>
      </w:r>
      <w:r>
        <w:t xml:space="preserve"> </w:t>
      </w:r>
      <w:r>
        <w:t xml:space="preserve">and do not transfer to organic</w:t>
      </w:r>
      <w:r>
        <w:t xml:space="preserve"> </w:t>
      </w:r>
      <w:r>
        <w:t xml:space="preserve">molecular crystals; we therefore evaluate by reconstruction against known</w:t>
      </w:r>
      <w:r>
        <w:t xml:space="preserve"> </w:t>
      </w:r>
      <w:r>
        <w:t xml:space="preserve">structures. The corpus is roughly one thousand crystals and training is at modest</w:t>
      </w:r>
      <w:r>
        <w:t xml:space="preserve"> </w:t>
      </w:r>
      <w:r>
        <w:t xml:space="preserve">scale, so the absolute generation numbers should be read as a lower bound that</w:t>
      </w:r>
      <w:r>
        <w:t xml:space="preserve"> </w:t>
      </w:r>
      <w:r>
        <w:t xml:space="preserve">more data and compute would improve. The rigid-conformer gate excludes flexible</w:t>
      </w:r>
      <w:r>
        <w:t xml:space="preserve"> </w:t>
      </w:r>
      <w:r>
        <w:t xml:space="preserve">molecules by construction, and the conformer registry is shared across crystals,</w:t>
      </w:r>
      <w:r>
        <w:t xml:space="preserve"> </w:t>
      </w:r>
      <w:r>
        <w:t xml:space="preserve">so a species whose conformer differs between polymorphs beyond tolerance is</w:t>
      </w:r>
      <w:r>
        <w:t xml:space="preserve"> </w:t>
      </w:r>
      <w:r>
        <w:t xml:space="preserve">rejected. The corpus is therefore one of rigid, largely organic</w:t>
      </w:r>
      <w:r>
        <w:t xml:space="preserve"> </w:t>
      </w:r>
      <w:r>
        <w:t xml:space="preserve">(C/H/N/O-dominated) molecules, and the conclusions should be read with that</w:t>
      </w:r>
      <w:r>
        <w:t xml:space="preserve"> </w:t>
      </w:r>
      <w:r>
        <w:t xml:space="preserve">scope. The unlearnability statement is likewise scoped to molecules on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positions, where the asymmetric-unit pose is genuinely free; a</w:t>
      </w:r>
      <w:r>
        <w:t xml:space="preserve"> </w:t>
      </w:r>
      <w:r>
        <w:t xml:space="preserve">molecule sitting on a special position carries a site symmetry that constrains</w:t>
      </w:r>
      <w:r>
        <w:t xml:space="preserve"> </w:t>
      </w:r>
      <w:r>
        <w:t xml:space="preserve">its orientation, and that constraint is in principle learnable, consistent with</w:t>
      </w:r>
      <w:r>
        <w:t xml:space="preserve"> </w:t>
      </w:r>
      <w:r>
        <w:t xml:space="preserve">the prediction above that 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generation is most useful</w:t>
      </w:r>
      <w:r>
        <w:t xml:space="preserve"> </w:t>
      </w:r>
      <w:r>
        <w:t xml:space="preserve">where site symmetry is high. These choices keep the rigid-body benchmark honest</w:t>
      </w:r>
      <w:r>
        <w:t xml:space="preserve"> </w:t>
      </w:r>
      <w:r>
        <w:t xml:space="preserve">but narrow its coverage.</w:t>
      </w:r>
    </w:p>
    <w:p>
      <w:pPr>
        <w:pStyle w:val="BodyText"/>
      </w:pPr>
      <w:r>
        <w:t xml:space="preserve">Two directions follow. A hybrid that predicts a rigid pose and then refines the</w:t>
      </w:r>
      <w:r>
        <w:t xml:space="preserve"> </w:t>
      </w:r>
      <w:r>
        <w:t xml:space="preserve">conformer would extend the approach to flexible molecules while keeping the</w:t>
      </w:r>
      <w:r>
        <w:t xml:space="preserve"> </w:t>
      </w:r>
      <w:r>
        <w:t xml:space="preserve">fast pose flow. Conditioning the orientation field on Wyckoff or coset</w:t>
      </w:r>
      <w:r>
        <w:t xml:space="preserve"> </w:t>
      </w:r>
      <w:r>
        <w:t xml:space="preserve">information at sampling time, suggested by the coset experiment, would convert</w:t>
      </w:r>
      <w:r>
        <w:t xml:space="preserve"> </w:t>
      </w:r>
      <w:r>
        <w:t xml:space="preserve">the inference-limited component into a usable signal whenever the symmetry</w:t>
      </w:r>
      <w:r>
        <w:t xml:space="preserve"> </w:t>
      </w:r>
      <w:r>
        <w:t xml:space="preserve">assignment is available, as it is in template-based generation.</w:t>
      </w:r>
    </w:p>
    <w:bookmarkEnd w:id="29"/>
    <w:bookmarkStart w:id="39" w:name="methods"/>
    <w:p>
      <w:pPr>
        <w:pStyle w:val="Heading1"/>
      </w:pPr>
      <w:r>
        <w:t xml:space="preserve">Methods</w:t>
      </w:r>
    </w:p>
    <w:bookmarkStart w:id="30" w:name="X97197145db4945f5faf6e0d2b94973879e212de"/>
    <w:p>
      <w:pPr>
        <w:pStyle w:val="Heading2"/>
      </w:pPr>
      <w:r>
        <w:t xml:space="preserve">Rigid-body factorization and intrinsic gauge</w:t>
      </w:r>
    </w:p>
    <w:p>
      <w:pPr>
        <w:pStyle w:val="FirstParagraph"/>
      </w:pPr>
      <w:r>
        <w:t xml:space="preserve">Each crystal is parsed into rigid molecular blocks by a covalent-bond graph with</w:t>
      </w:r>
      <w:r>
        <w:t xml:space="preserve"> </w:t>
      </w:r>
      <w:r>
        <w:t xml:space="preserve">periodic-boundary unwrapping. Molecules of one species are keyed by a</w:t>
      </w:r>
      <w:r>
        <w:t xml:space="preserve"> </w:t>
      </w:r>
      <w:r>
        <w:t xml:space="preserve">Weisfeiler–Lehman hash of the element-labelled bond graph and share a single</w:t>
      </w:r>
      <w:r>
        <w:t xml:space="preserve"> </w:t>
      </w:r>
      <w:r>
        <w:t xml:space="preserve">reference conformer; atom correspondence between a copy and its reference is the</w:t>
      </w:r>
      <w:r>
        <w:t xml:space="preserve"> </w:t>
      </w:r>
      <w:r>
        <w:t xml:space="preserve">minimum-RMSD graph isomorphism, so a molecule’s own automorphisms inject no</w:t>
      </w:r>
      <w:r>
        <w:t xml:space="preserve"> </w:t>
      </w:r>
      <w:r>
        <w:t xml:space="preserve">spurious rotation. The reference conformer is rotated into a molecule-intrinsic</w:t>
      </w:r>
      <w:r>
        <w:t xml:space="preserve"> </w:t>
      </w:r>
      <w:r>
        <w:t xml:space="preserve">frame given by the principal axes of its gyration tensor, with per-axis sign</w:t>
      </w:r>
      <w:r>
        <w:t xml:space="preserve"> </w:t>
      </w:r>
      <w:r>
        <w:t xml:space="preserve">fixed by an element-weighted third moment and the frame forced right-handed.</w:t>
      </w:r>
      <w:r>
        <w:t xml:space="preserve"> </w:t>
      </w:r>
      <w:r>
        <w:t xml:space="preserve">This removes the arbitrary cross-crystal reference that otherwise makes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rotation relative to an unrelated molecule, the gauge correction referenced in</w:t>
      </w:r>
      <w:r>
        <w:t xml:space="preserve"> </w:t>
      </w:r>
      <w:r>
        <w:t xml:space="preserve">Results. The pose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of each copy is then the Kabsch rotation aligning it to</w:t>
      </w:r>
      <w:r>
        <w:t xml:space="preserve"> </w:t>
      </w:r>
      <w:r>
        <w:t xml:space="preserve">the intrinsic frame. Lattices are rebuilt from their six cell parameters to a</w:t>
      </w:r>
      <w:r>
        <w:t xml:space="preserve"> </w:t>
      </w:r>
      <w:r>
        <w:t xml:space="preserve">canonical frame.</w:t>
      </w:r>
    </w:p>
    <w:bookmarkEnd w:id="30"/>
    <w:bookmarkStart w:id="31" w:name="manifolds-and-flow-matching"/>
    <w:p>
      <w:pPr>
        <w:pStyle w:val="Heading2"/>
      </w:pPr>
      <w:r>
        <w:t xml:space="preserve">Manifolds and flow matching</w:t>
      </w:r>
    </w:p>
    <w:p>
      <w:pPr>
        <w:pStyle w:val="FirstParagraph"/>
      </w:pPr>
      <w:r>
        <w:t xml:space="preserve">The lattice is flowed in a ten-dimensional parametrization of per-atom</w:t>
      </w:r>
      <w:r>
        <w:t xml:space="preserve"> </w:t>
      </w:r>
      <w:r>
        <w:t xml:space="preserve">log-volume and a determinant-one shape, with a straight-line conditional path.</w:t>
      </w:r>
      <w:r>
        <w:t xml:space="preserve"> </w:t>
      </w:r>
      <w:r>
        <w:t xml:space="preserve">Centroids follow torus geodesics; orientations follow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geodesics with the tangent velocity as target. We use conditional flow</w:t>
      </w:r>
      <w:r>
        <w:t xml:space="preserve"> </w:t>
      </w:r>
      <w:r>
        <w:t xml:space="preserve">matching</w:t>
      </w:r>
      <w:r>
        <w:t xml:space="preserve"> </w:t>
      </w:r>
      <w:r>
        <w:t xml:space="preserve">with optimal-transport coupling of the</w:t>
      </w:r>
      <w:r>
        <w:t xml:space="preserve"> </w:t>
      </w:r>
      <w:r>
        <w:t xml:space="preserve">exchangeable prior and data within each crystal</w:t>
      </w:r>
      <w:r>
        <w:t xml:space="preserve">.</w:t>
      </w:r>
      <w:r>
        <w:t xml:space="preserve"> </w:t>
      </w:r>
      <w:r>
        <w:t xml:space="preserve">Sampling integrates the field from the prior to the data manifold with a</w:t>
      </w:r>
      <w:r>
        <w:t xml:space="preserve"> </w:t>
      </w:r>
      <w:r>
        <w:t xml:space="preserve">deterministic Runge–Kutta scheme, using 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exponential map</w:t>
      </w:r>
      <w:r>
        <w:t xml:space="preserve"> </w:t>
      </w:r>
      <w:r>
        <w:t xml:space="preserve">for the orientation update; molecular-crystal samples used here take fifty</w:t>
      </w:r>
      <w:r>
        <w:t xml:space="preserve"> </w:t>
      </w:r>
      <w:r>
        <w:t xml:space="preserve">steps, approximately</w:t>
      </w:r>
      <w:r>
        <w:t xml:space="preserve"> </w:t>
      </w:r>
      <m:oMath>
        <m:r>
          <m:t>0.26</m:t>
        </m:r>
      </m:oMath>
      <w:r>
        <w:t xml:space="preserve"> s per structure on a single RTX 5090 GPU in batches</w:t>
      </w:r>
      <w:r>
        <w:t xml:space="preserve"> </w:t>
      </w:r>
      <w:r>
        <w:t xml:space="preserve">of</w:t>
      </w:r>
      <w:r>
        <w:t xml:space="preserve"> </w:t>
      </w:r>
      <m:oMath>
        <m:r>
          <m:t>32</m:t>
        </m:r>
      </m:oMath>
      <w:r>
        <w:t xml:space="preserve">, consistent with the order-of-magnitude step-count reduction that</w:t>
      </w:r>
      <w:r>
        <w:t xml:space="preserve"> </w:t>
      </w:r>
      <w:r>
        <w:t xml:space="preserve">motivates flow matching over diffusion. The construction follows Riemannian flow</w:t>
      </w:r>
      <w:r>
        <w:t xml:space="preserve"> </w:t>
      </w:r>
      <w:r>
        <w:t xml:space="preserve">matching</w:t>
      </w:r>
      <w:r>
        <w:t xml:space="preserve"> </w:t>
      </w:r>
      <w:r>
        <w:t xml:space="preserve">and parallels frame-based generative models</w:t>
      </w:r>
      <w:r>
        <w:t xml:space="preserve"> </w:t>
      </w:r>
      <w:r>
        <w:t xml:space="preserve">for proteins</w:t>
      </w:r>
      <w:r>
        <w:t xml:space="preserve"> </w:t>
      </w:r>
      <w:r>
        <w:t xml:space="preserve">and metal–organic</w:t>
      </w:r>
      <w:r>
        <w:t xml:space="preserve"> </w:t>
      </w:r>
      <w:r>
        <w:t xml:space="preserve">frameworks</w:t>
      </w:r>
      <w:r>
        <w:t xml:space="preserve">. The orientation target is the constant-velocity</w:t>
      </w:r>
      <w:r>
        <w:t xml:space="preserve"> </w:t>
      </w:r>
      <w:r>
        <w:t xml:space="preserve">geodesic tangent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carried in the body frame, where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prior and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 data orientation, and the loss is the squared</w:t>
      </w:r>
      <w:r>
        <w:t xml:space="preserve"> </w:t>
      </w:r>
      <w:r>
        <w:t xml:space="preserve">geodesic residual between the predicted and target tangents averaged over real</w:t>
      </w:r>
      <w:r>
        <w:t xml:space="preserve"> </w:t>
      </w:r>
      <w:r>
        <w:t xml:space="preserve">molecules.</w:t>
      </w:r>
    </w:p>
    <w:bookmarkEnd w:id="31"/>
    <w:bookmarkStart w:id="32" w:name="X5cba2d19fb6093dd286d99037f362ce7a67b02f"/>
    <w:p>
      <w:pPr>
        <w:pStyle w:val="Heading2"/>
      </w:pPr>
      <w:r>
        <w:t xml:space="preserve">Predict-zero floor and clean-packing control</w:t>
      </w:r>
    </w:p>
    <w:p>
      <w:pPr>
        <w:pStyle w:val="FirstParagraph"/>
      </w:pPr>
      <w:r>
        <w:t xml:space="preserve">The predict-zero floor is the loss of the trivial field that outputs the zero</w:t>
      </w:r>
      <w:r>
        <w:t xml:space="preserve"> </w:t>
      </w:r>
      <w:r>
        <w:t xml:space="preserve">velocity,</w:t>
      </w:r>
      <w:r>
        <w:t xml:space="preserve"> </w:t>
      </w:r>
      <m:oMath>
        <m:r>
          <m:rPr>
            <m:scr m:val="double-struck"/>
            <m:sty m:val="p"/>
          </m:rPr>
          <m:t>E</m:t>
        </m:r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 estimated by averaging the squared</w:t>
      </w:r>
      <w:r>
        <w:t xml:space="preserve"> </w:t>
      </w:r>
      <w:r>
        <w:t xml:space="preserve">target tangent over the validation set; it is the value a head must beat to have</w:t>
      </w:r>
      <w:r>
        <w:t xml:space="preserve"> </w:t>
      </w:r>
      <w:r>
        <w:t xml:space="preserve">learned anything, and on this corpus it is approximately</w:t>
      </w:r>
      <w:r>
        <w:t xml:space="preserve"> </w:t>
      </w:r>
      <m:oMath>
        <m:r>
          <m:t>5.24</m:t>
        </m:r>
      </m:oMath>
      <w:r>
        <w:t xml:space="preserve">. The</w:t>
      </w:r>
      <w:r>
        <w:t xml:space="preserve"> </w:t>
      </w:r>
      <w:r>
        <w:t xml:space="preserve">clean-packing control replaces the noised conditioning state with the true</w:t>
      </w:r>
      <w:r>
        <w:t xml:space="preserve"> </w:t>
      </w:r>
      <w:r>
        <w:t xml:space="preserve">lattice and centroids while leaving the orientation input noised and the</w:t>
      </w:r>
      <w:r>
        <w:t xml:space="preserve"> </w:t>
      </w:r>
      <w:r>
        <w:t xml:space="preserve">orientation target unchanged, so no label information leaks. Under this control</w:t>
      </w:r>
      <w:r>
        <w:t xml:space="preserve"> </w:t>
      </w:r>
      <w:r>
        <w:t xml:space="preserve">the lattice and centroid heads see a state inconsistent with their own velocity</w:t>
      </w:r>
      <w:r>
        <w:t xml:space="preserve"> </w:t>
      </w:r>
      <w:r>
        <w:t xml:space="preserve">targets and their losses are not interpretable, which is why only the orientation</w:t>
      </w:r>
      <w:r>
        <w:t xml:space="preserve"> </w:t>
      </w:r>
      <w:r>
        <w:t xml:space="preserve">number is read from that run.</w:t>
      </w:r>
    </w:p>
    <w:bookmarkEnd w:id="32"/>
    <w:bookmarkStart w:id="33" w:name="network"/>
    <w:p>
      <w:pPr>
        <w:pStyle w:val="Heading2"/>
      </w:pPr>
      <w:r>
        <w:t xml:space="preserve">Network</w:t>
      </w:r>
    </w:p>
    <w:p>
      <w:pPr>
        <w:pStyle w:val="FirstParagraph"/>
      </w:pPr>
      <w:r>
        <w:t xml:space="preserve">An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-equivariant graph network</w:t>
      </w:r>
      <w:r>
        <w:t xml:space="preserve"> </w:t>
      </w:r>
      <w:r>
        <w:t xml:space="preserve">encodes each</w:t>
      </w:r>
      <w:r>
        <w:t xml:space="preserve"> </w:t>
      </w:r>
      <w:r>
        <w:t xml:space="preserve">conformer into an invariant token. Tokens are augmented with the current</w:t>
      </w:r>
      <w:r>
        <w:t xml:space="preserve"> </w:t>
      </w:r>
      <w:r>
        <w:t xml:space="preserve">centroid, orientation, lattice, time, and a space-group embedding, then mixed by</w:t>
      </w:r>
      <w:r>
        <w:t xml:space="preserve"> </w:t>
      </w:r>
      <w:r>
        <w:t xml:space="preserve">pair-bias attention with pairwise features built from torus and Cartesian</w:t>
      </w:r>
      <w:r>
        <w:t xml:space="preserve"> </w:t>
      </w:r>
      <w:r>
        <w:t xml:space="preserve">displacements. Three heads predict the lattice, centroid, and orientation</w:t>
      </w:r>
      <w:r>
        <w:t xml:space="preserve"> </w:t>
      </w:r>
      <w:r>
        <w:t xml:space="preserve">velocities. The centroid field can be symmetrized over the space-group action.</w:t>
      </w:r>
      <w:r>
        <w:t xml:space="preserve"> </w:t>
      </w:r>
      <w:r>
        <w:t xml:space="preserve">For the coset experiment a per-molecule coset embedding is added to each token</w:t>
      </w:r>
      <w:r>
        <w:t xml:space="preserve"> </w:t>
      </w:r>
      <w:r>
        <w:t xml:space="preserve">when enabled.</w:t>
      </w:r>
    </w:p>
    <w:bookmarkEnd w:id="33"/>
    <w:bookmarkStart w:id="34" w:name="relative-gauge-and-coset-codebook"/>
    <w:p>
      <w:pPr>
        <w:pStyle w:val="Heading2"/>
      </w:pPr>
      <w:r>
        <w:t xml:space="preserve">Relative gauge and coset codebook</w:t>
      </w:r>
    </w:p>
    <w:p>
      <w:pPr>
        <w:pStyle w:val="FirstParagraph"/>
      </w:pPr>
      <w:r>
        <w:t xml:space="preserve">The relative gauge sets the first copy of each species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 replaces the</w:t>
      </w:r>
      <w:r>
        <w:t xml:space="preserve"> </w:t>
      </w:r>
      <w:r>
        <w:t xml:space="preserve">others by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  <m:sSubSup>
          <m:e>
            <m:r>
              <m:t>R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with the shared conformer transformed by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so that reconstruction is unchanged; a reference mask records which copies</w:t>
      </w:r>
      <w:r>
        <w:t xml:space="preserve"> </w:t>
      </w:r>
      <w:r>
        <w:t xml:space="preserve">are trivial. The coset codebook clusters non-reference relative rotations within</w:t>
      </w:r>
      <w:r>
        <w:t xml:space="preserve"> </w:t>
      </w:r>
      <w:r>
        <w:t xml:space="preserve">each space group by geodesic distance into a shared set of discrete indices,</w:t>
      </w:r>
      <w:r>
        <w:t xml:space="preserve"> </w:t>
      </w:r>
      <w:r>
        <w:t xml:space="preserve">which become the per-molecule coset labels.</w:t>
      </w:r>
    </w:p>
    <w:bookmarkEnd w:id="34"/>
    <w:bookmarkStart w:id="35" w:name="training"/>
    <w:p>
      <w:pPr>
        <w:pStyle w:val="Heading2"/>
      </w:pPr>
      <w:r>
        <w:t xml:space="preserve">Training</w:t>
      </w:r>
    </w:p>
    <w:p>
      <w:pPr>
        <w:pStyle w:val="FirstParagraph"/>
      </w:pPr>
      <w:r>
        <w:t xml:space="preserve">Models are trained with Adam at a learning rate of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gradient</w:t>
      </w:r>
      <w:r>
        <w:t xml:space="preserve"> </w:t>
      </w:r>
      <w:r>
        <w:t xml:space="preserve">clipping, and a batch size of</w:t>
      </w:r>
      <w:r>
        <w:t xml:space="preserve"> </w:t>
      </w:r>
      <m:oMath>
        <m:r>
          <m:t>16</m:t>
        </m:r>
      </m:oMath>
      <w:r>
        <w:t xml:space="preserve">. The reduced learning rate, relative to a</w:t>
      </w:r>
      <w:r>
        <w:t xml:space="preserve"> </w:t>
      </w:r>
      <w:r>
        <w:t xml:space="preserve">common default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is needed because the intrinsic-frame orientation</w:t>
      </w:r>
      <w:r>
        <w:t xml:space="preserve"> </w:t>
      </w:r>
      <w:r>
        <w:t xml:space="preserve">targets produce larger early gradients that otherwise diverge in the shared</w:t>
      </w:r>
      <w:r>
        <w:t xml:space="preserve"> </w:t>
      </w:r>
      <w:r>
        <w:t xml:space="preserve">trunk within the first tens of steps. The lattice prior volume per atom is</w:t>
      </w:r>
      <w:r>
        <w:t xml:space="preserve"> </w:t>
      </w:r>
      <w:r>
        <w:t xml:space="preserve">matched to the corpus mean so that generated cells begin at a physical density.</w:t>
      </w:r>
      <w:r>
        <w:t xml:space="preserve"> </w:t>
      </w:r>
      <w:r>
        <w:t xml:space="preserve">Held-out losses are averaged over several independent draws of the flow time and</w:t>
      </w:r>
      <w:r>
        <w:t xml:space="preserve"> </w:t>
      </w:r>
      <w:r>
        <w:t xml:space="preserve">prior at a fixed seed, so that the untrained and trained measurements are taken</w:t>
      </w:r>
      <w:r>
        <w:t xml:space="preserve"> </w:t>
      </w:r>
      <w:r>
        <w:t xml:space="preserve">under identical random conditions and their difference reflects learning rather</w:t>
      </w:r>
      <w:r>
        <w:t xml:space="preserve"> </w:t>
      </w:r>
      <w:r>
        <w:t xml:space="preserve">than sampling noise. The baseline relative run uses the default network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=</m:t>
        </m:r>
        <m:r>
          <m:t>128</m:t>
        </m:r>
      </m:oMath>
      <w:r>
        <w:t xml:space="preserve">, four attention layers, four encoder layers) for</w:t>
      </w:r>
      <w:r>
        <w:t xml:space="preserve"> </w:t>
      </w:r>
      <m:oMath>
        <m:r>
          <m:t>800</m:t>
        </m:r>
      </m:oMath>
      <w:r>
        <w:t xml:space="preserve"> </w:t>
      </w:r>
      <w:r>
        <w:t xml:space="preserve">steps; the</w:t>
      </w:r>
      <w:r>
        <w:t xml:space="preserve"> </w:t>
      </w:r>
      <w:r>
        <w:t xml:space="preserve">capacity run widens the model to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with six attention and five encoder</w:t>
      </w:r>
      <w:r>
        <w:t xml:space="preserve"> </w:t>
      </w:r>
      <w:r>
        <w:t xml:space="preserve">layers and trains for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steps. A non-finite-step guard skips any</w:t>
      </w:r>
      <w:r>
        <w:t xml:space="preserve"> </w:t>
      </w:r>
      <w:r>
        <w:t xml:space="preserve">optimizer update whose loss or gradient norm is not finite, so a transient</w:t>
      </w:r>
      <w:r>
        <w:t xml:space="preserve"> </w:t>
      </w:r>
      <w:r>
        <w:t xml:space="preserve">ill-conditioned batch in the higher-capacity model cannot corrupt the weights;</w:t>
      </w:r>
      <w:r>
        <w:t xml:space="preserve"> </w:t>
      </w:r>
      <w:r>
        <w:t xml:space="preserve">the run reported here skipped a single step.</w:t>
      </w:r>
    </w:p>
    <w:bookmarkEnd w:id="35"/>
    <w:bookmarkStart w:id="36" w:name="Xf804d9ec23f9816c375c9bf696810bbfe4b176b"/>
    <w:p>
      <w:pPr>
        <w:pStyle w:val="Heading2"/>
      </w:pPr>
      <w:r>
        <w:t xml:space="preserve">Species-grouped split and all-atom baseline</w:t>
      </w:r>
    </w:p>
    <w:p>
      <w:pPr>
        <w:pStyle w:val="FirstParagraph"/>
      </w:pPr>
      <w:r>
        <w:t xml:space="preserve">The species-grouped split guards against leakage from the shared conformer</w:t>
      </w:r>
      <w:r>
        <w:t xml:space="preserve"> </w:t>
      </w:r>
      <w:r>
        <w:t xml:space="preserve">registry. We build an undirected graph whose nodes are crystals and whose edges</w:t>
      </w:r>
      <w:r>
        <w:t xml:space="preserve"> </w:t>
      </w:r>
      <w:r>
        <w:t xml:space="preserve">join any two crystals that share a chemical species, take its connected</w:t>
      </w:r>
      <w:r>
        <w:t xml:space="preserve"> </w:t>
      </w:r>
      <w:r>
        <w:t xml:space="preserve">components by union–find, and assign whole components to training or validation,</w:t>
      </w:r>
      <w:r>
        <w:t xml:space="preserve"> </w:t>
      </w:r>
      <w:r>
        <w:t xml:space="preserve">so no species appears on both sides. The relative-orientation diagnostic is then</w:t>
      </w:r>
      <w:r>
        <w:t xml:space="preserve"> </w:t>
      </w:r>
      <w:r>
        <w:t xml:space="preserve">rerun over three split seeds at the default network and batch size and compared to</w:t>
      </w:r>
      <w:r>
        <w:t xml:space="preserve"> </w:t>
      </w:r>
      <w:r>
        <w:t xml:space="preserve">the random-split result. The all-atom baseline replaces the rigid-body</w:t>
      </w:r>
      <w:r>
        <w:t xml:space="preserve"> </w:t>
      </w:r>
      <w:r>
        <w:t xml:space="preserve">factorization with one block per atom and disables the orientation head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orient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matching the all-atom representation; it is trained</w:t>
      </w:r>
      <w:r>
        <w:t xml:space="preserve"> </w:t>
      </w:r>
      <w:r>
        <w:t xml:space="preserve">on the same corpus and split and evaluated for de-novo reconstruction against both</w:t>
      </w:r>
      <w:r>
        <w:t xml:space="preserve"> </w:t>
      </w:r>
      <w:r>
        <w:t xml:space="preserve">its random-prior floor and the trained field.</w:t>
      </w:r>
    </w:p>
    <w:bookmarkEnd w:id="36"/>
    <w:bookmarkStart w:id="37" w:name="orientation-isolated-match-metric"/>
    <w:p>
      <w:pPr>
        <w:pStyle w:val="Heading2"/>
      </w:pPr>
      <w:r>
        <w:t xml:space="preserve">Orientation-isolated match metric</w:t>
      </w:r>
    </w:p>
    <w:p>
      <w:pPr>
        <w:pStyle w:val="FirstParagraph"/>
      </w:pPr>
      <w:r>
        <w:t xml:space="preserve">Reconstruction holds the true lattice, centroid, and conformer fixed and</w:t>
      </w:r>
      <w:r>
        <w:t xml:space="preserve"> </w:t>
      </w:r>
      <w:r>
        <w:t xml:space="preserve">integrates only the orientation field from a random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prior under</w:t>
      </w:r>
      <w:r>
        <w:t xml:space="preserve"> </w:t>
      </w:r>
      <w:r>
        <w:t xml:space="preserve">clean-packing conditioning. Reconstructed crystals are built with</w:t>
      </w:r>
      <w:r>
        <w:t xml:space="preserve"> </w:t>
      </w:r>
      <w:r>
        <w:t xml:space="preserve">Eq. </w:t>
      </w:r>
      <w:hyperlink w:anchor="eq:factor">
        <w:r>
          <w:rPr>
            <w:rStyle w:val="Hyperlink"/>
          </w:rPr>
          <w:t xml:space="preserve">[eq:factor]</w:t>
        </w:r>
      </w:hyperlink>
      <w:r>
        <w:t xml:space="preserve"> </w:t>
      </w:r>
      <w:r>
        <w:t xml:space="preserve">and compared to the ground truth with</w:t>
      </w:r>
      <w:r>
        <w:t xml:space="preserve"> </w:t>
      </w:r>
      <w:r>
        <w:t xml:space="preserve">StructureMatcher</w:t>
      </w:r>
      <w:r>
        <w:t xml:space="preserve"> </w:t>
      </w:r>
      <w:r>
        <w:t xml:space="preserve">using a length tolerance of</w:t>
      </w:r>
      <w:r>
        <w:t xml:space="preserve"> </w:t>
      </w:r>
      <m:oMath>
        <m:r>
          <m:t>0.3</m:t>
        </m:r>
      </m:oMath>
      <w:r>
        <w:t xml:space="preserve">, a site</w:t>
      </w:r>
      <w:r>
        <w:t xml:space="preserve"> </w:t>
      </w:r>
      <w:r>
        <w:t xml:space="preserve">tolerance of</w:t>
      </w:r>
      <w:r>
        <w:t xml:space="preserve"> </w:t>
      </w:r>
      <m:oMath>
        <m:r>
          <m:t>0.5</m:t>
        </m:r>
      </m:oMath>
      <w:r>
        <w:t xml:space="preserve">, and an angle tolerance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slightly looser than</w:t>
      </w:r>
      <w:r>
        <w:t xml:space="preserve"> </w:t>
      </w:r>
      <w:r>
        <w:t xml:space="preserve">the pymatgen defaults to accommodate the rebuilt cells. The oracle row, which</w:t>
      </w:r>
      <w:r>
        <w:t xml:space="preserve"> </w:t>
      </w:r>
      <w:r>
        <w:t xml:space="preserve">reconstructs every structure at these tolerances, confirms they are not so loose</w:t>
      </w:r>
      <w:r>
        <w:t xml:space="preserve"> </w:t>
      </w:r>
      <w:r>
        <w:t xml:space="preserve">as to admit spurious matches. For each crystal we draw eight orientation samples</w:t>
      </w:r>
      <w:r>
        <w:t xml:space="preserve"> </w:t>
      </w:r>
      <w:r>
        <w:t xml:space="preserve">and count a match if any draw matches; we also report the minimum mean geodesic</w:t>
      </w:r>
      <w:r>
        <w:t xml:space="preserve"> </w:t>
      </w:r>
      <w:r>
        <w:t xml:space="preserve">error over draws on non-reference copies. Reported match rates carry a binomial</w:t>
      </w:r>
      <w:r>
        <w:t xml:space="preserve"> </w:t>
      </w:r>
      <w:r>
        <w:t xml:space="preserve">(Wilson)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of approximately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</m:oMath>
      <w:r>
        <w:t xml:space="preserve"> </w:t>
      </w:r>
      <w:r>
        <w:t xml:space="preserve">percentage points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.</w:t>
      </w:r>
    </w:p>
    <w:bookmarkEnd w:id="37"/>
    <w:bookmarkStart w:id="38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The corpus is a seeded random sample of the CSD (database version 601, accessed</w:t>
      </w:r>
      <w:r>
        <w:t xml:space="preserve"> </w:t>
      </w:r>
      <w:r>
        <w:t xml:space="preserve">via the CSD Python API)</w:t>
      </w:r>
      <w:r>
        <w:t xml:space="preserve"> </w:t>
      </w:r>
      <w:r>
        <w:t xml:space="preserve">filtered to ordered, organic,</w:t>
      </w:r>
      <w:r>
        <w:t xml:space="preserve"> </w:t>
      </w:r>
      <w:r>
        <w:t xml:space="preserve">three-dimensional, non-polymeric molecular crystals within size and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bounds, yielding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127</m:t>
        </m:r>
      </m:oMath>
      <w:r>
        <w:t xml:space="preserve"> </w:t>
      </w:r>
      <w:r>
        <w:t xml:space="preserve">crystals and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048</m:t>
        </m:r>
      </m:oMath>
      <w:r>
        <w:t xml:space="preserve"> </w:t>
      </w:r>
      <w:r>
        <w:t xml:space="preserve">rigid blocks from</w:t>
      </w:r>
      <w:r>
        <w:t xml:space="preserve"> </w:t>
      </w:r>
      <m:oMath>
        <m:r>
          <m:t>14</m:t>
        </m:r>
        <m:r>
          <m:rPr>
            <m:sty m:val="p"/>
          </m:rPr>
          <m:t>,</m:t>
        </m:r>
        <m:r>
          <m:t>874</m:t>
        </m:r>
      </m:oMath>
      <w:r>
        <w:t xml:space="preserve"> </w:t>
      </w:r>
      <w:r>
        <w:t xml:space="preserve">scanned entries;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095</m:t>
        </m:r>
      </m:oMath>
      <w:r>
        <w:t xml:space="preserve"> </w:t>
      </w:r>
      <w:r>
        <w:t xml:space="preserve">contain at least two copies of a species</w:t>
      </w:r>
      <w:r>
        <w:t xml:space="preserve"> </w:t>
      </w:r>
      <w:r>
        <w:t xml:space="preserve">and define the multi-copy subset used for the relative and coset analyses. The</w:t>
      </w:r>
      <w:r>
        <w:t xml:space="preserve"> </w:t>
      </w:r>
      <w:r>
        <w:t xml:space="preserve">species multiplicities of that subset are concentrated at two and four copies</w:t>
      </w:r>
      <w:r>
        <w:t xml:space="preserve"> </w:t>
      </w:r>
      <w:r>
        <w:t xml:space="preserve">per cell, with smaller populations at three, six, eight, twelve, and sixteen,</w:t>
      </w:r>
      <w:r>
        <w:t xml:space="preserve"> </w:t>
      </w:r>
      <w:r>
        <w:t xml:space="preserve">reflecting the general-position multiplicities of the common organic space</w:t>
      </w:r>
      <w:r>
        <w:t xml:space="preserve"> </w:t>
      </w:r>
      <w:r>
        <w:t xml:space="preserve">groups. A fixed seed gives a</w:t>
      </w:r>
      <w:r>
        <w:t xml:space="preserve"> </w:t>
      </w:r>
      <m:oMath>
        <m:r>
          <m:t>964</m:t>
        </m:r>
        <m:r>
          <m:rPr>
            <m:sty m:val="p"/>
          </m:rPr>
          <m:t>/</m:t>
        </m:r>
        <m:r>
          <m:t>131</m:t>
        </m:r>
      </m:oMath>
      <w:r>
        <w:t xml:space="preserve"> </w:t>
      </w:r>
      <w:r>
        <w:t xml:space="preserve">train/validation split, used identically</w:t>
      </w:r>
      <w:r>
        <w:t xml:space="preserve"> </w:t>
      </w:r>
      <w:r>
        <w:t xml:space="preserve">across every diagnostic so that comparisons are paired. CSD structures are not</w:t>
      </w:r>
      <w:r>
        <w:t xml:space="preserve"> </w:t>
      </w:r>
      <w:r>
        <w:t xml:space="preserve">redistributable; a refcode manifest and the export and analysis code reproduce</w:t>
      </w:r>
      <w:r>
        <w:t xml:space="preserve"> </w:t>
      </w:r>
      <w:r>
        <w:t xml:space="preserve">the dataset from a licensed CSD installation.</w:t>
      </w:r>
    </w:p>
    <w:bookmarkEnd w:id="38"/>
    <w:bookmarkEnd w:id="39"/>
    <w:bookmarkStart w:id="40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CSD entries used cannot be redistributed under the CSD licence. A manifest</w:t>
      </w:r>
      <w:r>
        <w:t xml:space="preserve"> </w:t>
      </w:r>
      <w:r>
        <w:t xml:space="preserve">of refcodes and all derived, non-redistributable quantities required to</w:t>
      </w:r>
      <w:r>
        <w:t xml:space="preserve"> </w:t>
      </w:r>
      <w:r>
        <w:t xml:space="preserve">reproduce the analyses are available from the author on request, and the dataset</w:t>
      </w:r>
      <w:r>
        <w:t xml:space="preserve"> </w:t>
      </w:r>
      <w:r>
        <w:t xml:space="preserve">can be regenerated from the manifest with the released code against a licensed</w:t>
      </w:r>
      <w:r>
        <w:t xml:space="preserve"> </w:t>
      </w:r>
      <w:r>
        <w:t xml:space="preserve">CSD installation.</w:t>
      </w:r>
    </w:p>
    <w:bookmarkEnd w:id="40"/>
    <w:bookmarkStart w:id="43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The SymMC-Flow implementation, the export and factorization pipeline, and the</w:t>
      </w:r>
      <w:r>
        <w:t xml:space="preserve"> </w:t>
      </w:r>
      <w:r>
        <w:t xml:space="preserve">diagnostic and evaluation scripts are available at</w:t>
      </w:r>
      <w:r>
        <w:t xml:space="preserve"> </w:t>
      </w:r>
      <w:hyperlink r:id="rId41">
        <w:r>
          <w:rPr>
            <w:rStyle w:val="Hyperlink"/>
          </w:rPr>
          <w:t xml:space="preserve">https://github.com/fronkt/symmc-flow</w:t>
        </w:r>
      </w:hyperlink>
      <w:r>
        <w:t xml:space="preserve"> </w:t>
      </w:r>
      <w:r>
        <w:t xml:space="preserve">and archived at</w:t>
      </w:r>
      <w:r>
        <w:t xml:space="preserve"> </w:t>
      </w:r>
      <w:hyperlink r:id="rId42">
        <w:r>
          <w:rPr>
            <w:rStyle w:val="Hyperlink"/>
          </w:rPr>
          <w:t xml:space="preserve">https://doi.org/10.5281/zenodo.20822235</w:t>
        </w:r>
      </w:hyperlink>
      <w:r>
        <w:t xml:space="preserve">.</w:t>
      </w:r>
    </w:p>
    <w:bookmarkEnd w:id="43"/>
    <w:bookmarkStart w:id="44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F.C. conceived the study, implemented the method and experiments, performed the</w:t>
      </w:r>
      <w:r>
        <w:t xml:space="preserve"> </w:t>
      </w:r>
      <w:r>
        <w:t xml:space="preserve">analysis, and wrote the manuscript.</w:t>
      </w:r>
    </w:p>
    <w:bookmarkEnd w:id="44"/>
    <w:bookmarkStart w:id="45" w:name="conflicts-of-interest"/>
    <w:p>
      <w:pPr>
        <w:pStyle w:val="Heading1"/>
      </w:pPr>
      <w:r>
        <w:t xml:space="preserve">Conflicts of interest</w:t>
      </w:r>
    </w:p>
    <w:p>
      <w:pPr>
        <w:pStyle w:val="FirstParagraph"/>
      </w:pPr>
      <w:r>
        <w:t xml:space="preserve">The author declares no conflicts of interest.</w:t>
      </w:r>
    </w:p>
    <w:bookmarkEnd w:id="45"/>
    <w:bookmarkStart w:id="46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work received no external funding or grant support. Any cloud compute used</w:t>
      </w:r>
      <w:r>
        <w:t xml:space="preserve"> </w:t>
      </w:r>
      <w:r>
        <w:t xml:space="preserve">for model training was funded personally by the author.</w:t>
      </w:r>
    </w:p>
    <w:bookmarkEnd w:id="46"/>
    <w:bookmarkStart w:id="47" w:name="use-of-ai-tools"/>
    <w:p>
      <w:pPr>
        <w:pStyle w:val="Heading1"/>
      </w:pPr>
      <w:r>
        <w:t xml:space="preserve">Use of AI tools</w:t>
      </w:r>
    </w:p>
    <w:p>
      <w:pPr>
        <w:pStyle w:val="FirstParagraph"/>
      </w:pPr>
      <w:r>
        <w:t xml:space="preserve">The author used an AI coding and writing assistant to support software</w:t>
      </w:r>
      <w:r>
        <w:t xml:space="preserve"> </w:t>
      </w:r>
      <w:r>
        <w:t xml:space="preserve">development and manuscript drafting. All scientific claims, results, and the</w:t>
      </w:r>
      <w:r>
        <w:t xml:space="preserve"> </w:t>
      </w:r>
      <w:r>
        <w:t xml:space="preserve">final text were verified by the author, who takes full responsibility for the</w:t>
      </w:r>
      <w:r>
        <w:t xml:space="preserve"> </w:t>
      </w:r>
      <w:r>
        <w:t xml:space="preserve">content.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frankyc11223@gmail.com</w:t>
      </w:r>
      <w:r>
        <w:t xml:space="preserve">;</w:t>
      </w:r>
      <w:r>
        <w:t xml:space="preserve"> </w:t>
      </w:r>
      <w:r>
        <w:t xml:space="preserve">ORCID</w:t>
      </w:r>
      <w:r>
        <w:t xml:space="preserve"> </w:t>
      </w:r>
      <w:hyperlink r:id="rId10">
        <w:r>
          <w:rPr>
            <w:rStyle w:val="Hyperlink"/>
          </w:rPr>
          <w:t xml:space="preserve">0009-0003-0041-1459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df" /><Relationship Type="http://schemas.openxmlformats.org/officeDocument/2006/relationships/hyperlink" Id="rId42" Target="https://doi.org/10.5281/zenodo.20822235" TargetMode="External" /><Relationship Type="http://schemas.openxmlformats.org/officeDocument/2006/relationships/hyperlink" Id="rId41" Target="https://github.com/fronkt/symmc-flow" TargetMode="External" /><Relationship Type="http://schemas.openxmlformats.org/officeDocument/2006/relationships/hyperlink" Id="rId10" Target="https://orcid.org/0009-0003-0041-145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doi.org/10.5281/zenodo.20822235" TargetMode="External" /><Relationship Type="http://schemas.openxmlformats.org/officeDocument/2006/relationships/hyperlink" Id="rId41" Target="https://github.com/fronkt/symmc-flow" TargetMode="External" /><Relationship Type="http://schemas.openxmlformats.org/officeDocument/2006/relationships/hyperlink" Id="rId10" Target="https://orcid.org/0009-0003-0041-14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an SO(3) orientation flow can and cannot learn in molecular-crystal structure prediction</dc:title>
  <dc:creator>Frank Cai</dc:creator>
  <cp:keywords/>
  <dcterms:created xsi:type="dcterms:W3CDTF">2026-07-08T03:57:07Z</dcterms:created>
  <dcterms:modified xsi:type="dcterms:W3CDTF">2026-07-08T03:57:07Z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Rigid-body factorization is an appealing route to molecular-crystal structure prediction: freezing each molecule’s conformer reduces a crystal to a lattice, a set of fractional centroids on the torus \mathbb{T}^3, and a per-molecule orientation on \mathrm{SO}(3). Whether the orientation field is actually learnable on real molecular crystals has not been examined. We introduce SymMC-Flow, a space-group-conditioned rigid-body flow on \text{lattice}\times\mathbb{T}^3\times\mathrm{SO}(3), used as a diagnostic study on 1{,}127 crystals from the Cambridge Structural Database. The lattice and centroid flows learn normally, but the absolute per-molecule orientation flow remains at its predict-zero floor. We trace this to a decomposition of the orientation target, R_m = \mathrm{rot}(g_m)\cdot R_{\text{asym}}, into a space-group-determined relative rotation between symmetry copies and the asymmetric unit’s gauge-arbitrary free orientation, which is not learnable from composition and packing; the relative part is. Re-gauging to cancel the free part lifts held-out non-reference orientation loss by 27\% (versus \sim\!0\% for the absolute target) and reconstructs 13.7\% (mean over three seeds) of held-out multi-copy packings exactly under StructureMatcher, against 0\% for the predict-floor baseline. Conditioning on a discrete space-group coset identity raises the learnable signal to roughly 48\% (three-seed mean), showing the residual ceiling is set by the difficulty of inferring the symmetry operation from packing rather than by network capacity. End-to-end joint generation does not yet reconstruct packings exactly, placing this as a characterization rather than a finished generator. The result maps what a rigid-body \mathrm{SO}(3) flow can and cannot contribute to molecular-crystal generation, and suggests such generators should condition on crystal symmetry for the relative orientation and sample, rather than regress, the remaining free pose.</vt:lpwstr>
  </property>
  <property fmtid="{D5CDD505-2E9C-101B-9397-08002B2CF9AE}" pid="3" name="bibliography">
    <vt:lpwstr>references.bib</vt:lpwstr>
  </property>
  <property fmtid="{D5CDD505-2E9C-101B-9397-08002B2CF9AE}" pid="4" name="csl">
    <vt:lpwstr>rsc.csl</vt:lpwstr>
  </property>
  <property fmtid="{D5CDD505-2E9C-101B-9397-08002B2CF9AE}" pid="5" name="date">
    <vt:lpwstr/>
  </property>
</Properties>
</file>