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Classical profile matching is the bar for learned powder-diffraction retrieval: a real organic benchmark against 309,080 CSD entries</w:t>
      </w:r>
    </w:p>
    <w:p>
      <w:pPr>
        <w:pStyle w:val="FirstParagraph"/>
      </w:pPr>
      <w:r>
        <w:t xml:space="preserve">Frank Cai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Purdue University, West Lafayette, Indiana, USA. E-mail: cai485@purdue.edu. ORCID: 0009-0003-0041-1459</w:t>
      </w:r>
      <w:r>
        <w:t xml:space="preserve"> 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Contrastive models embedding powder X-ray diffraction (PXRD) patterns and crystal structures in a shared</w:t>
      </w:r>
      <w:r>
        <w:t xml:space="preserve"> </w:t>
      </w:r>
      <w:r>
        <w:t xml:space="preserve">space have been proposed for structure retrieval, but are mostly tested on simulated queries against</w:t>
      </w:r>
      <w:r>
        <w:t xml:space="preserve"> </w:t>
      </w:r>
      <w:r>
        <w:t xml:space="preserve">baselines that cannot absorb a peak shift. We test one such model, trained on 247,089 molecular crystals</w:t>
      </w:r>
      <w:r>
        <w:t xml:space="preserve"> </w:t>
      </w:r>
      <w:r>
        <w:t xml:space="preserve">from the Cambridge Structural Database (CSD), against classical profile matching on 188 measured patterns of</w:t>
      </w:r>
      <w:r>
        <w:t xml:space="preserve"> </w:t>
      </w:r>
      <w:r>
        <w:t xml:space="preserve">123 organic compounds from the open opXRD database. Correct answers are fixed by packing similarity, and</w:t>
      </w:r>
      <w:r>
        <w:t xml:space="preserve"> </w:t>
      </w:r>
      <w:r>
        <w:t xml:space="preserve">every pattern is ranked against 309,080 simulated CSD entries. When the answer must be an independent</w:t>
      </w:r>
      <w:r>
        <w:t xml:space="preserve"> </w:t>
      </w:r>
      <w:r>
        <w:t xml:space="preserve">single-crystal determination, the realistic case, the classical scores reach a compound-weighted top-1 of</w:t>
      </w:r>
      <w:r>
        <w:t xml:space="preserve"> </w:t>
      </w:r>
      <w:r>
        <w:t xml:space="preserve">0.30–0.50 (30 compounds) and the model 0.00; a variable-cell re-rank (VC-GPWDF) reaches 0.50, not resolved</w:t>
      </w:r>
      <w:r>
        <w:t xml:space="preserve"> </w:t>
      </w:r>
      <w:r>
        <w:t xml:space="preserve">from the ln q scan it re-ranks (0.45). When the pattern’s own powder-study entry also counts, the classical</w:t>
      </w:r>
      <w:r>
        <w:t xml:space="preserve"> </w:t>
      </w:r>
      <w:r>
        <w:t xml:space="preserve">scores reach 0.71–0.87 and the model 0.02. Yet on clean simulated patterns of the same</w:t>
      </w:r>
      <w:r>
        <w:t xml:space="preserve"> </w:t>
      </w:r>
      <w:r>
        <w:t xml:space="preserve">targets its top-1 is 0.21 and its median rank 5. Retrained with the measurement effects we could simulate,</w:t>
      </w:r>
      <w:r>
        <w:t xml:space="preserve"> </w:t>
      </w:r>
      <w:r>
        <w:t xml:space="preserve">it handles them in simulation but stays at 0.02 on measured patterns, so the gap lies in effects we did not</w:t>
      </w:r>
      <w:r>
        <w:t xml:space="preserve"> </w:t>
      </w:r>
      <w:r>
        <w:t xml:space="preserve">model. In 34 simulated degradation conditions, each of the shift-tolerant classical scores beats it in at</w:t>
      </w:r>
      <w:r>
        <w:t xml:space="preserve"> </w:t>
      </w:r>
      <w:r>
        <w:t xml:space="preserve">least 32. A more realistic library, a hubness correction (CSLS, +0.01 to +0.04, indistinguishable from</w:t>
      </w:r>
      <w:r>
        <w:t xml:space="preserve"> </w:t>
      </w:r>
      <w:r>
        <w:t xml:space="preserve">zero) and an open replica on the Crystallography Open Database change none of this. We release the</w:t>
      </w:r>
      <w:r>
        <w:t xml:space="preserve"> </w:t>
      </w:r>
      <w:r>
        <w:t xml:space="preserve">benchmark as code, refcode lists and the open replica.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Powder X-ray diffraction is the routine way to identify which crystalline phase, and for molecular</w:t>
      </w:r>
      <w:r>
        <w:t xml:space="preserve"> </w:t>
      </w:r>
      <w:r>
        <w:t xml:space="preserve">materials which polymorph, a sample contains. The standard approach is search–match: the measured pattern</w:t>
      </w:r>
      <w:r>
        <w:t xml:space="preserve"> </w:t>
      </w:r>
      <w:r>
        <w:t xml:space="preserve">is compared with reference patterns, measured or simulated, from a database such as the Powder Diffraction</w:t>
      </w:r>
      <w:r>
        <w:t xml:space="preserve"> </w:t>
      </w:r>
      <w:r>
        <w:t xml:space="preserve">File</w:t>
      </w:r>
      <w:hyperlink w:anchor="ref-gatesrector2019pdf">
        <w:r>
          <w:rPr>
            <w:rStyle w:val="Hyperlink"/>
            <w:vertAlign w:val="superscript"/>
          </w:rPr>
          <w:t xml:space="preserve">1</w:t>
        </w:r>
      </w:hyperlink>
      <w:r>
        <w:t xml:space="preserve"> </w:t>
      </w:r>
      <w:r>
        <w:t xml:space="preserve">or the Cambridge Structural Database (CSD)</w:t>
      </w:r>
      <w:hyperlink w:anchor="ref-groom2016csd">
        <w:r>
          <w:rPr>
            <w:rStyle w:val="Hyperlink"/>
            <w:vertAlign w:val="superscript"/>
          </w:rPr>
          <w:t xml:space="preserve">2</w:t>
        </w:r>
      </w:hyperlink>
      <w:r>
        <w:t xml:space="preserve">. For organic</w:t>
      </w:r>
      <w:r>
        <w:t xml:space="preserve"> </w:t>
      </w:r>
      <w:r>
        <w:t xml:space="preserve">crystals the polymorph matters as much as the compound: one in three compounds in the CSD is polymorphic,</w:t>
      </w:r>
      <w:r>
        <w:t xml:space="preserve"> </w:t>
      </w:r>
      <w:r>
        <w:t xml:space="preserve">and the appearance of a new, much less soluble form once threatened the supply of a marketed drug</w:t>
      </w:r>
      <w:hyperlink w:anchor="ref-bauer2001ritonavir">
        <w:r>
          <w:rPr>
            <w:rStyle w:val="Hyperlink"/>
            <w:vertAlign w:val="superscript"/>
          </w:rPr>
          <w:t xml:space="preserve">3</w:t>
        </w:r>
      </w:hyperlink>
      <w:r>
        <w:rPr>
          <w:vertAlign w:val="superscript"/>
        </w:rPr>
        <w:t xml:space="preserve">,</w:t>
      </w:r>
      <w:hyperlink w:anchor="ref-cruzcabeza2015polymorph">
        <w:r>
          <w:rPr>
            <w:rStyle w:val="Hyperlink"/>
            <w:vertAlign w:val="superscript"/>
          </w:rPr>
          <w:t xml:space="preserve">4</w:t>
        </w:r>
      </w:hyperlink>
      <w:r>
        <w:t xml:space="preserve">.</w:t>
      </w:r>
    </w:p>
    <w:p>
      <w:pPr>
        <w:pStyle w:val="BodyText"/>
      </w:pPr>
      <w:r>
        <w:t xml:space="preserve">Machine learning offers another route. Contrastive models train a pattern encoder and a structure encoder so</w:t>
      </w:r>
      <w:r>
        <w:t xml:space="preserve"> </w:t>
      </w:r>
      <w:r>
        <w:t xml:space="preserve">that a pattern lands near the structure that produced it; retrieval is then a nearest-neighbour search</w:t>
      </w:r>
      <w:hyperlink w:anchor="ref-lai2025xtalnet">
        <w:r>
          <w:rPr>
            <w:rStyle w:val="Hyperlink"/>
            <w:vertAlign w:val="superscript"/>
          </w:rPr>
          <w:t xml:space="preserve">5</w:t>
        </w:r>
      </w:hyperlink>
      <w:r>
        <w:rPr>
          <w:vertAlign w:val="superscript"/>
        </w:rPr>
        <w:t xml:space="preserve">–</w:t>
      </w:r>
      <w:hyperlink w:anchor="ref-yang2026pxtal">
        <w:r>
          <w:rPr>
            <w:rStyle w:val="Hyperlink"/>
            <w:vertAlign w:val="superscript"/>
          </w:rPr>
          <w:t xml:space="preserve">7</w:t>
        </w:r>
      </w:hyperlink>
      <w:r>
        <w:t xml:space="preserve">. Generative models build the structure from the pattern</w:t>
      </w:r>
      <w:hyperlink w:anchor="ref-johansen2026decifer">
        <w:r>
          <w:rPr>
            <w:rStyle w:val="Hyperlink"/>
            <w:vertAlign w:val="superscript"/>
          </w:rPr>
          <w:t xml:space="preserve">8</w:t>
        </w:r>
      </w:hyperlink>
      <w:r>
        <w:rPr>
          <w:vertAlign w:val="superscript"/>
        </w:rPr>
        <w:t xml:space="preserve">,</w:t>
      </w:r>
      <w:hyperlink w:anchor="ref-segal2026xrdiff">
        <w:r>
          <w:rPr>
            <w:rStyle w:val="Hyperlink"/>
            <w:vertAlign w:val="superscript"/>
          </w:rPr>
          <w:t xml:space="preserve">9</w:t>
        </w:r>
      </w:hyperlink>
      <w:r>
        <w:t xml:space="preserve">. These models are trained on simulated patterns, mostly of</w:t>
      </w:r>
      <w:r>
        <w:t xml:space="preserve"> </w:t>
      </w:r>
      <w:r>
        <w:t xml:space="preserve">inorganic or framework materials, and evaluated mostly on simulated patterns. Tests on measured data are</w:t>
      </w:r>
      <w:r>
        <w:t xml:space="preserve"> </w:t>
      </w:r>
      <w:r>
        <w:t xml:space="preserve">recent and limited: two framework case studies</w:t>
      </w:r>
      <w:hyperlink w:anchor="ref-lai2025xtalnet">
        <w:r>
          <w:rPr>
            <w:rStyle w:val="Hyperlink"/>
            <w:vertAlign w:val="superscript"/>
          </w:rPr>
          <w:t xml:space="preserve">5</w:t>
        </w:r>
      </w:hyperlink>
      <w:r>
        <w:t xml:space="preserve">, a zero-shot test on 773 inorganic opXRD</w:t>
      </w:r>
      <w:r>
        <w:t xml:space="preserve"> </w:t>
      </w:r>
      <w:r>
        <w:t xml:space="preserve">patterns</w:t>
      </w:r>
      <w:hyperlink w:anchor="ref-xu2026xccp">
        <w:r>
          <w:rPr>
            <w:rStyle w:val="Hyperlink"/>
            <w:vertAlign w:val="superscript"/>
          </w:rPr>
          <w:t xml:space="preserve">6</w:t>
        </w:r>
      </w:hyperlink>
      <w:r>
        <w:t xml:space="preserve">, and four inorganic samples for a generative model</w:t>
      </w:r>
      <w:hyperlink w:anchor="ref-johansen2026realworld">
        <w:r>
          <w:rPr>
            <w:rStyle w:val="Hyperlink"/>
            <w:vertAlign w:val="superscript"/>
          </w:rPr>
          <w:t xml:space="preserve">10</w:t>
        </w:r>
      </w:hyperlink>
      <w:r>
        <w:t xml:space="preserve">.</w:t>
      </w:r>
      <w:r>
        <w:t xml:space="preserve"> </w:t>
      </w:r>
      <w:r>
        <w:t xml:space="preserve">Where learned and simple methods have been compared on measured patterns, the simple ones have held up. On</w:t>
      </w:r>
      <w:r>
        <w:t xml:space="preserve"> </w:t>
      </w:r>
      <w:r>
        <w:t xml:space="preserve">measured patterns that are mostly minerals and inorganic or hybrid entries, with a minority of molecular</w:t>
      </w:r>
      <w:r>
        <w:t xml:space="preserve"> </w:t>
      </w:r>
      <w:r>
        <w:t xml:space="preserve">crystals, a model-free correlation reached 82.8 % recall@10 against 34.4 % for a contrastive model trained</w:t>
      </w:r>
      <w:r>
        <w:t xml:space="preserve"> </w:t>
      </w:r>
      <w:r>
        <w:t xml:space="preserve">on simulated patterns with corruption augmentation</w:t>
      </w:r>
      <w:hyperlink w:anchor="ref-srivastava2026realbind">
        <w:r>
          <w:rPr>
            <w:rStyle w:val="Hyperlink"/>
            <w:vertAlign w:val="superscript"/>
          </w:rPr>
          <w:t xml:space="preserve">11</w:t>
        </w:r>
      </w:hyperlink>
      <w:r>
        <w:t xml:space="preserve">. On experimental patterns of</w:t>
      </w:r>
      <w:r>
        <w:t xml:space="preserve"> </w:t>
      </w:r>
      <w:r>
        <w:t xml:space="preserve">pharmaceutical solid forms, de Gelder’s weighted cross-correlation gave a better accuracy and F1 score than</w:t>
      </w:r>
      <w:r>
        <w:t xml:space="preserve"> </w:t>
      </w:r>
      <w:r>
        <w:t xml:space="preserve">a Siamese network, which won on ranking metrics</w:t>
      </w:r>
      <w:hyperlink w:anchor="ref-lange2024smolnet">
        <w:r>
          <w:rPr>
            <w:rStyle w:val="Hyperlink"/>
            <w:vertAlign w:val="superscript"/>
          </w:rPr>
          <w:t xml:space="preserve">12</w:t>
        </w:r>
      </w:hyperlink>
      <w:r>
        <w:t xml:space="preserve">. A hand-crafted peak-feature index</w:t>
      </w:r>
      <w:r>
        <w:t xml:space="preserve"> </w:t>
      </w:r>
      <w:r>
        <w:t xml:space="preserve">outperformed element-constrained commercial search–match on measured mineral patterns, with different</w:t>
      </w:r>
      <w:r>
        <w:t xml:space="preserve"> </w:t>
      </w:r>
      <w:r>
        <w:t xml:space="preserve">reference libraries</w:t>
      </w:r>
      <w:hyperlink w:anchor="ref-wang2026matdiffract">
        <w:r>
          <w:rPr>
            <w:rStyle w:val="Hyperlink"/>
            <w:vertAlign w:val="superscript"/>
          </w:rPr>
          <w:t xml:space="preserve">13</w:t>
        </w:r>
      </w:hyperlink>
      <w:r>
        <w:t xml:space="preserve">, and a classifier trained on synthetic crystals lost much of its</w:t>
      </w:r>
      <w:r>
        <w:t xml:space="preserve"> </w:t>
      </w:r>
      <w:r>
        <w:t xml:space="preserve">accuracy on measured diffractograms</w:t>
      </w:r>
      <w:hyperlink w:anchor="ref-schopmans2023synthetic">
        <w:r>
          <w:rPr>
            <w:rStyle w:val="Hyperlink"/>
            <w:vertAlign w:val="superscript"/>
          </w:rPr>
          <w:t xml:space="preserve">14</w:t>
        </w:r>
      </w:hyperlink>
      <w:r>
        <w:t xml:space="preserve">. Other fields report similar results: simple</w:t>
      </w:r>
      <w:r>
        <w:t xml:space="preserve"> </w:t>
      </w:r>
      <w:r>
        <w:t xml:space="preserve">heuristics often outperformed six of the seven neural recommenders that could be reproduced</w:t>
      </w:r>
      <w:hyperlink w:anchor="ref-ferraridacrema2019progress">
        <w:r>
          <w:rPr>
            <w:rStyle w:val="Hyperlink"/>
            <w:vertAlign w:val="superscript"/>
          </w:rPr>
          <w:t xml:space="preserve">15</w:t>
        </w:r>
      </w:hyperlink>
      <w:r>
        <w:t xml:space="preserve">, fair comparison left little of the reported progress in deep metric</w:t>
      </w:r>
      <w:r>
        <w:t xml:space="preserve"> </w:t>
      </w:r>
      <w:r>
        <w:t xml:space="preserve">learning</w:t>
      </w:r>
      <w:hyperlink w:anchor="ref-musgrave2020reality">
        <w:r>
          <w:rPr>
            <w:rStyle w:val="Hyperlink"/>
            <w:vertAlign w:val="superscript"/>
          </w:rPr>
          <w:t xml:space="preserve">16</w:t>
        </w:r>
      </w:hyperlink>
      <w:r>
        <w:t xml:space="preserve">, and in a mass-spectrometry benchmark, ranking candidates by their</w:t>
      </w:r>
      <w:r>
        <w:t xml:space="preserve"> </w:t>
      </w:r>
      <w:r>
        <w:t xml:space="preserve">forward-simulated spectra exceeded the best spectrum-to-fingerprint retrieval model</w:t>
      </w:r>
      <w:hyperlink w:anchor="ref-bushuiev2024massspecgym">
        <w:r>
          <w:rPr>
            <w:rStyle w:val="Hyperlink"/>
            <w:vertAlign w:val="superscript"/>
          </w:rPr>
          <w:t xml:space="preserve">17</w:t>
        </w:r>
      </w:hyperlink>
      <w:r>
        <w:t xml:space="preserve">.</w:t>
      </w:r>
    </w:p>
    <w:p>
      <w:pPr>
        <w:pStyle w:val="BodyText"/>
      </w:pPr>
      <w:r>
        <w:t xml:space="preserve">We previously trained a contrastive model of this kind on molecular crystals from the CSD (xrd-clip)</w:t>
      </w:r>
      <w:hyperlink w:anchor="ref-cai2026urtc">
        <w:r>
          <w:rPr>
            <w:rStyle w:val="Hyperlink"/>
            <w:vertAlign w:val="superscript"/>
          </w:rPr>
          <w:t xml:space="preserve">18</w:t>
        </w:r>
      </w:hyperlink>
      <w:r>
        <w:t xml:space="preserve">. Within families of polymorphs it was more robust to a 2θ zero offset and to lattice strain</w:t>
      </w:r>
      <w:r>
        <w:t xml:space="preserve"> </w:t>
      </w:r>
      <w:r>
        <w:t xml:space="preserve">than fixed-grid Pearson correlation and a peak-list match. Neither of those baselines can absorb a peak</w:t>
      </w:r>
      <w:r>
        <w:t xml:space="preserve"> </w:t>
      </w:r>
      <w:r>
        <w:t xml:space="preserve">shift, so the comparison says little about the methods crystallographers use. A 2θ zero-offset scan, de</w:t>
      </w:r>
      <w:r>
        <w:t xml:space="preserve"> </w:t>
      </w:r>
      <w:r>
        <w:t xml:space="preserve">Gelder’s triangle-weighted cross-correlation</w:t>
      </w:r>
      <w:hyperlink w:anchor="ref-degelder2001wcc">
        <w:r>
          <w:rPr>
            <w:rStyle w:val="Hyperlink"/>
            <w:vertAlign w:val="superscript"/>
          </w:rPr>
          <w:t xml:space="preserve">19</w:t>
        </w:r>
      </w:hyperlink>
      <w:r>
        <w:t xml:space="preserve"> </w:t>
      </w:r>
      <w:r>
        <w:t xml:space="preserve">and a lag scan on a ln q axis each absorb a</w:t>
      </w:r>
      <w:r>
        <w:t xml:space="preserve"> </w:t>
      </w:r>
      <w:r>
        <w:t xml:space="preserve">shift or an isotropic strain at little cost, and variable-cell methods also absorb anisotropic strain</w:t>
      </w:r>
      <w:hyperlink w:anchor="ref-mayo2022vcpwdf">
        <w:r>
          <w:rPr>
            <w:rStyle w:val="Hyperlink"/>
            <w:vertAlign w:val="superscript"/>
          </w:rPr>
          <w:t xml:space="preserve">20</w:t>
        </w:r>
      </w:hyperlink>
      <w:r>
        <w:rPr>
          <w:vertAlign w:val="superscript"/>
        </w:rPr>
        <w:t xml:space="preserve">–</w:t>
      </w:r>
      <w:hyperlink w:anchor="ref-oterodelaroza2024vcgpwdf">
        <w:r>
          <w:rPr>
            <w:rStyle w:val="Hyperlink"/>
            <w:vertAlign w:val="superscript"/>
          </w:rPr>
          <w:t xml:space="preserve">22</w:t>
        </w:r>
      </w:hyperlink>
      <w:r>
        <w:t xml:space="preserve">.</w:t>
      </w:r>
    </w:p>
    <w:p>
      <w:pPr>
        <w:pStyle w:val="BodyText"/>
      </w:pPr>
      <w:r>
        <w:t xml:space="preserve">This paper asks whether our model beats these methods, first on simulated and then on measured patterns.</w:t>
      </w:r>
      <w:r>
        <w:t xml:space="preserve"> </w:t>
      </w:r>
      <w:r>
        <w:t xml:space="preserve">It does not, on either. We make five contributions.</w:t>
      </w:r>
    </w:p>
    <w:p>
      <w:pPr>
        <w:pStyle w:val="Compact"/>
        <w:numPr>
          <w:ilvl w:val="0"/>
          <w:numId w:val="1001"/>
        </w:numPr>
      </w:pPr>
      <w:r>
        <w:t xml:space="preserve">A simulated stress test of the model against shift-tolerant classical scores over 34 degradation</w:t>
      </w:r>
      <w:r>
        <w:t xml:space="preserve"> </w:t>
      </w:r>
      <w:r>
        <w:t xml:space="preserve">conditions (Section 4.1).</w:t>
      </w:r>
    </w:p>
    <w:p>
      <w:pPr>
        <w:pStyle w:val="Compact"/>
        <w:numPr>
          <w:ilvl w:val="0"/>
          <w:numId w:val="1001"/>
        </w:numPr>
      </w:pPr>
      <w:r>
        <w:t xml:space="preserve">A real benchmark for organic PXRD retrieval: 188 measured opXRD patterns</w:t>
      </w:r>
      <w:hyperlink w:anchor="ref-hollarek2025opxrd">
        <w:r>
          <w:rPr>
            <w:rStyle w:val="Hyperlink"/>
            <w:vertAlign w:val="superscript"/>
          </w:rPr>
          <w:t xml:space="preserve">23</w:t>
        </w:r>
      </w:hyperlink>
      <w:r>
        <w:t xml:space="preserve"> </w:t>
      </w:r>
      <w:r>
        <w:t xml:space="preserve">identified</w:t>
      </w:r>
      <w:r>
        <w:t xml:space="preserve"> </w:t>
      </w:r>
      <w:r>
        <w:t xml:space="preserve">in the CSD by packing similarity</w:t>
      </w:r>
      <w:hyperlink w:anchor="ref-chisholm2005compack">
        <w:r>
          <w:rPr>
            <w:rStyle w:val="Hyperlink"/>
            <w:vertAlign w:val="superscript"/>
          </w:rPr>
          <w:t xml:space="preserve">24</w:t>
        </w:r>
      </w:hyperlink>
      <w:r>
        <w:rPr>
          <w:vertAlign w:val="superscript"/>
        </w:rPr>
        <w:t xml:space="preserve">,</w:t>
      </w:r>
      <w:hyperlink w:anchor="ref-macrae2008mercury">
        <w:r>
          <w:rPr>
            <w:rStyle w:val="Hyperlink"/>
            <w:vertAlign w:val="superscript"/>
          </w:rPr>
          <w:t xml:space="preserve">25</w:t>
        </w:r>
      </w:hyperlink>
      <w:r>
        <w:t xml:space="preserve">, two definitions of the</w:t>
      </w:r>
      <w:r>
        <w:t xml:space="preserve"> </w:t>
      </w:r>
      <w:r>
        <w:t xml:space="preserve">correct answer, and a library of 309,080 simulated entries (Sections 2, 4.2 and 4.3). It is released as</w:t>
      </w:r>
      <w:r>
        <w:t xml:space="preserve"> </w:t>
      </w:r>
      <w:r>
        <w:t xml:space="preserve">code and refcode lists, since CSD structures cannot be redistributed, and as an open replica built from</w:t>
      </w:r>
      <w:r>
        <w:t xml:space="preserve"> </w:t>
      </w:r>
      <w:r>
        <w:t xml:space="preserve">the Crystallography Open Database (Sections 2.6 and 4.7).</w:t>
      </w:r>
    </w:p>
    <w:p>
      <w:pPr>
        <w:pStyle w:val="Compact"/>
        <w:numPr>
          <w:ilvl w:val="0"/>
          <w:numId w:val="1001"/>
        </w:numPr>
      </w:pPr>
      <w:r>
        <w:t xml:space="preserve">A test of the published variable-cell method on the hard single-crystal case (Section 4.2).</w:t>
      </w:r>
    </w:p>
    <w:p>
      <w:pPr>
        <w:pStyle w:val="Compact"/>
        <w:numPr>
          <w:ilvl w:val="0"/>
          <w:numId w:val="1001"/>
        </w:numPr>
      </w:pPr>
      <w:r>
        <w:t xml:space="preserve">A diagnosis of the model’s failure: it retrieves simulated versions of the same targets but not the</w:t>
      </w:r>
      <w:r>
        <w:t xml:space="preserve"> </w:t>
      </w:r>
      <w:r>
        <w:t xml:space="preserve">measured patterns, and neither the measurement effects we could simulate nor a retrain that includes</w:t>
      </w:r>
      <w:r>
        <w:t xml:space="preserve"> </w:t>
      </w:r>
      <w:r>
        <w:t xml:space="preserve">them closes that gap (Section 4.5).</w:t>
      </w:r>
    </w:p>
    <w:p>
      <w:pPr>
        <w:pStyle w:val="Compact"/>
        <w:numPr>
          <w:ilvl w:val="0"/>
          <w:numId w:val="1001"/>
        </w:numPr>
      </w:pPr>
      <w:r>
        <w:t xml:space="preserve">Checks of whether hubness, the tendency of a few library entries to be the nearest neighbour of many</w:t>
      </w:r>
      <w:r>
        <w:t xml:space="preserve"> </w:t>
      </w:r>
      <w:r>
        <w:t xml:space="preserve">queries</w:t>
      </w:r>
      <w:hyperlink w:anchor="ref-radovanovic2010hubs">
        <w:r>
          <w:rPr>
            <w:rStyle w:val="Hyperlink"/>
            <w:vertAlign w:val="superscript"/>
          </w:rPr>
          <w:t xml:space="preserve">26</w:t>
        </w:r>
      </w:hyperlink>
      <w:r>
        <w:t xml:space="preserve">, or the fidelity of the simulated library limits classical retrieval</w:t>
      </w:r>
      <w:r>
        <w:t xml:space="preserve"> </w:t>
      </w:r>
      <w:r>
        <w:t xml:space="preserve">(Sections 4.4 and 4.6).</w:t>
      </w:r>
    </w:p>
    <w:bookmarkEnd w:id="10"/>
    <w:bookmarkStart w:id="20" w:name="benchmark"/>
    <w:p>
      <w:pPr>
        <w:pStyle w:val="Heading2"/>
      </w:pPr>
      <w:r>
        <w:t xml:space="preserve">2. Benchmark</w:t>
      </w:r>
    </w:p>
    <w:bookmarkStart w:id="11" w:name="measured-patterns"/>
    <w:p>
      <w:pPr>
        <w:pStyle w:val="Heading3"/>
      </w:pPr>
      <w:r>
        <w:t xml:space="preserve">2.1 Measured patterns</w:t>
      </w:r>
    </w:p>
    <w:p>
      <w:pPr>
        <w:pStyle w:val="FirstParagraph"/>
      </w:pPr>
      <w:r>
        <w:t xml:space="preserve">The opXRD database collects experimental powder patterns with their labelled phases (CC BY 4.0; the source</w:t>
      </w:r>
      <w:r>
        <w:t xml:space="preserve"> </w:t>
      </w:r>
      <w:r>
        <w:t xml:space="preserve">data from the Crystallography Open Database are CC0)</w:t>
      </w:r>
      <w:hyperlink w:anchor="ref-hollarek2025opxrd">
        <w:r>
          <w:rPr>
            <w:rStyle w:val="Hyperlink"/>
            <w:vertAlign w:val="superscript"/>
          </w:rPr>
          <w:t xml:space="preserve">23</w:t>
        </w:r>
      </w:hyperlink>
      <w:r>
        <w:rPr>
          <w:vertAlign w:val="superscript"/>
        </w:rPr>
        <w:t xml:space="preserve">,</w:t>
      </w:r>
      <w:hyperlink w:anchor="ref-opxrd2025zenodo">
        <w:r>
          <w:rPr>
            <w:rStyle w:val="Hyperlink"/>
            <w:vertAlign w:val="superscript"/>
          </w:rPr>
          <w:t xml:space="preserve">27</w:t>
        </w:r>
      </w:hyperlink>
      <w:r>
        <w:t xml:space="preserve">. Its CNRS</w:t>
      </w:r>
      <w:r>
        <w:t xml:space="preserve"> </w:t>
      </w:r>
      <w:r>
        <w:t xml:space="preserve">contribution holds 1,052 patterns taken from COD entries that deposit powder data, most with the refined</w:t>
      </w:r>
      <w:r>
        <w:t xml:space="preserve"> </w:t>
      </w:r>
      <w:r>
        <w:t xml:space="preserve">structure as a full atom list. We kept patterns whose phase contains C and H and no element outside {C, H,</w:t>
      </w:r>
      <w:r>
        <w:t xml:space="preserve"> </w:t>
      </w:r>
      <w:r>
        <w:t xml:space="preserve">N, O, S, P, F, Cl, Br, I, B, Si}, which left 196. Of the 188 patterns used in the end (Section 2.2), 120 were</w:t>
      </w:r>
      <w:r>
        <w:t xml:space="preserve"> </w:t>
      </w:r>
      <w:r>
        <w:t xml:space="preserve">measured with Cu Kα radiation, 61 with synchrotron radiation (0.34–1.30 Å) and 7 at Mo, Co or other</w:t>
      </w:r>
      <w:r>
        <w:t xml:space="preserve"> </w:t>
      </w:r>
      <w:r>
        <w:t xml:space="preserve">wavelengths. opXRD records no wavelength for 3 of the 120, and we assumed Cu Kα. Every pattern</w:t>
      </w:r>
      <w:r>
        <w:t xml:space="preserve"> </w:t>
      </w:r>
      <w:r>
        <w:t xml:space="preserve">was converted to a Cu Kα1 2θ axis through its d-spacings and interpolated onto the grid used throughout this</w:t>
      </w:r>
      <w:r>
        <w:t xml:space="preserve"> </w:t>
      </w:r>
      <w:r>
        <w:t xml:space="preserve">work: 5–50° 2θ in 0.02° steps (2,251 points). The Kα2 component was not removed. In 31 of the 188 refined</w:t>
      </w:r>
      <w:r>
        <w:t xml:space="preserve"> </w:t>
      </w:r>
      <w:r>
        <w:t xml:space="preserve">structures the H atoms are omitted.</w:t>
      </w:r>
    </w:p>
    <w:bookmarkEnd w:id="11"/>
    <w:bookmarkStart w:id="15" w:name="correct-answers-by-packing-similarity"/>
    <w:p>
      <w:pPr>
        <w:pStyle w:val="Heading3"/>
      </w:pPr>
      <w:r>
        <w:t xml:space="preserve">2.2 Correct answers by packing similarity</w:t>
      </w:r>
    </w:p>
    <w:p>
      <w:pPr>
        <w:pStyle w:val="FirstParagraph"/>
      </w:pPr>
      <w:r>
        <w:t xml:space="preserve">A cell match is not enough to identify a compound: unrelated compounds with the same elements can have</w:t>
      </w:r>
      <w:r>
        <w:t xml:space="preserve"> </w:t>
      </w:r>
      <w:r>
        <w:t xml:space="preserve">similar reduced cells. We therefore identified every pattern from its deposited structure (Fig. 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Candidates.</w:t>
      </w:r>
      <w:r>
        <w:t xml:space="preserve"> </w:t>
      </w:r>
      <w:r>
        <w:t xml:space="preserve">A CSD reduced-cell search on the deposited structure’s primitive Niggli cell (1.5 % in</w:t>
      </w:r>
      <w:r>
        <w:t xml:space="preserve"> </w:t>
      </w:r>
      <w:r>
        <w:t xml:space="preserve">lengths and 2° in angles, the CCDC defaults), keeping every hit with the same non-H element 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Anchors.</w:t>
      </w:r>
      <w:r>
        <w:t xml:space="preserve"> </w:t>
      </w:r>
      <w:r>
        <w:t xml:space="preserve">CCDC packing similarity</w:t>
      </w:r>
      <w:hyperlink w:anchor="ref-chisholm2005compack">
        <w:r>
          <w:rPr>
            <w:rStyle w:val="Hyperlink"/>
            <w:vertAlign w:val="superscript"/>
          </w:rPr>
          <w:t xml:space="preserve">24</w:t>
        </w:r>
      </w:hyperlink>
      <w:r>
        <w:rPr>
          <w:vertAlign w:val="superscript"/>
        </w:rPr>
        <w:t xml:space="preserve">,</w:t>
      </w:r>
      <w:hyperlink w:anchor="ref-macrae2008mercury">
        <w:r>
          <w:rPr>
            <w:rStyle w:val="Hyperlink"/>
            <w:vertAlign w:val="superscript"/>
          </w:rPr>
          <w:t xml:space="preserve">25</w:t>
        </w:r>
      </w:hyperlink>
      <w:r>
        <w:t xml:space="preserve"> </w:t>
      </w:r>
      <w:r>
        <w:t xml:space="preserve">between the deposited</w:t>
      </w:r>
      <w:r>
        <w:t xml:space="preserve"> </w:t>
      </w:r>
      <w:r>
        <w:t xml:space="preserve">structure and each candidate, over a 15-molecule shell (distance tolerance 20 %, angle tolerance 20°,</w:t>
      </w:r>
      <w:r>
        <w:t xml:space="preserve"> </w:t>
      </w:r>
      <w:r>
        <w:t xml:space="preserve">H positions ignored). A candidate that matches 15 of 15 molecules is an anchor. Structures rebuilt from</w:t>
      </w:r>
      <w:r>
        <w:t xml:space="preserve"> </w:t>
      </w:r>
      <w:r>
        <w:t xml:space="preserve">bare coordinates sometimes perceive bonds differently from curated CSD molecules, so when no candidate</w:t>
      </w:r>
      <w:r>
        <w:t xml:space="preserve"> </w:t>
      </w:r>
      <w:r>
        <w:t xml:space="preserve">passes, a lenient pass ignores bond types, H counts and the smallest components. 154 patterns were</w:t>
      </w:r>
      <w:r>
        <w:t xml:space="preserve"> </w:t>
      </w:r>
      <w:r>
        <w:t xml:space="preserve">anchored in the strict pass and 35 in the lenient pass.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Same-form set.</w:t>
      </w:r>
      <w:r>
        <w:t xml:space="preserve"> </w:t>
      </w:r>
      <w:r>
        <w:t xml:space="preserve">Each anchor compared with every entry of its CSD refcode family, CSD against CSD</w:t>
      </w:r>
      <w:r>
        <w:t xml:space="preserve"> </w:t>
      </w:r>
      <w:r>
        <w:t xml:space="preserve">with the strict settings. An entry that matches 15 of 15 molecules is the same solid form, whatever its</w:t>
      </w:r>
      <w:r>
        <w:t xml:space="preserve"> </w:t>
      </w:r>
      <w:r>
        <w:t xml:space="preserve">temperature or pressure. Entries that cannot be compared are set aside and never scored as errors (134</w:t>
      </w:r>
      <w:r>
        <w:t xml:space="preserve"> </w:t>
      </w:r>
      <w:r>
        <w:t xml:space="preserve">entries, affecting 57 patterns).</w:t>
      </w:r>
    </w:p>
    <w:p>
      <w:pPr>
        <w:pStyle w:val="FirstParagraph"/>
      </w:pPr>
      <w:r>
        <w:drawing>
          <wp:inline>
            <wp:extent cx="4969565" cy="208568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s/fig1_benchmark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65" cy="2085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1</w:t>
      </w:r>
      <w:r>
        <w:t xml:space="preserve"> </w:t>
      </w:r>
      <w:r>
        <w:t xml:space="preserve">Construction of the benchmark. Top: each measured pattern is identified from its own deposited</w:t>
      </w:r>
      <w:r>
        <w:t xml:space="preserve"> </w:t>
      </w:r>
      <w:r>
        <w:t xml:space="preserve">structure. CSD candidates from a reduced-cell search are compared with that structure by packing</w:t>
      </w:r>
      <w:r>
        <w:t xml:space="preserve"> </w:t>
      </w:r>
      <w:r>
        <w:t xml:space="preserve">similarity, and the matching anchor entry is compared with its refcode family to collect every entry of</w:t>
      </w:r>
      <w:r>
        <w:t xml:space="preserve"> </w:t>
      </w:r>
      <w:r>
        <w:t xml:space="preserve">the same solid form. Bottom: the measured pattern (on a Cu Kα1 2θ axis, Kα2 retained) is scored against all</w:t>
      </w:r>
      <w:r>
        <w:t xml:space="preserve"> </w:t>
      </w:r>
      <w:r>
        <w:t xml:space="preserve">309,080 simulated library patterns, and the rank of the first correct entry is recorded under two answer</w:t>
      </w:r>
      <w:r>
        <w:t xml:space="preserve"> </w:t>
      </w:r>
      <w:r>
        <w:t xml:space="preserve">sets.</w:t>
      </w:r>
    </w:p>
    <w:p>
      <w:pPr>
        <w:pStyle w:val="BodyText"/>
      </w:pPr>
      <w:r>
        <w:t xml:space="preserve">189 of the 196 patterns were identified. The other seven are three Si frameworks or silsesquioxanes that</w:t>
      </w:r>
      <w:r>
        <w:t xml:space="preserve"> </w:t>
      </w:r>
      <w:r>
        <w:t xml:space="preserve">passed the element filter and four patterns with no packing match. One identified pattern was excluded</w:t>
      </w:r>
      <w:r>
        <w:t xml:space="preserve"> </w:t>
      </w:r>
      <w:r>
        <w:t xml:space="preserve">because its 2θ axis runs from 0.01 to 0.83, probably radians. That leaves</w:t>
      </w:r>
      <w:r>
        <w:t xml:space="preserve"> </w:t>
      </w:r>
      <w:r>
        <w:rPr>
          <w:b/>
          <w:bCs/>
        </w:rPr>
        <w:t xml:space="preserve">188 patterns of 123 compounds</w:t>
      </w:r>
      <w:r>
        <w:t xml:space="preserve">.</w:t>
      </w:r>
      <w:r>
        <w:t xml:space="preserve"> </w:t>
      </w:r>
      <w:r>
        <w:t xml:space="preserve">Most compounds have one pattern (110 of 123), but a few have many: ZZZUWK has 20 (a variable-temperature</w:t>
      </w:r>
      <w:r>
        <w:t xml:space="preserve"> </w:t>
      </w:r>
      <w:r>
        <w:t xml:space="preserve">series), ZZZIZM 12 and NAPHTA 10.</w:t>
      </w:r>
    </w:p>
    <w:p>
      <w:pPr>
        <w:pStyle w:val="BodyText"/>
      </w:pPr>
      <w:r>
        <w:t xml:space="preserve">Same-form sets were built within the anchor’s refcode family, so a same-form entry deposited under another</w:t>
      </w:r>
      <w:r>
        <w:t xml:space="preserve"> </w:t>
      </w:r>
      <w:r>
        <w:t xml:space="preserve">refcode would be scored as an error. To check, we compared every wrong first-ranked entry of the classical</w:t>
      </w:r>
      <w:r>
        <w:t xml:space="preserve"> </w:t>
      </w:r>
      <w:r>
        <w:t xml:space="preserve">scores (454 cases over both answer sets) with the pattern’s anchors by packing similarity. One entry,</w:t>
      </w:r>
      <w:r>
        <w:t xml:space="preserve"> </w:t>
      </w:r>
      <w:r>
        <w:t xml:space="preserve">GOFWUV, is the same form as the anchor of one QQQAUJ pattern; correcting it would raise every classical</w:t>
      </w:r>
      <w:r>
        <w:t xml:space="preserve"> </w:t>
      </w:r>
      <w:r>
        <w:t xml:space="preserve">score’s per-pattern top-1 by 1/188. We leave the labels as built and report this here.</w:t>
      </w:r>
    </w:p>
    <w:bookmarkEnd w:id="15"/>
    <w:bookmarkStart w:id="16" w:name="two-definitions-of-the-correct-answer"/>
    <w:p>
      <w:pPr>
        <w:pStyle w:val="Heading3"/>
      </w:pPr>
      <w:r>
        <w:t xml:space="preserve">2.3 Two definitions of the correct answer</w:t>
      </w:r>
    </w:p>
    <w:p>
      <w:pPr>
        <w:pStyle w:val="FirstParagraph"/>
      </w:pPr>
      <w:r>
        <w:t xml:space="preserve">For 184 of the 188 patterns, the CSD contains a powder-study entry that reproduces the deposited structure</w:t>
      </w:r>
      <w:r>
        <w:t xml:space="preserve"> </w:t>
      </w:r>
      <w:r>
        <w:t xml:space="preserve">to within 0.05 Å RMSD (150 strict and 34 lenient anchors), so the pattern is the data that entry was</w:t>
      </w:r>
      <w:r>
        <w:t xml:space="preserve"> </w:t>
      </w:r>
      <w:r>
        <w:t xml:space="preserve">refined against</w:t>
      </w:r>
      <w:hyperlink w:anchor="ref-rietveld1969">
        <w:r>
          <w:rPr>
            <w:rStyle w:val="Hyperlink"/>
            <w:vertAlign w:val="superscript"/>
          </w:rPr>
          <w:t xml:space="preserve">28</w:t>
        </w:r>
      </w:hyperlink>
      <w:r>
        <w:t xml:space="preserve">. Finding that entry tests whether a method can read a measured pattern, but</w:t>
      </w:r>
      <w:r>
        <w:t xml:space="preserve"> </w:t>
      </w:r>
      <w:r>
        <w:t xml:space="preserve">it is close to self-retrieval. We therefore score two answer sets.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Single-crystal entry only</w:t>
      </w:r>
      <w:r>
        <w:t xml:space="preserve"> </w:t>
      </w:r>
      <w:r>
        <w:t xml:space="preserve">(59 patterns, 30 compounds): same-form entries that are powder studies are</w:t>
      </w:r>
      <w:r>
        <w:t xml:space="preserve"> </w:t>
      </w:r>
      <w:r>
        <w:t xml:space="preserve">set aside, so the answer must be an independent single-crystal determination. This is the realistic case of a new measurement checked against a database, and we treat it as the</w:t>
      </w:r>
      <w:r>
        <w:t xml:space="preserve"> </w:t>
      </w:r>
      <w:r>
        <w:t xml:space="preserve">headline.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Any same-form entry</w:t>
      </w:r>
      <w:r>
        <w:t xml:space="preserve"> </w:t>
      </w:r>
      <w:r>
        <w:t xml:space="preserve">(188 patterns, 123 compounds): any entry in the pattern’s same-form set is</w:t>
      </w:r>
      <w:r>
        <w:t xml:space="preserve"> </w:t>
      </w:r>
      <w:r>
        <w:t xml:space="preserve">correct. This is an upper bound on what a method can do with these patterns.</w:t>
      </w:r>
    </w:p>
    <w:p>
      <w:pPr>
        <w:pStyle w:val="FirstParagraph"/>
      </w:pPr>
      <w:r>
        <w:t xml:space="preserve">We also report</w:t>
      </w:r>
      <w:r>
        <w:t xml:space="preserve"> </w:t>
      </w:r>
      <w:r>
        <w:rPr>
          <w:b/>
          <w:bCs/>
        </w:rPr>
        <w:t xml:space="preserve">within-family</w:t>
      </w:r>
      <w:r>
        <w:t xml:space="preserve"> </w:t>
      </w:r>
      <w:r>
        <w:t xml:space="preserve">retrieval, the rank of the correct form among the compound’s own forms in</w:t>
      </w:r>
      <w:r>
        <w:t xml:space="preserve"> </w:t>
      </w:r>
      <w:r>
        <w:t xml:space="preserve">the library (51 patterns of 35 compounds; chance 0.40), which is the polymorph-identification question in</w:t>
      </w:r>
      <w:r>
        <w:t xml:space="preserve"> </w:t>
      </w:r>
      <w:r>
        <w:t xml:space="preserve">isolation.</w:t>
      </w:r>
    </w:p>
    <w:bookmarkEnd w:id="16"/>
    <w:bookmarkStart w:id="17" w:name="library"/>
    <w:p>
      <w:pPr>
        <w:pStyle w:val="Heading3"/>
      </w:pPr>
      <w:r>
        <w:t xml:space="preserve">2.4 Library</w:t>
      </w:r>
    </w:p>
    <w:p>
      <w:pPr>
        <w:pStyle w:val="FirstParagraph"/>
      </w:pPr>
      <w:r>
        <w:t xml:space="preserve">The library holds 309,080 simulated patterns: the 308,862 molecular crystals of the xrd-clip corpus</w:t>
      </w:r>
      <w:r>
        <w:t xml:space="preserve"> </w:t>
      </w:r>
      <w:r>
        <w:t xml:space="preserve">(organic CSD entries without disorder, R ≤ 7.5 %, Z′ ≤ 2, after removing duplicate redeterminations)</w:t>
      </w:r>
      <w:hyperlink w:anchor="ref-cai2026urtc">
        <w:r>
          <w:rPr>
            <w:rStyle w:val="Hyperlink"/>
            <w:vertAlign w:val="superscript"/>
          </w:rPr>
          <w:t xml:space="preserve">18</w:t>
        </w:r>
      </w:hyperlink>
      <w:r>
        <w:t xml:space="preserve"> </w:t>
      </w:r>
      <w:r>
        <w:t xml:space="preserve">and 218 same-form or polymorph entries of the benchmark compounds that the corpus filter had</w:t>
      </w:r>
      <w:r>
        <w:t xml:space="preserve"> </w:t>
      </w:r>
      <w:r>
        <w:t xml:space="preserve">removed; 28 further entries have no coordinates in the CSD. Stick patterns (Cu Kα1) were computed with the</w:t>
      </w:r>
      <w:r>
        <w:t xml:space="preserve"> </w:t>
      </w:r>
      <w:r>
        <w:t xml:space="preserve">XRDCalculator module of pymatgen</w:t>
      </w:r>
      <w:hyperlink w:anchor="ref-ong2013pymatgen">
        <w:r>
          <w:rPr>
            <w:rStyle w:val="Hyperlink"/>
            <w:vertAlign w:val="superscript"/>
          </w:rPr>
          <w:t xml:space="preserve">29</w:t>
        </w:r>
      </w:hyperlink>
      <w:r>
        <w:t xml:space="preserve">; recomputing 296 randomly drawn entries with pymatgen</w:t>
      </w:r>
      <w:r>
        <w:t xml:space="preserve"> </w:t>
      </w:r>
      <w:r>
        <w:t xml:space="preserve">2026.4.16 reproduces the stored sticks exactly. The sticks were rendered with one pseudo-Voigt profile</w:t>
      </w:r>
      <w:r>
        <w:t xml:space="preserve"> </w:t>
      </w:r>
      <w:r>
        <w:t xml:space="preserve">(Caglioti-type width, U = 0.002, V = −0.001, W = 0.004 deg², η = 0.5)</w:t>
      </w:r>
      <w:hyperlink w:anchor="ref-caglioti1958">
        <w:r>
          <w:rPr>
            <w:rStyle w:val="Hyperlink"/>
            <w:vertAlign w:val="superscript"/>
          </w:rPr>
          <w:t xml:space="preserve">30</w:t>
        </w:r>
      </w:hyperlink>
      <w:r>
        <w:t xml:space="preserve">, without</w:t>
      </w:r>
      <w:r>
        <w:t xml:space="preserve"> </w:t>
      </w:r>
      <w:r>
        <w:t xml:space="preserve">Debye–Waller factors, texture, background or noise; a library closer to the measurements is tested in</w:t>
      </w:r>
      <w:r>
        <w:t xml:space="preserve"> </w:t>
      </w:r>
      <w:r>
        <w:t xml:space="preserve">Sections 3.7 and 4.6. For disordered entries whose CIF fails a strict parse, coincident sites are merged by</w:t>
      </w:r>
      <w:r>
        <w:t xml:space="preserve"> </w:t>
      </w:r>
      <w:r>
        <w:t xml:space="preserve">rescaling occupancies; the own entry of 28 patterns (9 compounds) is disordered.</w:t>
      </w:r>
    </w:p>
    <w:bookmarkEnd w:id="17"/>
    <w:bookmarkStart w:id="18" w:name="metrics"/>
    <w:p>
      <w:pPr>
        <w:pStyle w:val="Heading3"/>
      </w:pPr>
      <w:r>
        <w:t xml:space="preserve">2.5 Metrics</w:t>
      </w:r>
    </w:p>
    <w:p>
      <w:pPr>
        <w:pStyle w:val="FirstParagraph"/>
      </w:pPr>
      <w:r>
        <w:t xml:space="preserve">For each pattern and score, the rank of the first correct entry is 1 plus the number of entries that are</w:t>
      </w:r>
      <w:r>
        <w:t xml:space="preserve"> </w:t>
      </w:r>
      <w:r>
        <w:t xml:space="preserve">neither correct nor set aside and that score strictly higher than the best correct entry; ties therefore</w:t>
      </w:r>
      <w:r>
        <w:t xml:space="preserve"> </w:t>
      </w:r>
      <w:r>
        <w:t xml:space="preserve">favour the correct entry. Top-k is the fraction of patterns with rank ≤ k. Because some compounds</w:t>
      </w:r>
      <w:r>
        <w:t xml:space="preserve"> </w:t>
      </w:r>
      <w:r>
        <w:t xml:space="preserve">contribute many patterns, per-pattern averages mostly measure those compounds, so our headline is the</w:t>
      </w:r>
      <w:r>
        <w:t xml:space="preserve"> </w:t>
      </w:r>
      <w:r>
        <w:rPr>
          <w:b/>
          <w:bCs/>
        </w:rPr>
        <w:t xml:space="preserve">compound-weighted</w:t>
      </w:r>
      <w:r>
        <w:t xml:space="preserve"> </w:t>
      </w:r>
      <w:r>
        <w:t xml:space="preserve">top-k: the mean over compounds of each compound’s top-k rate. Confidence intervals</w:t>
      </w:r>
      <w:r>
        <w:t xml:space="preserve"> </w:t>
      </w:r>
      <w:r>
        <w:t xml:space="preserve">(95 %) come from 2,000 bootstrap resamples of compounds</w:t>
      </w:r>
      <w:hyperlink w:anchor="ref-field2007cluster">
        <w:r>
          <w:rPr>
            <w:rStyle w:val="Hyperlink"/>
            <w:vertAlign w:val="superscript"/>
          </w:rPr>
          <w:t xml:space="preserve">31</w:t>
        </w:r>
      </w:hyperlink>
      <w:r>
        <w:t xml:space="preserve">, so the patterns of one</w:t>
      </w:r>
      <w:r>
        <w:t xml:space="preserve"> </w:t>
      </w:r>
      <w:r>
        <w:t xml:space="preserve">compound move together; for the single-crystal set only its 30 compounds are resampled. Differences</w:t>
      </w:r>
      <w:r>
        <w:t xml:space="preserve"> </w:t>
      </w:r>
      <w:r>
        <w:t xml:space="preserve">between scores and the effect of a correction are paired: both are computed on the same resampled</w:t>
      </w:r>
      <w:r>
        <w:t xml:space="preserve"> </w:t>
      </w:r>
      <w:r>
        <w:t xml:space="preserve">compounds.</w:t>
      </w:r>
    </w:p>
    <w:bookmarkEnd w:id="18"/>
    <w:bookmarkStart w:id="19" w:name="an-open-replica"/>
    <w:p>
      <w:pPr>
        <w:pStyle w:val="Heading3"/>
      </w:pPr>
      <w:r>
        <w:t xml:space="preserve">2.6 An open replica</w:t>
      </w:r>
    </w:p>
    <w:p>
      <w:pPr>
        <w:pStyle w:val="FirstParagraph"/>
      </w:pPr>
      <w:r>
        <w:t xml:space="preserve">The CSD licence does not allow the library or the answer sets to be redistributed. So that the results can</w:t>
      </w:r>
      <w:r>
        <w:t xml:space="preserve"> </w:t>
      </w:r>
      <w:r>
        <w:t xml:space="preserve">be checked without a licence, we rebuilt the benchmark from the Crystallography Open Database (COD; CC0)</w:t>
      </w:r>
      <w:hyperlink w:anchor="ref-grazulis2009cod">
        <w:r>
          <w:rPr>
            <w:rStyle w:val="Hyperlink"/>
            <w:vertAlign w:val="superscript"/>
          </w:rPr>
          <w:t xml:space="preserve">32</w:t>
        </w:r>
      </w:hyperlink>
      <w:r>
        <w:rPr>
          <w:vertAlign w:val="superscript"/>
        </w:rPr>
        <w:t xml:space="preserve">,</w:t>
      </w:r>
      <w:hyperlink w:anchor="ref-vaitkus2021cod">
        <w:r>
          <w:rPr>
            <w:rStyle w:val="Hyperlink"/>
            <w:vertAlign w:val="superscript"/>
          </w:rPr>
          <w:t xml:space="preserve">33</w:t>
        </w:r>
      </w:hyperlink>
      <w:r>
        <w:t xml:space="preserve">, the source of the opXRD patterns themselves. The queries are</w:t>
      </w:r>
      <w:r>
        <w:t xml:space="preserve"> </w:t>
      </w:r>
      <w:r>
        <w:t xml:space="preserve">unchanged. The library applies the corpus filter of Section 2.4 to the COD metadata (C-containing entries</w:t>
      </w:r>
      <w:r>
        <w:t xml:space="preserve"> </w:t>
      </w:r>
      <w:r>
        <w:t xml:space="preserve">with coordinates, no disorder flag, R ≤ 7.5 %, Z′ of 1–2, no element outside H, C, N, O, F, S, Cl, Br, I</w:t>
      </w:r>
      <w:r>
        <w:t xml:space="preserve"> </w:t>
      </w:r>
      <w:r>
        <w:t xml:space="preserve">and P), which keeps 108,716 entries, and adds 854 candidate entries of the queries (below) that the filter</w:t>
      </w:r>
      <w:r>
        <w:t xml:space="preserve"> </w:t>
      </w:r>
      <w:r>
        <w:t xml:space="preserve">removes. Of these 109,570 entries, 108,902 gave stick patterns, computed and rendered exactly as for the</w:t>
      </w:r>
      <w:r>
        <w:t xml:space="preserve"> </w:t>
      </w:r>
      <w:r>
        <w:t xml:space="preserve">CSD library.</w:t>
      </w:r>
    </w:p>
    <w:p>
      <w:pPr>
        <w:pStyle w:val="BodyText"/>
      </w:pPr>
      <w:r>
        <w:t xml:space="preserve">The answer sets follow Section 2.2 with two changes. First, the COD has no refcode families. Candidates</w:t>
      </w:r>
      <w:r>
        <w:t xml:space="preserve"> </w:t>
      </w:r>
      <w:r>
        <w:t xml:space="preserve">are COD entries with the same non-H element set whose primitive reduced cell lies within 5 % of the deposited</w:t>
      </w:r>
      <w:r>
        <w:t xml:space="preserve"> </w:t>
      </w:r>
      <w:r>
        <w:t xml:space="preserve">structure’s in each length and within 6 % in volume, a wider window than in the CSD search so that</w:t>
      </w:r>
      <w:r>
        <w:t xml:space="preserve"> </w:t>
      </w:r>
      <w:r>
        <w:t xml:space="preserve">temperature series are not lost. The two closest anchors are then compared with every other candidate, COD</w:t>
      </w:r>
      <w:r>
        <w:t xml:space="preserve"> </w:t>
      </w:r>
      <w:r>
        <w:t xml:space="preserve">entry against COD entry with the strict settings, to give the same-form set. Second, the COD candidates</w:t>
      </w:r>
      <w:r>
        <w:t xml:space="preserve"> </w:t>
      </w:r>
      <w:r>
        <w:t xml:space="preserve">include other compounds, which the CSD family search never returned. A candidate whose reduced non-H formula</w:t>
      </w:r>
      <w:r>
        <w:t xml:space="preserve"> </w:t>
      </w:r>
      <w:r>
        <w:t xml:space="preserve">differs from that of every same-form entry stays an ordinary library entry, and so counts as an error when it</w:t>
      </w:r>
      <w:r>
        <w:t xml:space="preserve"> </w:t>
      </w:r>
      <w:r>
        <w:t xml:space="preserve">ranks above the answer; setting the 2,670 such candidates aside, as the rule of Section 2.2 would, would</w:t>
      </w:r>
      <w:r>
        <w:t xml:space="preserve"> </w:t>
      </w:r>
      <w:r>
        <w:t xml:space="preserve">remove the hardest decoys and flatter every score. Same-formula candidates that cannot be compared (23) are</w:t>
      </w:r>
      <w:r>
        <w:t xml:space="preserve"> </w:t>
      </w:r>
      <w:r>
        <w:t xml:space="preserve">set aside as before. Powder or single-crystal is read from the COD method field, else from the powder tags of</w:t>
      </w:r>
      <w:r>
        <w:t xml:space="preserve"> </w:t>
      </w:r>
      <w:r>
        <w:t xml:space="preserve">the CIF. This rule was fixed before any replica result was computed.</w:t>
      </w:r>
    </w:p>
    <w:p>
      <w:pPr>
        <w:pStyle w:val="BodyText"/>
      </w:pPr>
      <w:r>
        <w:t xml:space="preserve">191 of the 196 patterns are identified in the COD: all 189 identified in the CSD and two more. Without the</w:t>
      </w:r>
      <w:r>
        <w:t xml:space="preserve"> </w:t>
      </w:r>
      <w:r>
        <w:t xml:space="preserve">pattern with a radian axis (Section 2.2), 190 patterns of 125 compounds are scored. 35 patterns of 9</w:t>
      </w:r>
      <w:r>
        <w:t xml:space="preserve"> </w:t>
      </w:r>
      <w:r>
        <w:t xml:space="preserve">compounds have a single-crystal same-form entry, against 59 patterns of 30 compounds in the CSD, so the</w:t>
      </w:r>
      <w:r>
        <w:t xml:space="preserve"> </w:t>
      </w:r>
      <w:r>
        <w:t xml:space="preserve">replica’s single-crystal set is small and its intervals are wide. Compounds are labelled as in the main</w:t>
      </w:r>
      <w:r>
        <w:t xml:space="preserve"> </w:t>
      </w:r>
      <w:r>
        <w:t xml:space="preserve">benchmark. The replica is scored with the scores of Section 3.2 and the model, without the corrections of</w:t>
      </w:r>
      <w:r>
        <w:t xml:space="preserve"> </w:t>
      </w:r>
      <w:r>
        <w:t xml:space="preserve">Sections 3.5 and 3.7.</w:t>
      </w:r>
    </w:p>
    <w:bookmarkEnd w:id="19"/>
    <w:bookmarkEnd w:id="20"/>
    <w:bookmarkStart w:id="29" w:name="methods"/>
    <w:p>
      <w:pPr>
        <w:pStyle w:val="Heading2"/>
      </w:pPr>
      <w:r>
        <w:t xml:space="preserve">3. Methods</w:t>
      </w:r>
    </w:p>
    <w:bookmarkStart w:id="21" w:name="preprocessing"/>
    <w:p>
      <w:pPr>
        <w:pStyle w:val="Heading3"/>
      </w:pPr>
      <w:r>
        <w:t xml:space="preserve">3.1 Preprocessing</w:t>
      </w:r>
    </w:p>
    <w:p>
      <w:pPr>
        <w:pStyle w:val="FirstParagraph"/>
      </w:pPr>
      <w:r>
        <w:t xml:space="preserve">The measured patterns were scored in two forms:</w:t>
      </w:r>
      <w:r>
        <w:t xml:space="preserve"> </w:t>
      </w:r>
      <w:r>
        <w:rPr>
          <w:i/>
          <w:iCs/>
        </w:rPr>
        <w:t xml:space="preserve">raw</w:t>
      </w:r>
      <w:r>
        <w:t xml:space="preserve">, shifted to a zero minimum and scaled to a unit</w:t>
      </w:r>
      <w:r>
        <w:t xml:space="preserve"> </w:t>
      </w:r>
      <w:r>
        <w:t xml:space="preserve">maximum, and</w:t>
      </w:r>
      <w:r>
        <w:t xml:space="preserve"> </w:t>
      </w:r>
      <w:r>
        <w:rPr>
          <w:i/>
          <w:iCs/>
        </w:rPr>
        <w:t xml:space="preserve">background-subtracted</w:t>
      </w:r>
      <w:r>
        <w:t xml:space="preserve">, in which a rolling minimum over 2° smoothed by a 2° moving average is</w:t>
      </w:r>
      <w:r>
        <w:t xml:space="preserve"> </w:t>
      </w:r>
      <w:r>
        <w:t xml:space="preserve">removed before scaling. Library patterns are scored as simulated.</w:t>
      </w:r>
    </w:p>
    <w:bookmarkEnd w:id="21"/>
    <w:bookmarkStart w:id="22" w:name="classical-scores"/>
    <w:p>
      <w:pPr>
        <w:pStyle w:val="Heading3"/>
      </w:pPr>
      <w:r>
        <w:t xml:space="preserve">3.2 Classical scores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Pearson, fixed grid.</w:t>
      </w:r>
      <w:r>
        <w:t xml:space="preserve"> </w:t>
      </w:r>
      <w:r>
        <w:t xml:space="preserve">The Pearson correlation of the two patterns on the common grid, the main</w:t>
      </w:r>
      <w:r>
        <w:t xml:space="preserve"> </w:t>
      </w:r>
      <w:r>
        <w:t xml:space="preserve">baseline of our earlier work</w:t>
      </w:r>
      <w:hyperlink w:anchor="ref-cai2026urtc">
        <w:r>
          <w:rPr>
            <w:rStyle w:val="Hyperlink"/>
            <w:vertAlign w:val="superscript"/>
          </w:rPr>
          <w:t xml:space="preserve">18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Zero scan.</w:t>
      </w:r>
      <w:r>
        <w:t xml:space="preserve"> </w:t>
      </w:r>
      <w:r>
        <w:t xml:space="preserve">Each score below is maximised over a constant 2θ offset of ±0.5° in 0.02° steps. This</w:t>
      </w:r>
      <w:r>
        <w:t xml:space="preserve"> </w:t>
      </w:r>
      <w:r>
        <w:t xml:space="preserve">absorbs a zero error exactly and a sample-displacement error, which varies as cos θ, approximately. For</w:t>
      </w:r>
      <w:r>
        <w:t xml:space="preserve"> </w:t>
      </w:r>
      <w:r>
        <w:t xml:space="preserve">converted synchrotron patterns a native zero error becomes a slightly angle-dependent shift on the Cu</w:t>
      </w:r>
      <w:r>
        <w:t xml:space="preserve"> </w:t>
      </w:r>
      <w:r>
        <w:t xml:space="preserve">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WCC.</w:t>
      </w:r>
      <w:r>
        <w:t xml:space="preserve"> </w:t>
      </w:r>
      <w:r>
        <w:t xml:space="preserve">de Gelder’s weighted cross-correlation</w:t>
      </w:r>
      <w:hyperlink w:anchor="ref-degelder2001wcc">
        <w:r>
          <w:rPr>
            <w:rStyle w:val="Hyperlink"/>
            <w:vertAlign w:val="superscript"/>
          </w:rPr>
          <w:t xml:space="preserve">19</w:t>
        </w:r>
      </w:hyperlink>
      <w:r>
        <w:t xml:space="preserve"> </w:t>
      </w:r>
      <w:r>
        <w:t xml:space="preserve">with a triangular weight of</w:t>
      </w:r>
      <w:r>
        <w:t xml:space="preserve"> </w:t>
      </w:r>
      <w:r>
        <w:t xml:space="preserve">half-width l = 1° or 2°, which makes the score degrade gradually rather than abruptly with peak shifts,</w:t>
      </w:r>
      <w:r>
        <w:t xml:space="preserve"> </w:t>
      </w:r>
      <w:r>
        <w:t xml:space="preserve">plus the zero scan. With l = 0 the weight is a delta and WCC reduces to the cosine of the two patterns</w:t>
      </w:r>
      <w:r>
        <w:t xml:space="preserve"> </w:t>
      </w:r>
      <w:r>
        <w:t xml:space="preserve">(</w:t>
      </w:r>
      <w:r>
        <w:rPr>
          <w:i/>
          <w:iCs/>
        </w:rPr>
        <w:t xml:space="preserve">cosine + zero scan</w:t>
      </w:r>
      <w:r>
        <w:t xml:space="preserve">). These widths are large compared with the simulated peak width (FWHM about 0.06°);</w:t>
      </w:r>
      <w:r>
        <w:t xml:space="preserve"> </w:t>
      </w:r>
      <w:r>
        <w:t xml:space="preserve">the simulated sweep also includes l = 0.5°.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ln q lag scan.</w:t>
      </w:r>
      <w:r>
        <w:t xml:space="preserve"> </w:t>
      </w:r>
      <w:r>
        <w:t xml:space="preserve">Both patterns are resampled onto a ln q axis with 2,251 points, on which an isotropic</w:t>
      </w:r>
      <w:r>
        <w:t xml:space="preserve"> </w:t>
      </w:r>
      <w:r>
        <w:t xml:space="preserve">lattice strain is a translation; each ln q bin takes the mean of the pattern over its width, so peak areas</w:t>
      </w:r>
      <w:r>
        <w:t xml:space="preserve"> </w:t>
      </w:r>
      <w:r>
        <w:t xml:space="preserve">are kept where the bins are wider than the 2θ step. The score is a WCC with l = 0.01 in ln q, maximised over</w:t>
      </w:r>
      <w:r>
        <w:t xml:space="preserve"> </w:t>
      </w:r>
      <w:r>
        <w:t xml:space="preserve">lags up to ±3 % strain and over 17 zero offsets from −0.32° to +0.32° in 0.04° steps, applied before</w:t>
      </w:r>
      <w:r>
        <w:t xml:space="preserve"> </w:t>
      </w:r>
      <w:r>
        <w:t xml:space="preserve">resampling. A first version of this score sampled the ln q axis at points and used 16 offsets that skipped</w:t>
      </w:r>
      <w:r>
        <w:t xml:space="preserve"> </w:t>
      </w:r>
      <w:r>
        <w:t xml:space="preserve">zero (nearest ±0.02°), which cost it accuracy on clean simulated queries (within-family top-1 0.88 rather</w:t>
      </w:r>
      <w:r>
        <w:t xml:space="preserve"> </w:t>
      </w:r>
      <w:r>
        <w:t xml:space="preserve">than 1.00); we found both problems in an</w:t>
      </w:r>
      <w:r>
        <w:t xml:space="preserve"> </w:t>
      </w:r>
      <w:r>
        <w:t xml:space="preserve">internal review, corrected them, and report the first version in the ESI.† The offset grid is still 0.04°, so on simulated</w:t>
      </w:r>
      <w:r>
        <w:t xml:space="preserve"> </w:t>
      </w:r>
      <w:r>
        <w:t xml:space="preserve">queries the score depends on whether an applied offset falls on the grid (Section 4.1).</w:t>
      </w:r>
    </w:p>
    <w:p>
      <w:pPr>
        <w:pStyle w:val="FirstParagraph"/>
      </w:pPr>
      <w:r>
        <w:t xml:space="preserve">In the simulated sweep the l = 0 variant was applied to standardised patterns, which makes it Pearson +</w:t>
      </w:r>
      <w:r>
        <w:t xml:space="preserve"> </w:t>
      </w:r>
      <w:r>
        <w:t xml:space="preserve">zero scan; on the measured patterns it is cosine + zero scan. A variable-cell method</w:t>
      </w:r>
      <w:hyperlink w:anchor="ref-oterodelaroza2024vcgpwdf">
        <w:r>
          <w:rPr>
            <w:rStyle w:val="Hyperlink"/>
            <w:vertAlign w:val="superscript"/>
          </w:rPr>
          <w:t xml:space="preserve">22</w:t>
        </w:r>
      </w:hyperlink>
      <w:r>
        <w:t xml:space="preserve"> </w:t>
      </w:r>
      <w:r>
        <w:t xml:space="preserve">was also tried in the sweep but is not reported, because our reimplementation</w:t>
      </w:r>
      <w:r>
        <w:t xml:space="preserve"> </w:t>
      </w:r>
      <w:r>
        <w:t xml:space="preserve">has not been validated against the reference code; on the measured patterns we run the reference code</w:t>
      </w:r>
      <w:r>
        <w:t xml:space="preserve"> </w:t>
      </w:r>
      <w:r>
        <w:t xml:space="preserve">itself (Section 3.8).</w:t>
      </w:r>
    </w:p>
    <w:bookmarkEnd w:id="22"/>
    <w:bookmarkStart w:id="23" w:name="exact-scores-on-a-gpu"/>
    <w:p>
      <w:pPr>
        <w:pStyle w:val="Heading3"/>
      </w:pPr>
      <w:r>
        <w:t xml:space="preserve">3.3 Exact scores on a GPU</w:t>
      </w:r>
    </w:p>
    <w:p>
      <w:pPr>
        <w:pStyle w:val="FirstParagraph"/>
      </w:pPr>
      <w:r>
        <w:t xml:space="preserve">The full-library ranks were first computed on CPUs. The hubness analysis (Section 4.4) needs every score,</w:t>
      </w:r>
      <w:r>
        <w:t xml:space="preserve"> </w:t>
      </w:r>
      <w:r>
        <w:t xml:space="preserve">not only ranks, so we ported the scores to PyTorch</w:t>
      </w:r>
      <w:hyperlink w:anchor="ref-paszke2019pytorch">
        <w:r>
          <w:rPr>
            <w:rStyle w:val="Hyperlink"/>
            <w:vertAlign w:val="superscript"/>
          </w:rPr>
          <w:t xml:space="preserve">34</w:t>
        </w:r>
      </w:hyperlink>
      <w:r>
        <w:t xml:space="preserve">. Folding the triangle weight into</w:t>
      </w:r>
      <w:r>
        <w:t xml:space="preserve"> </w:t>
      </w:r>
      <w:r>
        <w:t xml:space="preserve">the reference turns every zero offset into one matrix product: for weights w_k and shift d,</w:t>
      </w:r>
      <w:r>
        <w:t xml:space="preserve"> </w:t>
      </w:r>
      <w:r>
        <w:t xml:space="preserve">Σ_k w_k Σ_x q(x) r(x + d + k) = Σ_x q(x) r_w(x + d), with r_w the reference convolved with w. On one RTX 4090</w:t>
      </w:r>
      <w:r>
        <w:t xml:space="preserve"> </w:t>
      </w:r>
      <w:r>
        <w:t xml:space="preserve">the scores of 8,188 rows (benchmark patterns and probes) against all 309,080 entries took 761 s. The GPU</w:t>
      </w:r>
      <w:r>
        <w:t xml:space="preserve"> </w:t>
      </w:r>
      <w:r>
        <w:t xml:space="preserve">scores agree with the CPU scores to 4 × 10⁻⁶ and reproduce the CPU ranks with no top-1 change (ESI†). The</w:t>
      </w:r>
      <w:r>
        <w:t xml:space="preserve"> </w:t>
      </w:r>
      <w:r>
        <w:t xml:space="preserve">corrected ln q scan of Section 3.2 was rescored alone (405 s) and reproduces its CPU ranks with no top-1</w:t>
      </w:r>
      <w:r>
        <w:t xml:space="preserve"> </w:t>
      </w:r>
      <w:r>
        <w:t xml:space="preserve">change.</w:t>
      </w:r>
    </w:p>
    <w:bookmarkEnd w:id="23"/>
    <w:bookmarkStart w:id="24" w:name="learned-model"/>
    <w:p>
      <w:pPr>
        <w:pStyle w:val="Heading3"/>
      </w:pPr>
      <w:r>
        <w:t xml:space="preserve">3.4 Learned model</w:t>
      </w:r>
    </w:p>
    <w:p>
      <w:pPr>
        <w:pStyle w:val="FirstParagraph"/>
      </w:pPr>
      <w:r>
        <w:t xml:space="preserve">The model is the xrd-clip checkpoint of ref.</w:t>
      </w:r>
      <w:hyperlink w:anchor="ref-cai2026urtc">
        <w:r>
          <w:rPr>
            <w:rStyle w:val="Hyperlink"/>
            <w:vertAlign w:val="superscript"/>
          </w:rPr>
          <w:t xml:space="preserve">18</w:t>
        </w:r>
      </w:hyperlink>
      <w:r>
        <w:t xml:space="preserve"> </w:t>
      </w:r>
      <w:r>
        <w:t xml:space="preserve">(6.1 million parameters). A one-dimensional</w:t>
      </w:r>
      <w:r>
        <w:t xml:space="preserve"> </w:t>
      </w:r>
      <w:r>
        <w:t xml:space="preserve">residual convolutional network encodes the pattern on the grid above; a Transformer over the atoms of the</w:t>
      </w:r>
      <w:r>
        <w:t xml:space="preserve"> </w:t>
      </w:r>
      <w:r>
        <w:t xml:space="preserve">asymmetric unit, with a lattice token, encodes the structure; both map to a 256-dimensional unit vector. It</w:t>
      </w:r>
      <w:r>
        <w:t xml:space="preserve"> </w:t>
      </w:r>
      <w:r>
        <w:t xml:space="preserve">was trained once (one seed) for 60 epochs with a symmetric InfoNCE loss</w:t>
      </w:r>
      <w:hyperlink w:anchor="ref-oord2018cpc">
        <w:r>
          <w:rPr>
            <w:rStyle w:val="Hyperlink"/>
            <w:vertAlign w:val="superscript"/>
          </w:rPr>
          <w:t xml:space="preserve">35</w:t>
        </w:r>
      </w:hyperlink>
      <w:r>
        <w:rPr>
          <w:vertAlign w:val="superscript"/>
        </w:rPr>
        <w:t xml:space="preserve">,</w:t>
      </w:r>
      <w:hyperlink w:anchor="ref-radford2021clip">
        <w:r>
          <w:rPr>
            <w:rStyle w:val="Hyperlink"/>
            <w:vertAlign w:val="superscript"/>
          </w:rPr>
          <w:t xml:space="preserve">36</w:t>
        </w:r>
      </w:hyperlink>
      <w:r>
        <w:t xml:space="preserve">,</w:t>
      </w:r>
      <w:r>
        <w:t xml:space="preserve"> </w:t>
      </w:r>
      <w:r>
        <w:t xml:space="preserve">batch size 512 and polymorph hard-negative batches (sibling polymorphs placed in the same batch), on 247,089</w:t>
      </w:r>
      <w:r>
        <w:t xml:space="preserve"> </w:t>
      </w:r>
      <w:r>
        <w:t xml:space="preserve">CSD structures of a scaffold- and polymorph-family split. Patterns were simulated on the fly with random</w:t>
      </w:r>
      <w:r>
        <w:t xml:space="preserve"> </w:t>
      </w:r>
      <w:r>
        <w:t xml:space="preserve">zero offset, isotropic strain, Caglioti and crystallite-size broadening, March–Dollase texture</w:t>
      </w:r>
      <w:hyperlink w:anchor="ref-dollase1986">
        <w:r>
          <w:rPr>
            <w:rStyle w:val="Hyperlink"/>
            <w:vertAlign w:val="superscript"/>
          </w:rPr>
          <w:t xml:space="preserve">37</w:t>
        </w:r>
      </w:hyperlink>
      <w:r>
        <w:t xml:space="preserve">, background and Poisson noise, but without Kα2. The checkpoint was chosen by in-batch</w:t>
      </w:r>
      <w:r>
        <w:t xml:space="preserve"> </w:t>
      </w:r>
      <w:r>
        <w:t xml:space="preserve">validation top-1. A measured pattern is scored against the library by the cosine between its pattern</w:t>
      </w:r>
      <w:r>
        <w:t xml:space="preserve"> </w:t>
      </w:r>
      <w:r>
        <w:t xml:space="preserve">embedding and each entry’s structure embedding. We also test the model as a shortlist, re-ranking its top</w:t>
      </w:r>
      <w:r>
        <w:t xml:space="preserve"> </w:t>
      </w:r>
      <w:r>
        <w:t xml:space="preserve">100 or 1,000 entries with a classical score. Further details are in the ESI.†</w:t>
      </w:r>
    </w:p>
    <w:p>
      <w:pPr>
        <w:pStyle w:val="BodyText"/>
      </w:pPr>
      <w:r>
        <w:t xml:space="preserve">Three diagnostics probe the failure reported in Section 4.5. (i)</w:t>
      </w:r>
      <w:r>
        <w:t xml:space="preserve"> </w:t>
      </w:r>
      <w:r>
        <w:rPr>
          <w:b/>
          <w:bCs/>
        </w:rPr>
        <w:t xml:space="preserve">Effect ladder.</w:t>
      </w:r>
      <w:r>
        <w:t xml:space="preserve"> </w:t>
      </w:r>
      <w:r>
        <w:t xml:space="preserve">Each pattern’s own</w:t>
      </w:r>
      <w:r>
        <w:t xml:space="preserve"> </w:t>
      </w:r>
      <w:r>
        <w:t xml:space="preserve">library entry is rendered cleanly and then with one effect of the measurement at a time, each estimated from</w:t>
      </w:r>
      <w:r>
        <w:t xml:space="preserve"> </w:t>
      </w:r>
      <w:r>
        <w:t xml:space="preserve">the measured pattern: its 2θ coverage, its peak width, Kα2 (lab Cu patterns), its own background followed by</w:t>
      </w:r>
      <w:r>
        <w:t xml:space="preserve"> </w:t>
      </w:r>
      <w:r>
        <w:t xml:space="preserve">the background subtraction of Section 3.1, noise at its noise level, and the zero offset that best aligns it</w:t>
      </w:r>
      <w:r>
        <w:t xml:space="preserve"> </w:t>
      </w:r>
      <w:r>
        <w:t xml:space="preserve">with its entry; then with all six, and with all six plus an overall Debye–Waller factor (B = 4.45 Å², from</w:t>
      </w:r>
      <w:r>
        <w:t xml:space="preserve"> </w:t>
      </w:r>
      <w:r>
        <w:t xml:space="preserve">the library, Section 3.7), log-normal intensity jitter per reflection (σ = 0.3 or 0.5), or both (σ = 0.3).</w:t>
      </w:r>
      <w:r>
        <w:t xml:space="preserve"> </w:t>
      </w:r>
      <w:r>
        <w:t xml:space="preserve">Every variant is scored with the</w:t>
      </w:r>
      <w:r>
        <w:t xml:space="preserve"> </w:t>
      </w:r>
      <w:r>
        <w:t xml:space="preserve">answer sets of the measured pattern. Two of the effects use the own entry, so the ladder diagnoses the model</w:t>
      </w:r>
      <w:r>
        <w:t xml:space="preserve"> </w:t>
      </w:r>
      <w:r>
        <w:t xml:space="preserve">and is not a method. (ii)</w:t>
      </w:r>
      <w:r>
        <w:t xml:space="preserve"> </w:t>
      </w:r>
      <w:r>
        <w:rPr>
          <w:b/>
          <w:bCs/>
        </w:rPr>
        <w:t xml:space="preserve">Pattern to pattern.</w:t>
      </w:r>
      <w:r>
        <w:t xml:space="preserve"> </w:t>
      </w:r>
      <w:r>
        <w:t xml:space="preserve">The clean library patterns are passed through the model’s</w:t>
      </w:r>
      <w:r>
        <w:t xml:space="preserve"> </w:t>
      </w:r>
      <w:r>
        <w:t xml:space="preserve">pattern encoder, so measured patterns are matched against simulated patterns in the learned space without</w:t>
      </w:r>
      <w:r>
        <w:t xml:space="preserve"> </w:t>
      </w:r>
      <w:r>
        <w:t xml:space="preserve">the structure encoder. (iii)</w:t>
      </w:r>
      <w:r>
        <w:t xml:space="preserve"> </w:t>
      </w:r>
      <w:r>
        <w:rPr>
          <w:b/>
          <w:bCs/>
        </w:rPr>
        <w:t xml:space="preserve">Realism retrain.</w:t>
      </w:r>
      <w:r>
        <w:t xml:space="preserve"> </w:t>
      </w:r>
      <w:r>
        <w:t xml:space="preserve">The model was retrained once with the design and a</w:t>
      </w:r>
      <w:r>
        <w:t xml:space="preserve"> </w:t>
      </w:r>
      <w:r>
        <w:t xml:space="preserve">prediction fixed before training (repository commit 3b77818): the same split, architecture,</w:t>
      </w:r>
      <w:r>
        <w:t xml:space="preserve"> </w:t>
      </w:r>
      <w:r>
        <w:t xml:space="preserve">hyperparameters, epochs, hard-negative batches and checkpoint rule, with the training simulation extended by</w:t>
      </w:r>
      <w:r>
        <w:t xml:space="preserve"> </w:t>
      </w:r>
      <w:r>
        <w:t xml:space="preserve">a Kα2 copy (probability 0.6, I₂/I₁ = 0.5), an overall Debye–Waller factor with B drawn uniformly from 0–8 Å²,</w:t>
      </w:r>
      <w:r>
        <w:t xml:space="preserve"> </w:t>
      </w:r>
      <w:r>
        <w:t xml:space="preserve">log-normal intensity jitter per reflection with σ drawn uniformly from 0–0.5, a cut of the 2θ range (probability 0.25;</w:t>
      </w:r>
      <w:r>
        <w:t xml:space="preserve"> </w:t>
      </w:r>
      <w:r>
        <w:t xml:space="preserve">start 5–12°, end 30–50°), and the background subtraction applied to the measured patterns. The retrained</w:t>
      </w:r>
      <w:r>
        <w:t xml:space="preserve"> </w:t>
      </w:r>
      <w:r>
        <w:t xml:space="preserve">model is scored like the original, including the ladder.</w:t>
      </w:r>
    </w:p>
    <w:bookmarkEnd w:id="24"/>
    <w:bookmarkStart w:id="25" w:name="hubness-diagnosis-and-correction"/>
    <w:p>
      <w:pPr>
        <w:pStyle w:val="Heading3"/>
      </w:pPr>
      <w:r>
        <w:t xml:space="preserve">3.5 Hubness diagnosis and correction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hub</w:t>
      </w:r>
      <w:r>
        <w:t xml:space="preserve"> </w:t>
      </w:r>
      <w:r>
        <w:t xml:space="preserve">is a library entry that scores highly against many unrelated queries. We measured hubness with</w:t>
      </w:r>
      <w:r>
        <w:t xml:space="preserve"> </w:t>
      </w:r>
      <w:r>
        <w:t xml:space="preserve">probe patterns rather than the benchmark patterns: 4,000 library entries simulated cleanly and 4,000</w:t>
      </w:r>
      <w:r>
        <w:t xml:space="preserve"> </w:t>
      </w:r>
      <w:r>
        <w:t xml:space="preserve">simulated with the training-time degradations and then background-subtracted like the measured patterns,</w:t>
      </w:r>
      <w:r>
        <w:t xml:space="preserve"> </w:t>
      </w:r>
      <w:r>
        <w:t xml:space="preserve">drawn only from compounds outside the benchmark, with pairs from the same compound excluded. For each score</w:t>
      </w:r>
      <w:r>
        <w:t xml:space="preserve"> </w:t>
      </w:r>
      <w:r>
        <w:t xml:space="preserve">we report the skewness of N₁₀, the number of probes that have an entry among their ten best matches</w:t>
      </w:r>
      <w:hyperlink w:anchor="ref-radovanovic2010hubs">
        <w:r>
          <w:rPr>
            <w:rStyle w:val="Hyperlink"/>
            <w:vertAlign w:val="superscript"/>
          </w:rPr>
          <w:t xml:space="preserve">26</w:t>
        </w:r>
      </w:hyperlink>
      <w:r>
        <w:t xml:space="preserve">. With 4,000 probes and 309,080 entries the mean N₁₀ is 0.13, so these skewness values</w:t>
      </w:r>
      <w:r>
        <w:t xml:space="preserve"> </w:t>
      </w:r>
      <w:r>
        <w:t xml:space="preserve">are not comparable with those of the hubness literature.</w:t>
      </w:r>
    </w:p>
    <w:p>
      <w:pPr>
        <w:pStyle w:val="BodyText"/>
      </w:pPr>
      <w:r>
        <w:t xml:space="preserve">The analysis is exploratory: it was prompted by one entry that was the wrong first answer for many patterns</w:t>
      </w:r>
      <w:r>
        <w:t xml:space="preserve"> </w:t>
      </w:r>
      <w:r>
        <w:t xml:space="preserve">(Section 4.4). The correction itself was fixed before any corrected number was computed (repository commit</w:t>
      </w:r>
      <w:r>
        <w:t xml:space="preserve"> </w:t>
      </w:r>
      <w:r>
        <w:t xml:space="preserve">2a2ad8a): cross-domain similarity local scaling (CSLS)</w:t>
      </w:r>
      <w:hyperlink w:anchor="ref-conneau2018muse">
        <w:r>
          <w:rPr>
            <w:rStyle w:val="Hyperlink"/>
            <w:vertAlign w:val="superscript"/>
          </w:rPr>
          <w:t xml:space="preserve">38</w:t>
        </w:r>
      </w:hyperlink>
      <w:r>
        <w:t xml:space="preserve"> </w:t>
      </w:r>
      <w:r>
        <w:t xml:space="preserve">on the library side,</w:t>
      </w:r>
      <w:r>
        <w:t xml:space="preserve"> </w:t>
      </w:r>
      <w:r>
        <w:t xml:space="preserve">s′(q, r) = s(q, r) − h₁₀(r)/2, where h₁₀(r) is the mean of entry r’s ten highest scores against the degraded</w:t>
      </w:r>
      <w:r>
        <w:t xml:space="preserve"> </w:t>
      </w:r>
      <w:r>
        <w:t xml:space="preserve">probes. The query-side term of CSLS is the same for every entry and does not change ranks. As sensitivity</w:t>
      </w:r>
      <w:r>
        <w:t xml:space="preserve"> </w:t>
      </w:r>
      <w:r>
        <w:t xml:space="preserve">checks we report k = 1–100, clean probes, library-side z-normalisation and mutual proximity</w:t>
      </w:r>
      <w:hyperlink w:anchor="ref-schnitzer2012mp">
        <w:r>
          <w:rPr>
            <w:rStyle w:val="Hyperlink"/>
            <w:vertAlign w:val="superscript"/>
          </w:rPr>
          <w:t xml:space="preserve">39</w:t>
        </w:r>
      </w:hyperlink>
      <w:r>
        <w:t xml:space="preserve"> </w:t>
      </w:r>
      <w:r>
        <w:t xml:space="preserve">(ESI†); none was selected after seeing the results.</w:t>
      </w:r>
    </w:p>
    <w:bookmarkEnd w:id="25"/>
    <w:bookmarkStart w:id="26" w:name="simulated-sweep"/>
    <w:p>
      <w:pPr>
        <w:pStyle w:val="Heading3"/>
      </w:pPr>
      <w:r>
        <w:t xml:space="preserve">3.6 Simulated sweep</w:t>
      </w:r>
    </w:p>
    <w:p>
      <w:pPr>
        <w:pStyle w:val="FirstParagraph"/>
      </w:pPr>
      <w:r>
        <w:t xml:space="preserve">The sweep reuses the within-family test of ref.</w:t>
      </w:r>
      <w:hyperlink w:anchor="ref-cai2026urtc">
        <w:r>
          <w:rPr>
            <w:rStyle w:val="Hyperlink"/>
            <w:vertAlign w:val="superscript"/>
          </w:rPr>
          <w:t xml:space="preserve">18</w:t>
        </w:r>
      </w:hyperlink>
      <w:r>
        <w:t xml:space="preserve">: 1,077 held-out polymorph families with</w:t>
      </w:r>
      <w:r>
        <w:t xml:space="preserve"> </w:t>
      </w:r>
      <w:r>
        <w:t xml:space="preserve">2,835 query structures, where the query is one form’s simulated and degraded pattern and the candidates are</w:t>
      </w:r>
      <w:r>
        <w:t xml:space="preserve"> </w:t>
      </w:r>
      <w:r>
        <w:t xml:space="preserve">the clean patterns of the family’s forms (composition-only chance 0.38). In the clean condition the query is</w:t>
      </w:r>
      <w:r>
        <w:t xml:space="preserve"> </w:t>
      </w:r>
      <w:r>
        <w:t xml:space="preserve">the candidate’s own rendering, so every profile score that can align it exactly scores 1.00; the sweep</w:t>
      </w:r>
      <w:r>
        <w:t xml:space="preserve"> </w:t>
      </w:r>
      <w:r>
        <w:t xml:space="preserve">measures how far each method falls from that starting point. Each condition varies one degradation: zero</w:t>
      </w:r>
      <w:r>
        <w:t xml:space="preserve"> </w:t>
      </w:r>
      <w:r>
        <w:t xml:space="preserve">offset up to 0.3°, isotropic strain up to 1.2 %, crystallite size down to 10 nm, March–Dollase r down to 0.5</w:t>
      </w:r>
      <w:r>
        <w:t xml:space="preserve"> </w:t>
      </w:r>
      <w:r>
        <w:t xml:space="preserve">and counting noise; or an anisotropic thermal strain for a temperature change of 50–200 K, with per-axis</w:t>
      </w:r>
      <w:r>
        <w:t xml:space="preserve"> </w:t>
      </w:r>
      <w:r>
        <w:t xml:space="preserve">expansion coefficients drawn so that the mean volumetric coefficient (about 1.65 × 10⁻⁴ K⁻¹) matches the</w:t>
      </w:r>
      <w:r>
        <w:t xml:space="preserve"> </w:t>
      </w:r>
      <w:r>
        <w:t xml:space="preserve">CSD survey of ref.</w:t>
      </w:r>
      <w:hyperlink w:anchor="ref-bond2021thermal">
        <w:r>
          <w:rPr>
            <w:rStyle w:val="Hyperlink"/>
            <w:vertAlign w:val="superscript"/>
          </w:rPr>
          <w:t xml:space="preserve">40</w:t>
        </w:r>
      </w:hyperlink>
      <w:r>
        <w:t xml:space="preserve">; or combinations with random offsets and strains. Every method scores</w:t>
      </w:r>
      <w:r>
        <w:t xml:space="preserve"> </w:t>
      </w:r>
      <w:r>
        <w:t xml:space="preserve">the same rendered queries, and CIs come from a bootstrap over families. The sweep has 34 distinct</w:t>
      </w:r>
      <w:r>
        <w:t xml:space="preserve"> </w:t>
      </w:r>
      <w:r>
        <w:t xml:space="preserve">conditions (a zero offset of 0° is the clean condition). Each condition’s random draws are seeded from a</w:t>
      </w:r>
      <w:r>
        <w:t xml:space="preserve"> </w:t>
      </w:r>
      <w:r>
        <w:t xml:space="preserve">checksum of its name, so the sweep can be regenerated exactly. (A first run seeded them from Python’s salted</w:t>
      </w:r>
      <w:r>
        <w:t xml:space="preserve"> </w:t>
      </w:r>
      <w:r>
        <w:t xml:space="preserve">string hash, which cannot be regenerated; every sweep number here is from the rerun.)</w:t>
      </w:r>
    </w:p>
    <w:bookmarkEnd w:id="26"/>
    <w:bookmarkStart w:id="27" w:name="a-library-closer-to-the-measurements"/>
    <w:p>
      <w:pPr>
        <w:pStyle w:val="Heading3"/>
      </w:pPr>
      <w:r>
        <w:t xml:space="preserve">3.7 A library closer to the measurements</w:t>
      </w:r>
    </w:p>
    <w:p>
      <w:pPr>
        <w:pStyle w:val="FirstParagraph"/>
      </w:pPr>
      <w:r>
        <w:t xml:space="preserve">The library of Section 2.4 leaves out several features of the measured patterns. As a robustness check, all</w:t>
      </w:r>
      <w:r>
        <w:t xml:space="preserve"> </w:t>
      </w:r>
      <w:r>
        <w:t xml:space="preserve">classical scores were recomputed with one package of changes, fixed before scoring (repository commit</w:t>
      </w:r>
      <w:r>
        <w:t xml:space="preserve"> </w:t>
      </w:r>
      <w:r>
        <w:t xml:space="preserve">4d4dae3). (a) An overall Debye–Waller factor on the library intensities, I exp(−2Bs²) with s = sin θ/λ and</w:t>
      </w:r>
      <w:r>
        <w:t xml:space="preserve"> </w:t>
      </w:r>
      <w:r>
        <w:t xml:space="preserve">B = 4.45 Å², which is 8π² times the median mean non-H U_eq of 5,000 random library entries measured at</w:t>
      </w:r>
      <w:r>
        <w:t xml:space="preserve"> </w:t>
      </w:r>
      <w:r>
        <w:t xml:space="preserve">283–303 K. (b) For the 68 patterns not measured with Cu Kα, the Lorentz–polarisation factor converted from</w:t>
      </w:r>
      <w:r>
        <w:t xml:space="preserve"> </w:t>
      </w:r>
      <w:r>
        <w:t xml:space="preserve">the measurement to Cu Kα1, with polarisation (1 + cos² 2θ)/2 for laboratory tubes and none for synchrotrons</w:t>
      </w:r>
      <w:r>
        <w:t xml:space="preserve"> </w:t>
      </w:r>
      <w:r>
        <w:t xml:space="preserve">(an assumption). (c) For the 125 laboratory-tube patterns, Kα2 as a nuisance: the score is the higher of</w:t>
      </w:r>
      <w:r>
        <w:t xml:space="preserve"> </w:t>
      </w:r>
      <w:r>
        <w:t xml:space="preserve">those against a Kα1 library and a Kα1 + Kα2 library (I₂/I₁ = 0.5), because opXRD does not record whether</w:t>
      </w:r>
      <w:r>
        <w:t xml:space="preserve"> </w:t>
      </w:r>
      <w:r>
        <w:t xml:space="preserve">the beam was monochromated. (d) For the 46 patterns that do not cover 5–50°, comparison over the measured</w:t>
      </w:r>
      <w:r>
        <w:t xml:space="preserve"> </w:t>
      </w:r>
      <w:r>
        <w:t xml:space="preserve">range only (reference norms over the query’s coverage, not shifted with the zero scan). Each change was also</w:t>
      </w:r>
      <w:r>
        <w:t xml:space="preserve"> </w:t>
      </w:r>
      <w:r>
        <w:t xml:space="preserve">removed on its own to give one-off ablations. None of the four was selected after seeing results.</w:t>
      </w:r>
    </w:p>
    <w:bookmarkEnd w:id="27"/>
    <w:bookmarkStart w:id="28" w:name="variable-cell-re-rank"/>
    <w:p>
      <w:pPr>
        <w:pStyle w:val="Heading3"/>
      </w:pPr>
      <w:r>
        <w:t xml:space="preserve">3.8 Variable-cell re-rank</w:t>
      </w:r>
    </w:p>
    <w:p>
      <w:pPr>
        <w:pStyle w:val="FirstParagraph"/>
      </w:pPr>
      <w:r>
        <w:t xml:space="preserve">Single-crystal references fail mainly when their cell differs from the measured one (Section 4.2), which</w:t>
      </w:r>
      <w:r>
        <w:t xml:space="preserve"> </w:t>
      </w:r>
      <w:r>
        <w:t xml:space="preserve">variable-cell comparison is designed to absorb. We re-ranked shortlists with VC-GPWDF</w:t>
      </w:r>
      <w:hyperlink w:anchor="ref-oterodelaroza2024vcgpwdf">
        <w:r>
          <w:rPr>
            <w:rStyle w:val="Hyperlink"/>
            <w:vertAlign w:val="superscript"/>
          </w:rPr>
          <w:t xml:space="preserve">22</w:t>
        </w:r>
      </w:hyperlink>
      <w:r>
        <w:t xml:space="preserve"> </w:t>
      </w:r>
      <w:r>
        <w:t xml:space="preserve">as implemented in critic2 1.4</w:t>
      </w:r>
      <w:hyperlink w:anchor="ref-oterodelaroza2014critic2">
        <w:r>
          <w:rPr>
            <w:rStyle w:val="Hyperlink"/>
            <w:vertAlign w:val="superscript"/>
          </w:rPr>
          <w:t xml:space="preserve">41</w:t>
        </w:r>
      </w:hyperlink>
      <w:r>
        <w:t xml:space="preserve">, which compares a</w:t>
      </w:r>
      <w:r>
        <w:t xml:space="preserve"> </w:t>
      </w:r>
      <w:r>
        <w:t xml:space="preserve">candidate structure with a measured pattern while varying the candidate’s cell (±10 % in lengths and ±5° in</w:t>
      </w:r>
      <w:r>
        <w:t xml:space="preserve"> </w:t>
      </w:r>
      <w:r>
        <w:t xml:space="preserve">angles in its quick mode). We ran the published pipeline: background fit with 20 knots, peak fit with the</w:t>
      </w:r>
      <w:r>
        <w:t xml:space="preserve"> </w:t>
      </w:r>
      <w:r>
        <w:t xml:space="preserve">default settings, and the global quick comparison with α = 1 as in the paper (the code’s default is 0.5) and</w:t>
      </w:r>
      <w:r>
        <w:t xml:space="preserve"> </w:t>
      </w:r>
      <w:r>
        <w:t xml:space="preserve">the measurement wavelength; it applies no zero-offset correction. One step was added: each pattern was cut</w:t>
      </w:r>
      <w:r>
        <w:t xml:space="preserve"> </w:t>
      </w:r>
      <w:r>
        <w:t xml:space="preserve">to the d-spacing window that the other scores see (Cu Kα1 2θ of 5–50°). The shortlist of each single-crystal</w:t>
      </w:r>
      <w:r>
        <w:t xml:space="preserve"> </w:t>
      </w:r>
      <w:r>
        <w:t xml:space="preserve">pattern is the 50 best entries of ln q, with set-aside entries excluded; a pattern whose answer is not in</w:t>
      </w:r>
      <w:r>
        <w:t xml:space="preserve"> </w:t>
      </w:r>
      <w:r>
        <w:t xml:space="preserve">its shortlist counts as a miss, and a comparison that fails or runs past a 4-hour limit counts as maximally</w:t>
      </w:r>
      <w:r>
        <w:t xml:space="preserve"> </w:t>
      </w:r>
      <w:r>
        <w:t xml:space="preserve">dissimilar. We had planned a shortlist of 100, but the shortlist holds the answer for the same 36 of the 59</w:t>
      </w:r>
      <w:r>
        <w:t xml:space="preserve"> </w:t>
      </w:r>
      <w:r>
        <w:t xml:space="preserve">patterns at 50 as at 100, so the further entries could only have added competitors; the shorter list is, if</w:t>
      </w:r>
      <w:r>
        <w:t xml:space="preserve"> </w:t>
      </w:r>
      <w:r>
        <w:t xml:space="preserve">anything, favourable to the re-rank. A comparison took a median of 2.2 CPU-minutes and up to 3.0 CPU-hours</w:t>
      </w:r>
      <w:r>
        <w:t xml:space="preserve"> </w:t>
      </w:r>
      <w:r>
        <w:t xml:space="preserve">for the largest cells; one of the 2,950 comparisons reached the limit, in a shortlist that does not hold the</w:t>
      </w:r>
      <w:r>
        <w:t xml:space="preserve"> </w:t>
      </w:r>
      <w:r>
        <w:t xml:space="preserve">answer, so it changes no result.</w:t>
      </w:r>
    </w:p>
    <w:bookmarkEnd w:id="28"/>
    <w:bookmarkEnd w:id="29"/>
    <w:bookmarkStart w:id="52" w:name="results"/>
    <w:p>
      <w:pPr>
        <w:pStyle w:val="Heading2"/>
      </w:pPr>
      <w:r>
        <w:t xml:space="preserve">4. Results</w:t>
      </w:r>
    </w:p>
    <w:bookmarkStart w:id="33" w:name="X12dfde5b49dde2a1566b90dde48c2d05f642d47"/>
    <w:p>
      <w:pPr>
        <w:pStyle w:val="Heading3"/>
      </w:pPr>
      <w:r>
        <w:t xml:space="preserve">4.1 Simulated queries: the model loses in every condition</w:t>
      </w:r>
    </w:p>
    <w:p>
      <w:pPr>
        <w:pStyle w:val="FirstParagraph"/>
      </w:pPr>
      <w:r>
        <w:t xml:space="preserve">Across the 34 conditions the model scores 0.47–0.57 within-family top-1 and the best classical score</w:t>
      </w:r>
      <w:r>
        <w:t xml:space="preserve"> </w:t>
      </w:r>
      <w:r>
        <w:t xml:space="preserve">0.64–1.00 (Fig. 2). The best classical score leads by 0.12 to 0.48, and the 95 % CIs never overlap. The</w:t>
      </w:r>
      <w:r>
        <w:t xml:space="preserve"> </w:t>
      </w:r>
      <w:r>
        <w:t xml:space="preserve">result does not depend on picking the best score per condition: WCC (each of l = 0.5°, 1° and 2°) and the</w:t>
      </w:r>
      <w:r>
        <w:t xml:space="preserve"> </w:t>
      </w:r>
      <w:r>
        <w:t xml:space="preserve">ln q scan beat the model with non-overlapping CIs in all 34 conditions, and Pearson + zero scan in 32.</w:t>
      </w:r>
    </w:p>
    <w:p>
      <w:pPr>
        <w:pStyle w:val="BodyText"/>
      </w:pPr>
      <w:r>
        <w:t xml:space="preserve">The fixed-grid Pearson baseline of our earlier work behaves as reported there: it falls to chance by a</w:t>
      </w:r>
      <w:r>
        <w:t xml:space="preserve"> </w:t>
      </w:r>
      <w:r>
        <w:t xml:space="preserve">0.15° zero offset or a 0.8 % strain, while the model is flat (Fig. 2a and b). The zero scan removes that</w:t>
      </w:r>
      <w:r>
        <w:t xml:space="preserve"> </w:t>
      </w:r>
      <w:r>
        <w:t xml:space="preserve">weakness: Pearson + zero scan scores 1.00 at every offset that is a multiple of the 0.02° step; the dips at</w:t>
      </w:r>
      <w:r>
        <w:t xml:space="preserve"> </w:t>
      </w:r>
      <w:r>
        <w:t xml:space="preserve">0.05° and 0.15° are offsets that fall between grid points. The ln q scan, whose offsets are 0.04° apart,</w:t>
      </w:r>
      <w:r>
        <w:t xml:space="preserve"> </w:t>
      </w:r>
      <w:r>
        <w:t xml:space="preserve">also dips at 0.1° and 0.3° (0.88 at both). It holds 0.89 at 1.2 % isotropic strain. The model’s curves are</w:t>
      </w:r>
      <w:r>
        <w:t xml:space="preserve"> </w:t>
      </w:r>
      <w:r>
        <w:t xml:space="preserve">flat, but they are flat at about 0.55; its clean within-family top-1 is 0.56. The smallest gap, −0.12, comes</w:t>
      </w:r>
      <w:r>
        <w:t xml:space="preserve"> </w:t>
      </w:r>
      <w:r>
        <w:t xml:space="preserve">from large anisotropic thermal strain combined with a degraded profile. Even there, WCC (l = 0.5°) leads,</w:t>
      </w:r>
      <w:r>
        <w:t xml:space="preserve"> </w:t>
      </w:r>
      <w:r>
        <w:t xml:space="preserve">0.64 against 0.52, with WCC (l = 1°) and the ln q scan within 0.01 of it.</w:t>
      </w:r>
    </w:p>
    <w:p>
      <w:pPr>
        <w:pStyle w:val="BodyText"/>
      </w:pPr>
      <w:r>
        <w:drawing>
          <wp:inline>
            <wp:extent cx="5334000" cy="285766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s/fig2_simulated_swee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2</w:t>
      </w:r>
      <w:r>
        <w:t xml:space="preserve"> </w:t>
      </w:r>
      <w:r>
        <w:t xml:space="preserve">Simulated stress test: within-family top-1 over 1,077 polymorph families (2,835 queries).</w:t>
      </w:r>
      <w:r>
        <w:t xml:space="preserve"> </w:t>
      </w:r>
      <w:r>
        <w:t xml:space="preserve">Bands are 95 % family-bootstrap CIs; the dashed line is composition-only chance (0.38). (a) 2θ zero</w:t>
      </w:r>
      <w:r>
        <w:t xml:space="preserve"> </w:t>
      </w:r>
      <w:r>
        <w:t xml:space="preserve">offset, (b) isotropic lattice strain, (c) anisotropic thermal strain, (d) crystallite size,</w:t>
      </w:r>
      <w:r>
        <w:t xml:space="preserve"> </w:t>
      </w:r>
      <w:r>
        <w:t xml:space="preserve">(e) March–Dollase preferred orientation, (f) counting statistics. The l = 0 score is Pearson + zero scan</w:t>
      </w:r>
      <w:r>
        <w:t xml:space="preserve"> </w:t>
      </w:r>
      <w:r>
        <w:t xml:space="preserve">here (cosine + zero scan on the measured patterns). In (a), the zero-scan scores dip at offsets that fall</w:t>
      </w:r>
      <w:r>
        <w:t xml:space="preserve"> </w:t>
      </w:r>
      <w:r>
        <w:t xml:space="preserve">between the points of their 0.02° offset grid (0.05° and 0.15°), and the ln q score at offsets off its</w:t>
      </w:r>
      <w:r>
        <w:t xml:space="preserve"> </w:t>
      </w:r>
      <w:r>
        <w:t xml:space="preserve">0.04° grid (0.05°, 0.1°, 0.15° and 0.3°).</w:t>
      </w:r>
    </w:p>
    <w:bookmarkEnd w:id="33"/>
    <w:bookmarkStart w:id="34" w:name="Xe27908ce711f1b7b4301467a877ce520b07468c"/>
    <w:p>
      <w:pPr>
        <w:pStyle w:val="Heading3"/>
      </w:pPr>
      <w:r>
        <w:t xml:space="preserve">4.2 The realistic case: independent single-crystal references</w:t>
      </w:r>
    </w:p>
    <w:p>
      <w:pPr>
        <w:pStyle w:val="FirstParagraph"/>
      </w:pPr>
      <w:r>
        <w:t xml:space="preserve">When the pattern’s own powder-study entry is set aside and only independent single-crystal determinations</w:t>
      </w:r>
      <w:r>
        <w:t xml:space="preserve"> </w:t>
      </w:r>
      <w:r>
        <w:t xml:space="preserve">count, the classical scores reach 0.30–0.50 compound-weighted top-1 (Table 1, Fig. 3a) and the model 0.00.</w:t>
      </w:r>
      <w:r>
        <w:t xml:space="preserve"> </w:t>
      </w:r>
      <w:r>
        <w:t xml:space="preserve">For 34–47 % of these patterns the first correct entry lies beyond rank 1,000 for every classical score.</w:t>
      </w:r>
    </w:p>
    <w:p>
      <w:pPr>
        <w:pStyle w:val="BodyText"/>
      </w:pPr>
      <w:r>
        <w:t xml:space="preserve">Strain tolerance helps here, although the intervals are wide. Paired over compounds, WCC (l = 1°) beats</w:t>
      </w:r>
      <w:r>
        <w:t xml:space="preserve"> </w:t>
      </w:r>
      <w:r>
        <w:t xml:space="preserve">fixed-grid Pearson by 0.20 [0.03, 0.36]; the ln q scan (+0.15 [0.00, 0.31]), cosine + zero scan</w:t>
      </w:r>
      <w:r>
        <w:t xml:space="preserve"> </w:t>
      </w:r>
      <w:r>
        <w:t xml:space="preserve">(+0.10 [−0.05, 0.24]) and WCC (l = 2°, +0.16 [−0.03, 0.35]) are not resolved. The ln q scan has the best</w:t>
      </w:r>
      <w:r>
        <w:t xml:space="preserve"> </w:t>
      </w:r>
      <w:r>
        <w:t xml:space="preserve">median rank, 7.</w:t>
      </w:r>
    </w:p>
    <w:p>
      <w:pPr>
        <w:pStyle w:val="BodyText"/>
      </w:pPr>
      <w:r>
        <w:t xml:space="preserve">What separates success from failure is how well the cells agree. Where the closest single-crystal entry</w:t>
      </w:r>
      <w:r>
        <w:t xml:space="preserve"> </w:t>
      </w:r>
      <w:r>
        <w:t xml:space="preserve">has every cell length within 1 % of the powder-study entry’s, the ln q scan ranks it first for 0.68 of</w:t>
      </w:r>
      <w:r>
        <w:t xml:space="preserve"> </w:t>
      </w:r>
      <w:r>
        <w:t xml:space="preserve">patterns (34 patterns); where they differ by more, for 0.08 (25 patterns). Thermal expansion is the obvious</w:t>
      </w:r>
      <w:r>
        <w:t xml:space="preserve"> </w:t>
      </w:r>
      <w:r>
        <w:t xml:space="preserve">suspect, since a typical molecular crystal expands by about 3 % in volume between 100 K and room</w:t>
      </w:r>
      <w:r>
        <w:t xml:space="preserve"> </w:t>
      </w:r>
      <w:r>
        <w:t xml:space="preserve">temperature</w:t>
      </w:r>
      <w:hyperlink w:anchor="ref-bond2021thermal">
        <w:r>
          <w:rPr>
            <w:rStyle w:val="Hyperlink"/>
            <w:vertAlign w:val="superscript"/>
          </w:rPr>
          <w:t xml:space="preserve">40</w:t>
        </w:r>
      </w:hyperlink>
      <w:r>
        <w:t xml:space="preserve">, but the recorded temperatures of the two entries differ by a median of 3 K</w:t>
      </w:r>
      <w:r>
        <w:t xml:space="preserve"> </w:t>
      </w:r>
      <w:r>
        <w:t xml:space="preserve">for the 36 patterns where both are known, so it explains few of these mismatches. Pressure, refinement</w:t>
      </w:r>
      <w:r>
        <w:t xml:space="preserve"> </w:t>
      </w:r>
      <w:r>
        <w:t xml:space="preserve">differences and the low precision of some early determinations are other candidates; we did not resolve</w:t>
      </w:r>
      <w:r>
        <w:t xml:space="preserve"> </w:t>
      </w:r>
      <w:r>
        <w:t xml:space="preserve">them. The ln q scan absorbs isotropic strain up to 3 %, so its failures beyond 1 % suggest anisotropic</w:t>
      </w:r>
      <w:r>
        <w:t xml:space="preserve"> </w:t>
      </w:r>
      <w:r>
        <w:t xml:space="preserve">cell differences, which variable-cell comparison is designed to absorb.</w:t>
      </w:r>
    </w:p>
    <w:p>
      <w:pPr>
        <w:pStyle w:val="BodyText"/>
      </w:pPr>
      <w:r>
        <w:rPr>
          <w:b/>
          <w:bCs/>
        </w:rPr>
        <w:t xml:space="preserve">Variable-cell re-rank.</w:t>
      </w:r>
      <w:r>
        <w:t xml:space="preserve"> </w:t>
      </w:r>
      <w:r>
        <w:t xml:space="preserve">Re-ranking the ln q top 50 with VC-GPWDF (Section 3.8) gives a compound-weighted</w:t>
      </w:r>
      <w:r>
        <w:t xml:space="preserve"> </w:t>
      </w:r>
      <w:r>
        <w:t xml:space="preserve">top-1 of 0.50 [0.32, 0.67], against 0.45 [0.28, 0.63] for the ln q scan on the same patterns; the paired</w:t>
      </w:r>
      <w:r>
        <w:t xml:space="preserve"> </w:t>
      </w:r>
      <w:r>
        <w:t xml:space="preserve">difference, +0.05 [−0.11, 0.20], does not resolve them, and at top-10 the re-rank is no better (0.59</w:t>
      </w:r>
      <w:r>
        <w:t xml:space="preserve"> </w:t>
      </w:r>
      <w:r>
        <w:t xml:space="preserve">against 0.61). Per pattern, the re-rank ranks the answer first for 26 of the 59 patterns and the ln q scan</w:t>
      </w:r>
      <w:r>
        <w:t xml:space="preserve"> </w:t>
      </w:r>
      <w:r>
        <w:t xml:space="preserve">for 25. Of the 36 patterns whose shortlist holds the answer, the re-rank moves it to first place for 4 (from</w:t>
      </w:r>
      <w:r>
        <w:t xml:space="preserve"> </w:t>
      </w:r>
      <w:r>
        <w:t xml:space="preserve">ln q ranks 2, 3, 7 and 9) and moves ln q’s correct first choice down for 3 (to ranks 2, 22 and 50, the last</w:t>
      </w:r>
      <w:r>
        <w:t xml:space="preserve"> </w:t>
      </w:r>
      <w:r>
        <w:t xml:space="preserve">of its shortlist). Where the cells differ by more than 1 %, it ranks the answer first for 4 of the 25</w:t>
      </w:r>
      <w:r>
        <w:t xml:space="preserve"> </w:t>
      </w:r>
      <w:r>
        <w:t xml:space="preserve">patterns, against 2 for the ln q scan; where they agree, for 22 of 34, against 23. Variable-cell comparison</w:t>
      </w:r>
      <w:r>
        <w:t xml:space="preserve"> </w:t>
      </w:r>
      <w:r>
        <w:t xml:space="preserve">recovers a few of the mismatched cells, but most single-crystal failures remain: for 23 of the 59 patterns</w:t>
      </w:r>
      <w:r>
        <w:t xml:space="preserve"> </w:t>
      </w:r>
      <w:r>
        <w:t xml:space="preserve">the answer is not among the 50 entries re-ranked, and 21 of the 25 patterns with mismatched cells still</w:t>
      </w:r>
      <w:r>
        <w:t xml:space="preserve"> </w:t>
      </w:r>
      <w:r>
        <w:t xml:space="preserve">fail.</w:t>
      </w:r>
    </w:p>
    <w:p>
      <w:pPr>
        <w:pStyle w:val="BodyText"/>
      </w:pPr>
      <w:r>
        <w:rPr>
          <w:b/>
          <w:bCs/>
        </w:rPr>
        <w:t xml:space="preserve">Table 1</w:t>
      </w:r>
      <w:r>
        <w:t xml:space="preserve"> </w:t>
      </w:r>
      <w:r>
        <w:t xml:space="preserve">Retrieval of 188 measured opXRD patterns from 309,080 simulated CSD entries</w:t>
      </w:r>
      <w:r>
        <w:t xml:space="preserve"> </w:t>
      </w:r>
      <w:r>
        <w:t xml:space="preserve">(background-subtracted queries, no hubness correction). Compound-weighted top-1 and top-10, with 95 %</w:t>
      </w:r>
      <w:r>
        <w:t xml:space="preserve"> </w:t>
      </w:r>
      <w:r>
        <w:t xml:space="preserve">compound-bootstrap CIs for top-1; per-pattern top-1; median rank of the first correct entry over patterns.</w:t>
      </w:r>
      <w:r>
        <w:t xml:space="preserve"> </w:t>
      </w:r>
      <w:r>
        <w:t xml:space="preserve">The variable-cell re-rank exists for the single-crystal set only; a pattern whose answer is not in its</w:t>
      </w:r>
      <w:r>
        <w:t xml:space="preserve"> </w:t>
      </w:r>
      <w:r>
        <w:t xml:space="preserve">shortlist counts as a miss, and its median rank falls inside the shortlist.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Single-crystal entry only (30 compounds): top-1</w:t>
            </w:r>
          </w:p>
        </w:tc>
        <w:tc>
          <w:tcPr/>
          <w:p>
            <w:pPr>
              <w:pStyle w:val="Compact"/>
            </w:pPr>
            <w:r>
              <w:t xml:space="preserve">top-10</w:t>
            </w:r>
          </w:p>
        </w:tc>
        <w:tc>
          <w:tcPr/>
          <w:p>
            <w:pPr>
              <w:pStyle w:val="Compact"/>
            </w:pPr>
            <w:r>
              <w:t xml:space="preserve">median rank</w:t>
            </w:r>
          </w:p>
        </w:tc>
        <w:tc>
          <w:tcPr/>
          <w:p>
            <w:pPr>
              <w:pStyle w:val="Compact"/>
            </w:pPr>
            <w:r>
              <w:t xml:space="preserve">Any same-form entry (123 compounds): top-1</w:t>
            </w:r>
          </w:p>
        </w:tc>
        <w:tc>
          <w:tcPr/>
          <w:p>
            <w:pPr>
              <w:pStyle w:val="Compact"/>
            </w:pPr>
            <w:r>
              <w:t xml:space="preserve">top-10</w:t>
            </w:r>
          </w:p>
        </w:tc>
        <w:tc>
          <w:tcPr/>
          <w:p>
            <w:pPr>
              <w:pStyle w:val="Compact"/>
            </w:pPr>
            <w:r>
              <w:t xml:space="preserve">per-pattern top-1</w:t>
            </w:r>
          </w:p>
        </w:tc>
        <w:tc>
          <w:tcPr/>
          <w:p>
            <w:pPr>
              <w:pStyle w:val="Compact"/>
            </w:pPr>
            <w:r>
              <w:t xml:space="preserve">median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VC-GPWDF re-rank of the ln q top 50</w:t>
            </w:r>
          </w:p>
        </w:tc>
        <w:tc>
          <w:tcPr/>
          <w:p>
            <w:pPr>
              <w:pStyle w:val="Compact"/>
            </w:pPr>
            <w:r>
              <w:t xml:space="preserve">0.50 [0.32, 0.67]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0.45 [0.28, 0.63]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0.87 [0.82, 0.93]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0.50 [0.32, 0.67]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0.83 [0.76, 0.89]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0.47 [0.30, 0.63]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0.71 [0.63, 0.78]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0.40 [0.24, 0.57]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0.84 [0.78, 0.90]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0.30 [0.15, 0.48]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0.83 [0.77, 0.89]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0.00 [0.00, 0.00]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18,725</w:t>
            </w:r>
          </w:p>
        </w:tc>
        <w:tc>
          <w:tcPr/>
          <w:p>
            <w:pPr>
              <w:pStyle w:val="Compact"/>
            </w:pPr>
            <w:r>
              <w:t xml:space="preserve">0.02 [0.00, 0.04]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5,988.5</w:t>
            </w:r>
          </w:p>
        </w:tc>
      </w:tr>
    </w:tbl>
    <w:bookmarkEnd w:id="34"/>
    <w:bookmarkStart w:id="38" w:name="when-the-patterns-own-entry-counts"/>
    <w:p>
      <w:pPr>
        <w:pStyle w:val="Heading3"/>
      </w:pPr>
      <w:r>
        <w:t xml:space="preserve">4.3 When the pattern’s own entry counts</w:t>
      </w:r>
    </w:p>
    <w:p>
      <w:pPr>
        <w:pStyle w:val="FirstParagraph"/>
      </w:pPr>
      <w:r>
        <w:t xml:space="preserve">With every same-form entry correct, the classical scores reach a compound-weighted top-1 of 0.71–0.87: the</w:t>
      </w:r>
      <w:r>
        <w:t xml:space="preserve"> </w:t>
      </w:r>
      <w:r>
        <w:t xml:space="preserve">ln q scan 0.87, cosine + zero scan 0.84, Pearson and WCC (l = 1°) 0.83, and WCC (l = 2°) 0.71. Paired over</w:t>
      </w:r>
      <w:r>
        <w:t xml:space="preserve"> </w:t>
      </w:r>
      <w:r>
        <w:t xml:space="preserve">compounds, only WCC (l = 2°) differs from fixed-grid Pearson (−0.12 [−0.21, −0.03]); the others are</w:t>
      </w:r>
      <w:r>
        <w:t xml:space="preserve"> </w:t>
      </w:r>
      <w:r>
        <w:t xml:space="preserve">within ±0.05 of it with CIs spanning zero. Top-10 is 0.88–0.94 for all but WCC (l = 2°). The learned model</w:t>
      </w:r>
      <w:r>
        <w:t xml:space="preserve"> </w:t>
      </w:r>
      <w:r>
        <w:t xml:space="preserve">reaches 0.02, and 0.04 at top-10; its median rank for the first correct entry is about 6,000.</w:t>
      </w:r>
    </w:p>
    <w:p>
      <w:pPr>
        <w:pStyle w:val="BodyText"/>
      </w:pPr>
      <w:r>
        <w:drawing>
          <wp:inline>
            <wp:extent cx="5334000" cy="203175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s/fig3_real_benchmark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1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3</w:t>
      </w:r>
      <w:r>
        <w:t xml:space="preserve"> </w:t>
      </w:r>
      <w:r>
        <w:t xml:space="preserve">Retrieval of 188 measured patterns from 309,080 simulated CSD entries (background-subtracted</w:t>
      </w:r>
      <w:r>
        <w:t xml:space="preserve"> </w:t>
      </w:r>
      <w:r>
        <w:t xml:space="preserve">queries). (a) Compound-weighted top-1 with 95 % compound-bootstrap CIs when any same-form entry is</w:t>
      </w:r>
      <w:r>
        <w:t xml:space="preserve"> </w:t>
      </w:r>
      <w:r>
        <w:t xml:space="preserve">correct (filled circles, 123 compounds) and when only independent single-crystal entries are correct</w:t>
      </w:r>
      <w:r>
        <w:t xml:space="preserve"> </w:t>
      </w:r>
      <w:r>
        <w:t xml:space="preserve">(open squares, 30 compounds); vertical bars mark the value with the CSLS hubness correction. The top row is</w:t>
      </w:r>
      <w:r>
        <w:t xml:space="preserve"> </w:t>
      </w:r>
      <w:r>
        <w:t xml:space="preserve">the variable-cell re-rank of the ln q top 50, which exists for the single-crystal set only.</w:t>
      </w:r>
      <w:r>
        <w:t xml:space="preserve"> </w:t>
      </w:r>
      <w:r>
        <w:t xml:space="preserve">(b) Compound-weighted top-1 against library size (any same-form entry; random decoy subsets; the s.d. over</w:t>
      </w:r>
      <w:r>
        <w:t xml:space="preserve"> </w:t>
      </w:r>
      <w:r>
        <w:t xml:space="preserve">five draws is below 0.02).</w:t>
      </w:r>
    </w:p>
    <w:p>
      <w:pPr>
        <w:pStyle w:val="BodyText"/>
      </w:pPr>
      <w:r>
        <w:rPr>
          <w:b/>
          <w:bCs/>
        </w:rPr>
        <w:t xml:space="preserve">Background subtraction matters.</w:t>
      </w:r>
      <w:r>
        <w:t xml:space="preserve"> </w:t>
      </w:r>
      <w:r>
        <w:t xml:space="preserve">Without it, compound-weighted top-1 drops to 0.78 for Pearson, 0.72</w:t>
      </w:r>
      <w:r>
        <w:t xml:space="preserve"> </w:t>
      </w:r>
      <w:r>
        <w:t xml:space="preserve">for cosine + zero scan, 0.39 for WCC l = 1° and 0.27 for WCC l = 2°. The loss is much larger with a</w:t>
      </w:r>
      <w:r>
        <w:t xml:space="preserve"> </w:t>
      </w:r>
      <w:r>
        <w:t xml:space="preserve">triangle weight (0.44 for both widths) than without one (0.12 for cosine + zero scan), presumably because</w:t>
      </w:r>
      <w:r>
        <w:t xml:space="preserve"> </w:t>
      </w:r>
      <w:r>
        <w:t xml:space="preserve">a triangle averages each comparison over neighbouring points, so a slowly varying background contributes</w:t>
      </w:r>
      <w:r>
        <w:t xml:space="preserve"> </w:t>
      </w:r>
      <w:r>
        <w:t xml:space="preserve">to every overlap. Our background removal is a simple rolling minimum, and a better one may help further.</w:t>
      </w:r>
    </w:p>
    <w:p>
      <w:pPr>
        <w:pStyle w:val="BodyText"/>
      </w:pPr>
      <w:r>
        <w:rPr>
          <w:b/>
          <w:bCs/>
        </w:rPr>
        <w:t xml:space="preserve">Per-pattern and compound-weighted rankings differ.</w:t>
      </w:r>
      <w:r>
        <w:t xml:space="preserve"> </w:t>
      </w:r>
      <w:r>
        <w:t xml:space="preserve">Per pattern, fixed-grid Pearson leads (0.82) and</w:t>
      </w:r>
      <w:r>
        <w:t xml:space="preserve"> </w:t>
      </w:r>
      <w:r>
        <w:t xml:space="preserve">the zero-scan scores trail (0.57–0.72). Pearson ranks 28 patterns first that cosine + zero scan misses, and</w:t>
      </w:r>
      <w:r>
        <w:t xml:space="preserve"> </w:t>
      </w:r>
      <w:r>
        <w:t xml:space="preserve">cosine + zero scan 10 that Pearson misses; 12 of the net difference of 18 come from one compound, ZZZUWK,</w:t>
      </w:r>
      <w:r>
        <w:t xml:space="preserve"> </w:t>
      </w:r>
      <w:r>
        <w:t xml:space="preserve">which contributes 20 of the 188 patterns (Section 4.4). Without ZZZUWK, Pearson still leads per pattern</w:t>
      </w:r>
      <w:r>
        <w:t xml:space="preserve"> </w:t>
      </w:r>
      <w:r>
        <w:t xml:space="preserve">(0.85 against 0.81 for cosine + zero scan and the ln q scan).</w:t>
      </w:r>
    </w:p>
    <w:p>
      <w:pPr>
        <w:pStyle w:val="BodyText"/>
      </w:pPr>
      <w:r>
        <w:rPr>
          <w:b/>
          <w:bCs/>
        </w:rPr>
        <w:t xml:space="preserve">Disordered entries are harder.</w:t>
      </w:r>
      <w:r>
        <w:t xml:space="preserve"> </w:t>
      </w:r>
      <w:r>
        <w:t xml:space="preserve">For the 28 patterns (9 compounds) whose own entry is disordered, the</w:t>
      </w:r>
      <w:r>
        <w:t xml:space="preserve"> </w:t>
      </w:r>
      <w:r>
        <w:t xml:space="preserve">classical scores reach 0.56–0.78 compound-weighted top-1, against 0.71–0.88 for the other 160 patterns.</w:t>
      </w:r>
      <w:r>
        <w:t xml:space="preserve"> </w:t>
      </w:r>
      <w:r>
        <w:t xml:space="preserve">Our simulation treats these entries only approximately (Section 2.4). Converted non-Cu patterns are not</w:t>
      </w:r>
      <w:r>
        <w:t xml:space="preserve"> </w:t>
      </w:r>
      <w:r>
        <w:t xml:space="preserve">harder than Cu patterns (ESI†).</w:t>
      </w:r>
    </w:p>
    <w:p>
      <w:pPr>
        <w:pStyle w:val="BodyText"/>
      </w:pPr>
      <w:r>
        <w:rPr>
          <w:b/>
          <w:bCs/>
        </w:rPr>
        <w:t xml:space="preserve">Library size.</w:t>
      </w:r>
      <w:r>
        <w:t xml:space="preserve"> </w:t>
      </w:r>
      <w:r>
        <w:t xml:space="preserve">All classical scores lose 0.06–0.12 in compound-weighted top-1 between a 2,000-entry</w:t>
      </w:r>
      <w:r>
        <w:t xml:space="preserve"> </w:t>
      </w:r>
      <w:r>
        <w:t xml:space="preserve">library and the full one (Fig. 3b): Pearson 0.93 → 0.83, cosine + zero scan 0.93 → 0.84, WCC l = 1°</w:t>
      </w:r>
      <w:r>
        <w:t xml:space="preserve"> </w:t>
      </w:r>
      <w:r>
        <w:t xml:space="preserve">0.90 → 0.83, WCC l = 2° 0.83 → 0.71 and ln q 0.93 → 0.87. Results on small libraries overstate accuracy at</w:t>
      </w:r>
      <w:r>
        <w:t xml:space="preserve"> </w:t>
      </w:r>
      <w:r>
        <w:t xml:space="preserve">database scale.</w:t>
      </w:r>
    </w:p>
    <w:p>
      <w:pPr>
        <w:pStyle w:val="BodyText"/>
      </w:pPr>
      <w:r>
        <w:rPr>
          <w:b/>
          <w:bCs/>
        </w:rPr>
        <w:t xml:space="preserve">Within families,</w:t>
      </w:r>
      <w:r>
        <w:t xml:space="preserve"> </w:t>
      </w:r>
      <w:r>
        <w:t xml:space="preserve">with only the compound’s own forms as candidates (chance 0.40), the classical scores</w:t>
      </w:r>
      <w:r>
        <w:t xml:space="preserve"> </w:t>
      </w:r>
      <w:r>
        <w:t xml:space="preserve">reach 0.94–0.98 top-1 and the model 0.71 (51 patterns).</w:t>
      </w:r>
    </w:p>
    <w:bookmarkEnd w:id="38"/>
    <w:bookmarkStart w:id="42" w:name="X326caf1ad4de8f630beaf9cf4662ea4e20903e8"/>
    <w:p>
      <w:pPr>
        <w:pStyle w:val="Heading3"/>
      </w:pPr>
      <w:r>
        <w:t xml:space="preserve">4.4 One compound, twenty patterns, and the hubness correction</w:t>
      </w:r>
    </w:p>
    <w:p>
      <w:pPr>
        <w:pStyle w:val="FirstParagraph"/>
      </w:pPr>
      <w:r>
        <w:rPr>
          <w:b/>
          <w:bCs/>
        </w:rPr>
        <w:t xml:space="preserve">Hubness.</w:t>
      </w:r>
      <w:r>
        <w:t xml:space="preserve"> </w:t>
      </w:r>
      <w:r>
        <w:t xml:space="preserve">In the probe population, hubness depends on the score. The skewness of N₁₀ over degraded</w:t>
      </w:r>
      <w:r>
        <w:t xml:space="preserve"> </w:t>
      </w:r>
      <w:r>
        <w:t xml:space="preserve">probes is 18.7 for cosine + zero scan, 12.6 for ln q, 8.0 for Pearson and 3.6 for both WCC widths.</w:t>
      </w:r>
    </w:p>
    <w:p>
      <w:pPr>
        <w:pStyle w:val="BodyText"/>
      </w:pPr>
      <w:r>
        <w:rPr>
          <w:b/>
          <w:bCs/>
        </w:rPr>
        <w:t xml:space="preserve">ZZZUWK.</w:t>
      </w:r>
      <w:r>
        <w:t xml:space="preserve"> </w:t>
      </w:r>
      <w:r>
        <w:t xml:space="preserve">One entry, GUSRIV, was the wrong first answer of cosine + zero scan for 20 of its 52 misses,</w:t>
      </w:r>
      <w:r>
        <w:t xml:space="preserve"> </w:t>
      </w:r>
      <w:r>
        <w:t xml:space="preserve">which looks like a hub. All 20 are patterns of ZZZUWK, propan-1-aminium chloride, measured as a</w:t>
      </w:r>
      <w:r>
        <w:t xml:space="preserve"> </w:t>
      </w:r>
      <w:r>
        <w:t xml:space="preserve">variable-temperature series; each pattern belongs to its own CSD powder-study entry, ZZZUWK01–20. The</w:t>
      </w:r>
      <w:r>
        <w:t xml:space="preserve"> </w:t>
      </w:r>
      <w:r>
        <w:t xml:space="preserve">confusion is a property of this compound, not of a hub. Two things make it hard (Fig. 4a).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 sparse pattern.</w:t>
      </w:r>
      <w:r>
        <w:t xml:space="preserve"> </w:t>
      </w:r>
      <w:r>
        <w:t xml:space="preserve">The tetragonal salt has 24 reflections between 5° and 50° 2θ, where the median</w:t>
      </w:r>
      <w:r>
        <w:t xml:space="preserve"> </w:t>
      </w:r>
      <w:r>
        <w:t xml:space="preserve">same-form entry of the benchmark has about 130; fewer than 1 % of those entries have fewer.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Poorly reproduced intensities.</w:t>
      </w:r>
      <w:r>
        <w:t xml:space="preserve"> </w:t>
      </w:r>
      <w:r>
        <w:t xml:space="preserve">The measured relative intensities differ strongly from the simulated</w:t>
      </w:r>
      <w:r>
        <w:t xml:space="preserve"> </w:t>
      </w:r>
      <w:r>
        <w:t xml:space="preserve">pattern of the pattern’s own entry: (001) at 12.0° is 0.36 of the maximum against 0.07 simulated, (101)</w:t>
      </w:r>
      <w:r>
        <w:t xml:space="preserve"> </w:t>
      </w:r>
      <w:r>
        <w:t xml:space="preserve">at 18.6° 0.32 against 1.00, and (110) at 20.1° 0.11 against 0.53. The changes do not follow the angle to</w:t>
      </w:r>
      <w:r>
        <w:t xml:space="preserve"> </w:t>
      </w:r>
      <w:r>
        <w:t xml:space="preserve">the c axis, as March–Dollase texture along c would require, so preferred orientation alone does not explain</w:t>
      </w:r>
      <w:r>
        <w:t xml:space="preserve"> </w:t>
      </w:r>
      <w:r>
        <w:t xml:space="preserve">them. All 20 own entries are</w:t>
      </w:r>
      <w:r>
        <w:t xml:space="preserve"> </w:t>
      </w:r>
      <w:r>
        <w:t xml:space="preserve">disordered, omit H atoms and were anchored only in the lenient pass, so our simulation of them is the more</w:t>
      </w:r>
      <w:r>
        <w:t xml:space="preserve"> </w:t>
      </w:r>
      <w:r>
        <w:t xml:space="preserve">likely culprit. The own entry consequently matches poorly: WCC l = 1° gives it a median score of 0.79,</w:t>
      </w:r>
      <w:r>
        <w:t xml:space="preserve"> </w:t>
      </w:r>
      <w:r>
        <w:t xml:space="preserve">against 0.97 for the other patterns’ own entries.</w:t>
      </w:r>
    </w:p>
    <w:p>
      <w:pPr>
        <w:pStyle w:val="FirstParagraph"/>
      </w:pPr>
      <w:r>
        <w:t xml:space="preserve">Unrelated entries with strong reflections near ZZZUWK’s two strongest measured peaks (23.5° and 28.6°),</w:t>
      </w:r>
      <w:r>
        <w:t xml:space="preserve"> </w:t>
      </w:r>
      <w:r>
        <w:t xml:space="preserve">such as GUSRIV and ZZZLWW01, then outscore the own entry. The zero scan contributes but is not the root</w:t>
      </w:r>
      <w:r>
        <w:t xml:space="preserve"> </w:t>
      </w:r>
      <w:r>
        <w:t xml:space="preserve">cause. Without it, cosine already prefers GUSRIV for 9 of the 20 patterns (with it, all 20), and GUSRIV’s</w:t>
      </w:r>
      <w:r>
        <w:t xml:space="preserve"> </w:t>
      </w:r>
      <w:r>
        <w:t xml:space="preserve">best offset is close to zero (median +0.03°); under WCC l = 1°, three decoys beat the own entry at zero</w:t>
      </w:r>
      <w:r>
        <w:t xml:space="preserve"> </w:t>
      </w:r>
      <w:r>
        <w:t xml:space="preserve">offset in all 20 patterns. The more peak-tolerant the score, the more decoys pass the own entry: one decoy</w:t>
      </w:r>
      <w:r>
        <w:t xml:space="preserve"> </w:t>
      </w:r>
      <w:r>
        <w:t xml:space="preserve">beats it in all 20 patterns under cosine + zero scan and seven do under WCC l = 1°. Fixed-grid Pearson,</w:t>
      </w:r>
      <w:r>
        <w:t xml:space="preserve"> </w:t>
      </w:r>
      <w:r>
        <w:t xml:space="preserve">the least tolerant score, ranks the own entry first for 12 of the 20 patterns (Fig. 4b).</w:t>
      </w:r>
    </w:p>
    <w:p>
      <w:pPr>
        <w:pStyle w:val="BodyText"/>
      </w:pPr>
      <w:r>
        <w:drawing>
          <wp:inline>
            <wp:extent cx="5334000" cy="181403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s/fig4_case_zzzuwk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4</w:t>
      </w:r>
      <w:r>
        <w:t xml:space="preserve"> </w:t>
      </w:r>
      <w:r>
        <w:t xml:space="preserve">The ZZZUWK case. (a) The measured pattern of propan-1-aminium chloride whose CSD entry,</w:t>
      </w:r>
      <w:r>
        <w:t xml:space="preserve"> </w:t>
      </w:r>
      <w:r>
        <w:t xml:space="preserve">ZZZUWK01, was refined at 303 K (background removed), the simulated pattern of that entry, and the</w:t>
      </w:r>
      <w:r>
        <w:t xml:space="preserve"> </w:t>
      </w:r>
      <w:r>
        <w:t xml:space="preserve">unrelated entry GUSRIV that cosine + zero scan ranks first. The measured and simulated relative intensities</w:t>
      </w:r>
      <w:r>
        <w:t xml:space="preserve"> </w:t>
      </w:r>
      <w:r>
        <w:t xml:space="preserve">of the main reflections differ strongly. (b) Number of the compound’s 20 patterns for which each score</w:t>
      </w:r>
      <w:r>
        <w:t xml:space="preserve"> </w:t>
      </w:r>
      <w:r>
        <w:t xml:space="preserve">ranks a same-form entry first, without and with CSLS.</w:t>
      </w:r>
    </w:p>
    <w:p>
      <w:pPr>
        <w:pStyle w:val="BodyText"/>
      </w:pPr>
      <w:r>
        <w:rPr>
          <w:b/>
          <w:bCs/>
        </w:rPr>
        <w:t xml:space="preserve">CSLS.</w:t>
      </w:r>
      <w:r>
        <w:t xml:space="preserve"> </w:t>
      </w:r>
      <w:r>
        <w:t xml:space="preserve">The correction fixes ZZZUWK for cosine + zero scan (0 → 20 of 20) and raises it for Pearson</w:t>
      </w:r>
      <w:r>
        <w:t xml:space="preserve"> </w:t>
      </w:r>
      <w:r>
        <w:t xml:space="preserve">(12 → 17) and ln q (0 → 2); for WCC it only exchanges one decoy for another. Per pattern, cosine + zero</w:t>
      </w:r>
      <w:r>
        <w:t xml:space="preserve"> </w:t>
      </w:r>
      <w:r>
        <w:t xml:space="preserve">scan rises from 0.72 to 0.88. Compound-weighted, the change is +0.01 to +0.04 for the classical scores,</w:t>
      </w:r>
      <w:r>
        <w:t xml:space="preserve"> </w:t>
      </w:r>
      <w:r>
        <w:t xml:space="preserve">and no 95 % CI of the paired difference excludes zero; gains of up to 0.10 are not excluded (ESI†). For</w:t>
      </w:r>
      <w:r>
        <w:t xml:space="preserve"> </w:t>
      </w:r>
      <w:r>
        <w:t xml:space="preserve">single-crystal references the change is +0.01 to +0.10, with upper CI bounds up to 0.20, and for the</w:t>
      </w:r>
      <w:r>
        <w:t xml:space="preserve"> </w:t>
      </w:r>
      <w:r>
        <w:t xml:space="preserve">learned model it is 0.02 → 0.02. We detect no compound-level gain from the correction; it is a cheap option</w:t>
      </w:r>
      <w:r>
        <w:t xml:space="preserve"> </w:t>
      </w:r>
      <w:r>
        <w:t xml:space="preserve">that removes hub-like confusions when they occur.</w:t>
      </w:r>
    </w:p>
    <w:bookmarkEnd w:id="42"/>
    <w:bookmarkStart w:id="49" w:name="why-the-learned-model-fails"/>
    <w:p>
      <w:pPr>
        <w:pStyle w:val="Heading3"/>
      </w:pPr>
      <w:r>
        <w:t xml:space="preserve">4.5 Why the learned model fails</w:t>
      </w:r>
    </w:p>
    <w:p>
      <w:pPr>
        <w:pStyle w:val="FirstParagraph"/>
      </w:pPr>
      <w:r>
        <w:t xml:space="preserve">The model ranks the first correct entry at a median of about 6,000 of 309,080 (Fig. 5a). Four diagnostics</w:t>
      </w:r>
      <w:r>
        <w:t xml:space="preserve"> </w:t>
      </w:r>
      <w:r>
        <w:t xml:space="preserve">locate the failure.</w:t>
      </w:r>
    </w:p>
    <w:p>
      <w:pPr>
        <w:pStyle w:val="BodyText"/>
      </w:pPr>
      <w:r>
        <w:rPr>
          <w:b/>
          <w:bCs/>
        </w:rPr>
        <w:t xml:space="preserve">It retrieves simulated patterns.</w:t>
      </w:r>
      <w:r>
        <w:t xml:space="preserve"> </w:t>
      </w:r>
      <w:r>
        <w:t xml:space="preserve">For the 4,000 clean simulated probes of Section 3.5, the model ranks</w:t>
      </w:r>
      <w:r>
        <w:t xml:space="preserve"> </w:t>
      </w:r>
      <w:r>
        <w:t xml:space="preserve">the probe’s own entry first for 0.42 of probes and within the top 10 for 0.84 (median rank 2); with the</w:t>
      </w:r>
      <w:r>
        <w:t xml:space="preserve"> </w:t>
      </w:r>
      <w:r>
        <w:t xml:space="preserve">training-time degradations, for 0.28 and 0.67 (median rank 4). For the clean simulated patterns of the</w:t>
      </w:r>
      <w:r>
        <w:t xml:space="preserve"> </w:t>
      </w:r>
      <w:r>
        <w:t xml:space="preserve">benchmark’s own entries, scored with the same answer sets as the measured patterns, it reaches top-1 0.21</w:t>
      </w:r>
      <w:r>
        <w:t xml:space="preserve"> </w:t>
      </w:r>
      <w:r>
        <w:t xml:space="preserve">and top-10 0.56, with a median rank of 5. On the measured patterns of the same targets it reaches 0.01 and</w:t>
      </w:r>
      <w:r>
        <w:t xml:space="preserve"> </w:t>
      </w:r>
      <w:r>
        <w:t xml:space="preserve">0.03. (A classical score would rank a clean rendering of a library entry first by construction, so this</w:t>
      </w:r>
      <w:r>
        <w:t xml:space="preserve"> </w:t>
      </w:r>
      <w:r>
        <w:t xml:space="preserve">test only diagnoses the model.) The model can discriminate among 309,080 entries; what it cannot do is</w:t>
      </w:r>
      <w:r>
        <w:t xml:space="preserve"> </w:t>
      </w:r>
      <w:r>
        <w:t xml:space="preserve">carry that ability from simulated to measured patterns.</w:t>
      </w:r>
    </w:p>
    <w:p>
      <w:pPr>
        <w:pStyle w:val="BodyText"/>
      </w:pPr>
      <w:r>
        <w:rPr>
          <w:b/>
          <w:bCs/>
        </w:rPr>
        <w:t xml:space="preserve">Seeing the structure in training does not help.</w:t>
      </w:r>
      <w:r>
        <w:t xml:space="preserve"> </w:t>
      </w:r>
      <w:r>
        <w:t xml:space="preserve">For the 81 patterns that have a same-form entry in the</w:t>
      </w:r>
      <w:r>
        <w:t xml:space="preserve"> </w:t>
      </w:r>
      <w:r>
        <w:t xml:space="preserve">model’s training split, the median rank is 6,396 and top-1 is 0.01; for the 101 patterns whose same-form</w:t>
      </w:r>
      <w:r>
        <w:t xml:space="preserve"> </w:t>
      </w:r>
      <w:r>
        <w:t xml:space="preserve">entries are all outside the corpus, 5,617 and 0.00 (the other 6 have entries in the validation or test</w:t>
      </w:r>
      <w:r>
        <w:t xml:space="preserve"> </w:t>
      </w:r>
      <w:r>
        <w:t xml:space="preserve">split).</w:t>
      </w:r>
    </w:p>
    <w:p>
      <w:pPr>
        <w:pStyle w:val="BodyText"/>
      </w:pPr>
      <w:r>
        <w:rPr>
          <w:b/>
          <w:bCs/>
        </w:rPr>
        <w:t xml:space="preserve">No single measured effect explains the gap.</w:t>
      </w:r>
      <w:r>
        <w:t xml:space="preserve"> </w:t>
      </w:r>
      <w:r>
        <w:t xml:space="preserve">Rendering each pattern’s own entry with the effects of its</w:t>
      </w:r>
      <w:r>
        <w:t xml:space="preserve"> </w:t>
      </w:r>
      <w:r>
        <w:t xml:space="preserve">measurement (Section 3.4) shows where the model loses ground (Fig. 6). Clean, it reaches a compound-weighted</w:t>
      </w:r>
      <w:r>
        <w:t xml:space="preserve"> </w:t>
      </w:r>
      <w:r>
        <w:t xml:space="preserve">top-1 of 0.27 with a median rank of 5. One effect at a time costs it little except Kα2 (0.18, median rank</w:t>
      </w:r>
      <w:r>
        <w:t xml:space="preserve"> </w:t>
      </w:r>
      <w:r>
        <w:t xml:space="preserve">33) and the background with its subtraction (0.24, median rank 130). With all six effects it reaches 0.15</w:t>
      </w:r>
      <w:r>
        <w:t xml:space="preserve"> </w:t>
      </w:r>
      <w:r>
        <w:t xml:space="preserve">(median rank 176), and with the Debye–Waller factor added 0.05 (median rank 744), against 0.02 and about</w:t>
      </w:r>
      <w:r>
        <w:t xml:space="preserve"> </w:t>
      </w:r>
      <w:r>
        <w:t xml:space="preserve">6,000 on the measured patterns. Fixed-grid Pearson shows the contrast: with all six effects, the</w:t>
      </w:r>
      <w:r>
        <w:t xml:space="preserve"> </w:t>
      </w:r>
      <w:r>
        <w:t xml:space="preserve">Debye–Waller factor and jitter its ladder ends at 0.83, the value it reaches on the measured patterns</w:t>
      </w:r>
      <w:r>
        <w:t xml:space="preserve"> </w:t>
      </w:r>
      <w:r>
        <w:t xml:space="preserve">(0.83), whereas for the model the same simulated patterns leave the median rank at about 750, against about</w:t>
      </w:r>
      <w:r>
        <w:t xml:space="preserve"> </w:t>
      </w:r>
      <w:r>
        <w:t xml:space="preserve">6,000 on the measured ones.</w:t>
      </w:r>
    </w:p>
    <w:p>
      <w:pPr>
        <w:pStyle w:val="BodyText"/>
      </w:pPr>
      <w:r>
        <w:rPr>
          <w:b/>
          <w:bCs/>
        </w:rPr>
        <w:t xml:space="preserve">A retrain with these effects fixes them in simulation only.</w:t>
      </w:r>
      <w:r>
        <w:t xml:space="preserve"> </w:t>
      </w:r>
      <w:r>
        <w:t xml:space="preserve">We retrained the model with Kα2, a</w:t>
      </w:r>
      <w:r>
        <w:t xml:space="preserve"> </w:t>
      </w:r>
      <w:r>
        <w:t xml:space="preserve">Debye–Waller factor, intensity jitter, range cuts and the background subtraction in its training simulation</w:t>
      </w:r>
      <w:r>
        <w:t xml:space="preserve"> </w:t>
      </w:r>
      <w:r>
        <w:t xml:space="preserve">(Section 3.4). It learned them: on its own entries with all six effects and the Debye–Waller factor, top-1</w:t>
      </w:r>
      <w:r>
        <w:t xml:space="preserve"> </w:t>
      </w:r>
      <w:r>
        <w:t xml:space="preserve">rises from 0.05 to 0.23 and the median rank falls from 744 to 34 (Fig. 6); Kα2 alone is the exception (0.18</w:t>
      </w:r>
      <w:r>
        <w:t xml:space="preserve"> </w:t>
      </w:r>
      <w:r>
        <w:t xml:space="preserve">to 0.11). On the measured patterns the retrained model reaches a compound-weighted top-1 of</w:t>
      </w:r>
      <w:r>
        <w:t xml:space="preserve"> </w:t>
      </w:r>
      <w:r>
        <w:t xml:space="preserve">0.02 [0.00, 0.06], against 0.02 [0.00, 0.04] before, and 0.00 for single-crystal references, although its</w:t>
      </w:r>
      <w:r>
        <w:t xml:space="preserve"> </w:t>
      </w:r>
      <w:r>
        <w:t xml:space="preserve">median rank halves, to about 3,000. Before training we had predicted a measured per-pattern top-1 of</w:t>
      </w:r>
      <w:r>
        <w:t xml:space="preserve"> </w:t>
      </w:r>
      <w:r>
        <w:t xml:space="preserve">0.05–0.20, and that a value below 0.03 would mean the remaining gap is not the modelled effects; it is 0.02.</w:t>
      </w:r>
      <w:r>
        <w:t xml:space="preserve"> </w:t>
      </w:r>
      <w:r>
        <w:t xml:space="preserve">For this model, what separates the measured patterns from their simulations is something we did not model.</w:t>
      </w:r>
    </w:p>
    <w:p>
      <w:pPr>
        <w:pStyle w:val="BodyText"/>
      </w:pPr>
      <w:r>
        <w:rPr>
          <w:b/>
          <w:bCs/>
        </w:rPr>
        <w:t xml:space="preserve">Pattern to pattern.</w:t>
      </w:r>
      <w:r>
        <w:t xml:space="preserve"> </w:t>
      </w:r>
      <w:r>
        <w:t xml:space="preserve">Matching the measured patterns to the simulated library patterns in the model’s</w:t>
      </w:r>
      <w:r>
        <w:t xml:space="preserve"> </w:t>
      </w:r>
      <w:r>
        <w:t xml:space="preserve">pattern space, without the structure encoder, reaches a compound-weighted top-1 of 0.13 (median rank about</w:t>
      </w:r>
      <w:r>
        <w:t xml:space="preserve"> </w:t>
      </w:r>
      <w:r>
        <w:t xml:space="preserve">1,600), and 0.21 (about 270) with the retrained encoder. The classical scores do the same task, measured</w:t>
      </w:r>
      <w:r>
        <w:t xml:space="preserve"> </w:t>
      </w:r>
      <w:r>
        <w:t xml:space="preserve">pattern against simulated pattern, at 0.71–0.87. The pattern encoder itself, not only the step to the</w:t>
      </w:r>
      <w:r>
        <w:t xml:space="preserve"> </w:t>
      </w:r>
      <w:r>
        <w:t xml:space="preserve">structure encoder, places measured patterns away from simulations of the same structures.</w:t>
      </w:r>
    </w:p>
    <w:p>
      <w:pPr>
        <w:pStyle w:val="BodyText"/>
      </w:pPr>
      <w:r>
        <w:t xml:space="preserve">Within families, where it only has to separate a compound’s forms, the model reaches 0.71 against</w:t>
      </w:r>
      <w:r>
        <w:t xml:space="preserve"> </w:t>
      </w:r>
      <w:r>
        <w:t xml:space="preserve">0.94–0.98 for the classical scores. As a shortlist it caps any re-ranker: its top 1,000 contains a correct</w:t>
      </w:r>
      <w:r>
        <w:t xml:space="preserve"> </w:t>
      </w:r>
      <w:r>
        <w:t xml:space="preserve">entry for only 0.28 of patterns, and re-ranking that list with a classical score gives 0.19–0.26 per-pattern</w:t>
      </w:r>
      <w:r>
        <w:t xml:space="preserve"> </w:t>
      </w:r>
      <w:r>
        <w:t xml:space="preserve">top-1, against 0.57–0.82 for the same scores on the full library.</w:t>
      </w:r>
    </w:p>
    <w:p>
      <w:pPr>
        <w:pStyle w:val="BodyText"/>
      </w:pPr>
      <w:r>
        <w:drawing>
          <wp:inline>
            <wp:extent cx="5334000" cy="201248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s/fig5_rank_distribution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5</w:t>
      </w:r>
      <w:r>
        <w:t xml:space="preserve"> </w:t>
      </w:r>
      <w:r>
        <w:t xml:space="preserve">Cumulative distribution of the rank of the first correct entry over the full library when</w:t>
      </w:r>
      <w:r>
        <w:t xml:space="preserve"> </w:t>
      </w:r>
      <w:r>
        <w:t xml:space="preserve">(a) any same-form entry is correct and (b) only independent single-crystal entries are correct.</w:t>
      </w:r>
      <w:r>
        <w:t xml:space="preserve"> </w:t>
      </w:r>
      <w:r>
        <w:t xml:space="preserve">Background-subtracted queries, no hubness correction.</w:t>
      </w:r>
    </w:p>
    <w:p>
      <w:pPr>
        <w:pStyle w:val="BodyText"/>
      </w:pPr>
      <w:r>
        <w:drawing>
          <wp:inline>
            <wp:extent cx="5334000" cy="210518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s/fig6_effect_ladde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6</w:t>
      </w:r>
      <w:r>
        <w:t xml:space="preserve"> </w:t>
      </w:r>
      <w:r>
        <w:t xml:space="preserve">Effect ladder. Each pattern’s own library entry is rendered cleanly, with one effect of its</w:t>
      </w:r>
      <w:r>
        <w:t xml:space="preserve"> </w:t>
      </w:r>
      <w:r>
        <w:t xml:space="preserve">measurement at a time, with all six, and with an overall Debye–Waller factor (B), log-normal intensity</w:t>
      </w:r>
      <w:r>
        <w:t xml:space="preserve"> </w:t>
      </w:r>
      <w:r>
        <w:t xml:space="preserve">jitter per reflection (σ = 0.3 or 0.5) or both added; the last point is the measured patterns themselves</w:t>
      </w:r>
      <w:r>
        <w:t xml:space="preserve"> </w:t>
      </w:r>
      <w:r>
        <w:t xml:space="preserve">(Section 3.4). Answer set: any same-form entry (188 patterns, 123 compounds). (a) Compound-weighted top-1 for</w:t>
      </w:r>
      <w:r>
        <w:t xml:space="preserve"> </w:t>
      </w:r>
      <w:r>
        <w:t xml:space="preserve">fixed-grid Pearson, the original model and the model retrained with these effects; (b) median rank of the</w:t>
      </w:r>
      <w:r>
        <w:t xml:space="preserve"> </w:t>
      </w:r>
      <w:r>
        <w:t xml:space="preserve">first correct entry for the two models.</w:t>
      </w:r>
    </w:p>
    <w:bookmarkEnd w:id="49"/>
    <w:bookmarkStart w:id="50" w:name="a-library-closer-to-the-measurements-1"/>
    <w:p>
      <w:pPr>
        <w:pStyle w:val="Heading3"/>
      </w:pPr>
      <w:r>
        <w:t xml:space="preserve">4.6 A library closer to the measurements</w:t>
      </w:r>
    </w:p>
    <w:p>
      <w:pPr>
        <w:pStyle w:val="FirstParagraph"/>
      </w:pPr>
      <w:r>
        <w:t xml:space="preserve">With the package of Section 3.7, the classical scores change by −0.04 to +0.04 in compound-weighted top-1,</w:t>
      </w:r>
      <w:r>
        <w:t xml:space="preserve"> </w:t>
      </w:r>
      <w:r>
        <w:t xml:space="preserve">paired against the main benchmark (Table 2). Only one change is resolved: cosine + zero scan rises by</w:t>
      </w:r>
      <w:r>
        <w:t xml:space="preserve"> </w:t>
      </w:r>
      <w:r>
        <w:t xml:space="preserve">0.04 [0.01, 0.08] when any same-form entry counts. The one-off ablations, each change removed alone and</w:t>
      </w:r>
      <w:r>
        <w:t xml:space="preserve"> </w:t>
      </w:r>
      <w:r>
        <w:t xml:space="preserve">paired against the full package, attribute that gain to the Kα2 nuisance (−0.03 [−0.07, −0.01] without it)</w:t>
      </w:r>
      <w:r>
        <w:t xml:space="preserve"> </w:t>
      </w:r>
      <w:r>
        <w:t xml:space="preserve">and show that restricting the comparison to the measured range costs WCC (l = 2°) when any same-form entry</w:t>
      </w:r>
      <w:r>
        <w:t xml:space="preserve"> </w:t>
      </w:r>
      <w:r>
        <w:t xml:space="preserve">counts (+0.05 [0.02, 0.09] without it). We had expected every single-crystal score to rise; they move by</w:t>
      </w:r>
      <w:r>
        <w:t xml:space="preserve"> </w:t>
      </w:r>
      <w:r>
        <w:t xml:space="preserve">−0.04 to +0.04, with every interval including zero. The learned model scores 0.00 with this library on both</w:t>
      </w:r>
      <w:r>
        <w:t xml:space="preserve"> </w:t>
      </w:r>
      <w:r>
        <w:t xml:space="preserve">sets. The classical results are therefore robust to these choices of library simulation, and the</w:t>
      </w:r>
      <w:r>
        <w:t xml:space="preserve"> </w:t>
      </w:r>
      <w:r>
        <w:t xml:space="preserve">single-crystal failures are not caused by them.</w:t>
      </w:r>
    </w:p>
    <w:bookmarkEnd w:id="50"/>
    <w:bookmarkStart w:id="51" w:name="the-open-replica"/>
    <w:p>
      <w:pPr>
        <w:pStyle w:val="Heading3"/>
      </w:pPr>
      <w:r>
        <w:t xml:space="preserve">4.7 The open replica</w:t>
      </w:r>
    </w:p>
    <w:p>
      <w:pPr>
        <w:pStyle w:val="FirstParagraph"/>
      </w:pPr>
      <w:r>
        <w:t xml:space="preserve">Against the 108,902 COD entries, the 190 patterns reproduce the main result (Table 2). When any same-form</w:t>
      </w:r>
      <w:r>
        <w:t xml:space="preserve"> </w:t>
      </w:r>
      <w:r>
        <w:t xml:space="preserve">entry counts, the classical scores reach a compound-weighted top-1 of 0.77–0.90 (125 compounds; ln q</w:t>
      </w:r>
      <w:r>
        <w:t xml:space="preserve"> </w:t>
      </w:r>
      <w:r>
        <w:t xml:space="preserve">0.90 [0.85, 0.95]) and the model 0.02 [0.00, 0.04]. The single-crystal set has 35 patterns but only 9</w:t>
      </w:r>
      <w:r>
        <w:t xml:space="preserve"> </w:t>
      </w:r>
      <w:r>
        <w:t xml:space="preserve">compounds; there the classical scores reach 0.26–0.58 and the model 0.00, with intervals too wide to order</w:t>
      </w:r>
      <w:r>
        <w:t xml:space="preserve"> </w:t>
      </w:r>
      <w:r>
        <w:t xml:space="preserve">the classical scores. The COD library is about a third of the size of the CSD library, and smaller libraries</w:t>
      </w:r>
      <w:r>
        <w:t xml:space="preserve"> </w:t>
      </w:r>
      <w:r>
        <w:t xml:space="preserve">favour every score (Fig. 3b). All numbers in this section can be regenerated without a CSD licence.</w:t>
      </w:r>
    </w:p>
    <w:p>
      <w:pPr>
        <w:pStyle w:val="BodyText"/>
      </w:pPr>
      <w:r>
        <w:rPr>
          <w:b/>
          <w:bCs/>
        </w:rPr>
        <w:t xml:space="preserve">Table 2</w:t>
      </w:r>
      <w:r>
        <w:t xml:space="preserve"> </w:t>
      </w:r>
      <w:r>
        <w:t xml:space="preserve">Compound-weighted top-1 on the main benchmark (CSD library, Table 1), with the library of</w:t>
      </w:r>
      <w:r>
        <w:t xml:space="preserve"> </w:t>
      </w:r>
      <w:r>
        <w:t xml:space="preserve">Section 3.7 (CSD, realistic) and on the open replica (COD library, Section 2.6). The single-crystal set has</w:t>
      </w:r>
      <w:r>
        <w:t xml:space="preserve"> </w:t>
      </w:r>
      <w:r>
        <w:t xml:space="preserve">30 compounds in the CSD and 9 in the COD; the any-same-form set has 123 and 125. Intervals are in the ESI.†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Single-crystal: CSD</w:t>
            </w:r>
          </w:p>
        </w:tc>
        <w:tc>
          <w:tcPr/>
          <w:p>
            <w:pPr>
              <w:pStyle w:val="Compact"/>
            </w:pPr>
            <w:r>
              <w:t xml:space="preserve">CSD, realistic</w:t>
            </w:r>
          </w:p>
        </w:tc>
        <w:tc>
          <w:tcPr/>
          <w:p>
            <w:pPr>
              <w:pStyle w:val="Compact"/>
            </w:pPr>
            <w:r>
              <w:t xml:space="preserve">COD</w:t>
            </w:r>
          </w:p>
        </w:tc>
        <w:tc>
          <w:tcPr/>
          <w:p>
            <w:pPr>
              <w:pStyle w:val="Compact"/>
            </w:pPr>
            <w:r>
              <w:t xml:space="preserve">Any same-form: CSD</w:t>
            </w:r>
          </w:p>
        </w:tc>
        <w:tc>
          <w:tcPr/>
          <w:p>
            <w:pPr>
              <w:pStyle w:val="Compact"/>
            </w:pPr>
            <w:r>
              <w:t xml:space="preserve">CSD, realistic</w:t>
            </w:r>
          </w:p>
        </w:tc>
        <w:tc>
          <w:tcPr/>
          <w:p>
            <w:pPr>
              <w:pStyle w:val="Compact"/>
            </w:pPr>
            <w:r>
              <w:t xml:space="preserve">COD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q lag + zero scan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1° + zero scan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WCC, l = 2° + zero scan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+ zero scan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Pearson, fixed grid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embedding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</w:tbl>
    <w:bookmarkEnd w:id="51"/>
    <w:bookmarkEnd w:id="52"/>
    <w:bookmarkStart w:id="53" w:name="discussion"/>
    <w:p>
      <w:pPr>
        <w:pStyle w:val="Heading2"/>
      </w:pPr>
      <w:r>
        <w:t xml:space="preserve">5. Discussion</w:t>
      </w:r>
    </w:p>
    <w:p>
      <w:pPr>
        <w:pStyle w:val="FirstParagraph"/>
      </w:pPr>
      <w:r>
        <w:rPr>
          <w:b/>
          <w:bCs/>
        </w:rPr>
        <w:t xml:space="preserve">What a learned retrieval method has to beat.</w:t>
      </w:r>
      <w:r>
        <w:t xml:space="preserve"> </w:t>
      </w:r>
      <w:r>
        <w:t xml:space="preserve">On measured organic patterns searched against the CSD,</w:t>
      </w:r>
      <w:r>
        <w:t xml:space="preserve"> </w:t>
      </w:r>
      <w:r>
        <w:t xml:space="preserve">the bar is set by simple classical scores on background-subtracted patterns: a compound-weighted top-1 of</w:t>
      </w:r>
      <w:r>
        <w:t xml:space="preserve"> </w:t>
      </w:r>
      <w:r>
        <w:t xml:space="preserve">about 0.5 when the reference is an independent single-crystal structure, reached by the strain-tolerant</w:t>
      </w:r>
      <w:r>
        <w:t xml:space="preserve"> </w:t>
      </w:r>
      <w:r>
        <w:t xml:space="preserve">WCC and ln q scans and by a variable-cell re-rank, and of 0.83–0.87 when the pattern’s own powder-study entry is in the library, where even</w:t>
      </w:r>
      <w:r>
        <w:t xml:space="preserve"> </w:t>
      </w:r>
      <w:r>
        <w:t xml:space="preserve">fixed-grid Pearson correlation reaches 0.83. We suggest that learned PXRD retrieval be reported (i) on</w:t>
      </w:r>
      <w:r>
        <w:t xml:space="preserve"> </w:t>
      </w:r>
      <w:r>
        <w:t xml:space="preserve">measured patterns, (ii) against a library of realistic size, (iii) against shift- and strain-tolerant</w:t>
      </w:r>
      <w:r>
        <w:t xml:space="preserve"> </w:t>
      </w:r>
      <w:r>
        <w:t xml:space="preserve">correlation scores with background subtraction, (iv) with compound-weighted metrics and a compound-level</w:t>
      </w:r>
      <w:r>
        <w:t xml:space="preserve"> </w:t>
      </w:r>
      <w:r>
        <w:t xml:space="preserve">bootstrap whenever compounds repeat, and (v) separately for queries whose reference is an independent</w:t>
      </w:r>
      <w:r>
        <w:t xml:space="preserve"> </w:t>
      </w:r>
      <w:r>
        <w:t xml:space="preserve">determination. The benchmark released with this paper supports all five, and its open replica lets them be</w:t>
      </w:r>
      <w:r>
        <w:t xml:space="preserve"> </w:t>
      </w:r>
      <w:r>
        <w:t xml:space="preserve">checked without a CSD licence.</w:t>
      </w:r>
    </w:p>
    <w:p>
      <w:pPr>
        <w:pStyle w:val="BodyText"/>
      </w:pPr>
      <w:r>
        <w:rPr>
          <w:b/>
          <w:bCs/>
        </w:rPr>
        <w:t xml:space="preserve">Speed is the model’s one advantage.</w:t>
      </w:r>
      <w:r>
        <w:t xml:space="preserve"> </w:t>
      </w:r>
      <w:r>
        <w:t xml:space="preserve">With precomputed library embeddings, the model searches 309,080</w:t>
      </w:r>
      <w:r>
        <w:t xml:space="preserve"> </w:t>
      </w:r>
      <w:r>
        <w:t xml:space="preserve">entries in about 5 ms per query on a CPU. From the per-pair costs of the simulated sweep, one CPU core</w:t>
      </w:r>
      <w:r>
        <w:t xml:space="preserve"> </w:t>
      </w:r>
      <w:r>
        <w:t xml:space="preserve">needs about 0.4 s per query for fixed-grid Pearson, about 20 s for a zero scan and about 6 min for the ln q</w:t>
      </w:r>
      <w:r>
        <w:t xml:space="preserve"> </w:t>
      </w:r>
      <w:r>
        <w:t xml:space="preserve">scan. On one GPU, all five classical scores of 8,188 patterns against the full library took 761 s, and the</w:t>
      </w:r>
      <w:r>
        <w:t xml:space="preserve"> </w:t>
      </w:r>
      <w:r>
        <w:t xml:space="preserve">corrected ln q scan alone 405 s. The variable-cell re-rank is much slower: a median of 2.2 CPU-minutes per</w:t>
      </w:r>
      <w:r>
        <w:t xml:space="preserve"> </w:t>
      </w:r>
      <w:r>
        <w:t xml:space="preserve">comparison and about 400 CPU-hours for the 2,950 comparisons of 59 shortlists. Speed only matters once</w:t>
      </w:r>
      <w:r>
        <w:t xml:space="preserve"> </w:t>
      </w:r>
      <w:r>
        <w:t xml:space="preserve">accuracy does, and a shortlist from this model loses most correct entries (Section 4.5).</w:t>
      </w:r>
    </w:p>
    <w:p>
      <w:pPr>
        <w:pStyle w:val="BodyText"/>
      </w:pPr>
      <w:r>
        <w:rPr>
          <w:b/>
          <w:bCs/>
        </w:rPr>
        <w:t xml:space="preserve">Where learning could still help.</w:t>
      </w:r>
      <w:r>
        <w:t xml:space="preserve"> </w:t>
      </w:r>
      <w:r>
        <w:t xml:space="preserve">Two problems remain open, and both concern the gap between simulated</w:t>
      </w:r>
      <w:r>
        <w:t xml:space="preserve"> </w:t>
      </w:r>
      <w:r>
        <w:t xml:space="preserve">and measured patterns. For independent single-crystal references, retrieval fails once the cells differ by</w:t>
      </w:r>
      <w:r>
        <w:t xml:space="preserve"> </w:t>
      </w:r>
      <w:r>
        <w:t xml:space="preserve">more than about 1 %. The published variable-cell method</w:t>
      </w:r>
      <w:hyperlink w:anchor="ref-oterodelaroza2024vcgpwdf">
        <w:r>
          <w:rPr>
            <w:rStyle w:val="Hyperlink"/>
            <w:vertAlign w:val="superscript"/>
          </w:rPr>
          <w:t xml:space="preserve">22</w:t>
        </w:r>
      </w:hyperlink>
      <w:r>
        <w:t xml:space="preserve"> </w:t>
      </w:r>
      <w:r>
        <w:t xml:space="preserve">recovers few of these</w:t>
      </w:r>
      <w:r>
        <w:t xml:space="preserve"> </w:t>
      </w:r>
      <w:r>
        <w:t xml:space="preserve">cases and is bounded by the shortlist it re-ranks, so the case stays open for classical methods too, and it is</w:t>
      </w:r>
      <w:r>
        <w:t xml:space="preserve"> </w:t>
      </w:r>
      <w:r>
        <w:t xml:space="preserve">where a learned method could show its value. For the learned model, the failure is the transfer from</w:t>
      </w:r>
      <w:r>
        <w:t xml:space="preserve"> </w:t>
      </w:r>
      <w:r>
        <w:t xml:space="preserve">simulated to measured patterns, not the size of the library, and it survives a retrain with every</w:t>
      </w:r>
      <w:r>
        <w:t xml:space="preserve"> </w:t>
      </w:r>
      <w:r>
        <w:t xml:space="preserve">measurement effect we could simulate. Full-profile generative models have shown the same sensitivity to how</w:t>
      </w:r>
      <w:r>
        <w:t xml:space="preserve"> </w:t>
      </w:r>
      <w:r>
        <w:t xml:space="preserve">realistic the training patterns are</w:t>
      </w:r>
      <w:hyperlink w:anchor="ref-segal2026xrdiff">
        <w:r>
          <w:rPr>
            <w:rStyle w:val="Hyperlink"/>
            <w:vertAlign w:val="superscript"/>
          </w:rPr>
          <w:t xml:space="preserve">9</w:t>
        </w:r>
      </w:hyperlink>
      <w:r>
        <w:t xml:space="preserve">. A learned method aimed at that transfer, for example</w:t>
      </w:r>
      <w:r>
        <w:t xml:space="preserve"> </w:t>
      </w:r>
      <w:r>
        <w:t xml:space="preserve">one adapted with measured patterns rather than with more simulated effects, is the more promising use of</w:t>
      </w:r>
      <w:r>
        <w:t xml:space="preserve"> </w:t>
      </w:r>
      <w:r>
        <w:t xml:space="preserve">learning than a stand-alone retriever.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We tested one learned model, trained once and retrained once with a more realistic</w:t>
      </w:r>
      <w:r>
        <w:t xml:space="preserve"> </w:t>
      </w:r>
      <w:r>
        <w:t xml:space="preserve">simulation; another architecture, loss or training strategy could do better, and our conclusions about</w:t>
      </w:r>
      <w:r>
        <w:t xml:space="preserve"> </w:t>
      </w:r>
      <w:r>
        <w:t xml:space="preserve">learning are about this model. The benchmark has 123 compounds, all organic, from one contributor to opXRD,</w:t>
      </w:r>
      <w:r>
        <w:t xml:space="preserve"> </w:t>
      </w:r>
      <w:r>
        <w:t xml:space="preserve">and most patterns are the data their own entry was refined against; the single-crystal set has 30</w:t>
      </w:r>
      <w:r>
        <w:t xml:space="preserve"> </w:t>
      </w:r>
      <w:r>
        <w:t xml:space="preserve">compounds, so its intervals are wide, and that of the open replica only 9. The main library is simulated</w:t>
      </w:r>
      <w:r>
        <w:t xml:space="preserve"> </w:t>
      </w:r>
      <w:r>
        <w:t xml:space="preserve">with one peak profile and without Debye–Waller factors or Kα2; a package of such changes moved little</w:t>
      </w:r>
      <w:r>
        <w:t xml:space="preserve"> </w:t>
      </w:r>
      <w:r>
        <w:t xml:space="preserve">(Section 4.6) but does not exhaust them, and disordered entries are simulated only approximately. The</w:t>
      </w:r>
      <w:r>
        <w:t xml:space="preserve"> </w:t>
      </w:r>
      <w:r>
        <w:t xml:space="preserve">measured patterns have a simple background removal. The zero scans use fixed offset grids (0.02°, and</w:t>
      </w:r>
      <w:r>
        <w:t xml:space="preserve"> </w:t>
      </w:r>
      <w:r>
        <w:t xml:space="preserve">0.04° for the ln q scan), and the variable-cell re-rank covers a shortlist of 50 with a 4-hour limit per</w:t>
      </w:r>
      <w:r>
        <w:t xml:space="preserve"> </w:t>
      </w:r>
      <w:r>
        <w:t xml:space="preserve">comparison. The correct answers rely on packing similarity, set aside</w:t>
      </w:r>
      <w:r>
        <w:t xml:space="preserve"> </w:t>
      </w:r>
      <w:r>
        <w:t xml:space="preserve">entries that cannot be compared, and contain one known error (Section 2.2). Retrieval identifies known</w:t>
      </w:r>
      <w:r>
        <w:t xml:space="preserve"> </w:t>
      </w:r>
      <w:r>
        <w:t xml:space="preserve">forms only; crystal structure prediction combined with pattern matching can identify forms that no</w:t>
      </w:r>
      <w:r>
        <w:t xml:space="preserve"> </w:t>
      </w:r>
      <w:r>
        <w:t xml:space="preserve">database contains</w:t>
      </w:r>
      <w:hyperlink w:anchor="ref-glick2025csp">
        <w:r>
          <w:rPr>
            <w:rStyle w:val="Hyperlink"/>
            <w:vertAlign w:val="superscript"/>
          </w:rPr>
          <w:t xml:space="preserve">42</w:t>
        </w:r>
      </w:hyperlink>
      <w:r>
        <w:t xml:space="preserve">.</w:t>
      </w:r>
    </w:p>
    <w:bookmarkEnd w:id="53"/>
    <w:bookmarkStart w:id="54" w:name="conclusions"/>
    <w:p>
      <w:pPr>
        <w:pStyle w:val="Heading2"/>
      </w:pPr>
      <w:r>
        <w:t xml:space="preserve">6. Conclusions</w:t>
      </w:r>
    </w:p>
    <w:p>
      <w:pPr>
        <w:pStyle w:val="FirstParagraph"/>
      </w:pPr>
      <w:r>
        <w:t xml:space="preserve">On 188 measured organic patterns searched against 309,080 simulated CSD entries, a contrastive</w:t>
      </w:r>
      <w:r>
        <w:t xml:space="preserve"> </w:t>
      </w:r>
      <w:r>
        <w:t xml:space="preserve">PXRD–structure model reaches a compound-weighted top-1 of 0.02, against 0.71–0.87 for classical profile</w:t>
      </w:r>
      <w:r>
        <w:t xml:space="preserve"> </w:t>
      </w:r>
      <w:r>
        <w:t xml:space="preserve">matching; with independent single-crystal references, 0.00 against 0.30–0.50, and 0.50 for a</w:t>
      </w:r>
      <w:r>
        <w:t xml:space="preserve"> </w:t>
      </w:r>
      <w:r>
        <w:t xml:space="preserve">variable-cell re-rank, which is not resolved from the ln q scan it re-ranks. The model retrieves clean</w:t>
      </w:r>
      <w:r>
        <w:t xml:space="preserve"> </w:t>
      </w:r>
      <w:r>
        <w:t xml:space="preserve">simulated patterns of the same targets, and a retrain with the measurement effects we could simulate fixes</w:t>
      </w:r>
      <w:r>
        <w:t xml:space="preserve"> </w:t>
      </w:r>
      <w:r>
        <w:t xml:space="preserve">those effects in simulation but not on the measured patterns, so its failure lies in a part of the step</w:t>
      </w:r>
      <w:r>
        <w:t xml:space="preserve"> </w:t>
      </w:r>
      <w:r>
        <w:t xml:space="preserve">from simulated to measured data that we did not model. A more realistic library and an open replica built</w:t>
      </w:r>
      <w:r>
        <w:t xml:space="preserve"> </w:t>
      </w:r>
      <w:r>
        <w:t xml:space="preserve">from the COD give the same picture. The hard open case is a</w:t>
      </w:r>
      <w:r>
        <w:t xml:space="preserve"> </w:t>
      </w:r>
      <w:r>
        <w:t xml:space="preserve">measured pattern whose only reference is an independent single-crystal structure with a cell that differs</w:t>
      </w:r>
      <w:r>
        <w:t xml:space="preserve"> </w:t>
      </w:r>
      <w:r>
        <w:t xml:space="preserve">by more than about 1 %. We release the benchmark so that learned methods can be compared with these numbers</w:t>
      </w:r>
      <w:r>
        <w:t xml:space="preserve"> </w:t>
      </w:r>
      <w:r>
        <w:t xml:space="preserve">on measured data.</w:t>
      </w:r>
    </w:p>
    <w:bookmarkEnd w:id="54"/>
    <w:bookmarkStart w:id="55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code, the benchmark definition and all results are available at [GitHub URL] and archived at Zenodo</w:t>
      </w:r>
      <w:r>
        <w:t xml:space="preserve"> </w:t>
      </w:r>
      <w:r>
        <w:t xml:space="preserve">([DOI]). The deposit contains: the opXRD pattern identifiers with their CSD refcodes, same-form sets and</w:t>
      </w:r>
      <w:r>
        <w:t xml:space="preserve"> </w:t>
      </w:r>
      <w:r>
        <w:t xml:space="preserve">packing-similarity results; the corpus refcode list and the training splits; the per-pattern ranks of</w:t>
      </w:r>
      <w:r>
        <w:t xml:space="preserve"> </w:t>
      </w:r>
      <w:r>
        <w:t xml:space="preserve">every score and correction, including the learned model’s and the variable-cell re-rank’s; the scripts</w:t>
      </w:r>
      <w:r>
        <w:t xml:space="preserve"> </w:t>
      </w:r>
      <w:r>
        <w:t xml:space="preserve">that build the library from a CSD installation, compute the scores (CPU and GPU) and regenerate every table</w:t>
      </w:r>
      <w:r>
        <w:t xml:space="preserve"> </w:t>
      </w:r>
      <w:r>
        <w:t xml:space="preserve">and figure; and results/paper_numbers.json, from which every number in this article is checked by</w:t>
      </w:r>
      <w:r>
        <w:t xml:space="preserve"> </w:t>
      </w:r>
      <w:r>
        <w:t xml:space="preserve">scripts/verify_claims.py. The open replica of Section 2.6 is included in full: the COD identifiers, the</w:t>
      </w:r>
      <w:r>
        <w:t xml:space="preserve"> </w:t>
      </w:r>
      <w:r>
        <w:t xml:space="preserve">simulated COD library, its answer sets and the ranks of every score, from which Section 4.7 and Table 2 can</w:t>
      </w:r>
      <w:r>
        <w:t xml:space="preserve"> </w:t>
      </w:r>
      <w:r>
        <w:t xml:space="preserve">be reproduced without a CSD licence. The measured patterns are from opXRD</w:t>
      </w:r>
      <w:hyperlink w:anchor="ref-opxrd2025zenodo">
        <w:r>
          <w:rPr>
            <w:rStyle w:val="Hyperlink"/>
            <w:vertAlign w:val="superscript"/>
          </w:rPr>
          <w:t xml:space="preserve">27</w:t>
        </w:r>
      </w:hyperlink>
      <w:r>
        <w:t xml:space="preserve"> </w:t>
      </w:r>
      <w:r>
        <w:t xml:space="preserve">under CC BY</w:t>
      </w:r>
      <w:r>
        <w:t xml:space="preserve"> </w:t>
      </w:r>
      <w:r>
        <w:t xml:space="preserve">4.0, and the COD structures are CC0. CSD structures and the simulated patterns derived from them cannot be</w:t>
      </w:r>
      <w:r>
        <w:t xml:space="preserve"> </w:t>
      </w:r>
      <w:r>
        <w:t xml:space="preserve">redistributed; users with a CSD licence regenerate them from the refcode lists. The model checkpoints, the</w:t>
      </w:r>
      <w:r>
        <w:t xml:space="preserve"> </w:t>
      </w:r>
      <w:r>
        <w:t xml:space="preserve">original and the retrained one, were trained on CSD data and are not distributed.</w:t>
      </w:r>
    </w:p>
    <w:bookmarkEnd w:id="55"/>
    <w:bookmarkStart w:id="56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F. C. conceived the study, wrote the code, ran the computations and analysis, and wrote the manuscript.</w:t>
      </w:r>
    </w:p>
    <w:bookmarkEnd w:id="56"/>
    <w:bookmarkStart w:id="57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There are no conflicts to declare.</w:t>
      </w:r>
    </w:p>
    <w:bookmarkEnd w:id="57"/>
    <w:bookmarkStart w:id="58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thanks the opXRD and COD contributors whose deposited powder data made the benchmark possible,</w:t>
      </w:r>
      <w:r>
        <w:t xml:space="preserve"> </w:t>
      </w:r>
      <w:r>
        <w:t xml:space="preserve">and the CCDC for the CSD and its Python API. GPU time was rented from commercial cloud providers. This</w:t>
      </w:r>
      <w:r>
        <w:t xml:space="preserve"> </w:t>
      </w:r>
      <w:r>
        <w:t xml:space="preserve">research received no specific grant from any funding agency in the public, commercial, or not-for-profit</w:t>
      </w:r>
      <w:r>
        <w:t xml:space="preserve"> </w:t>
      </w:r>
      <w:r>
        <w:t xml:space="preserve">sectors. [AI-use statement: FRANK, in his own words; RSC asks for it here.]</w:t>
      </w:r>
    </w:p>
    <w:bookmarkEnd w:id="58"/>
    <w:bookmarkStart w:id="132" w:name="notes-and-references"/>
    <w:p>
      <w:pPr>
        <w:pStyle w:val="Heading2"/>
      </w:pPr>
      <w:r>
        <w:t xml:space="preserve">Notes and references</w:t>
      </w:r>
    </w:p>
    <w:bookmarkStart w:id="131" w:name="refs"/>
    <w:bookmarkStart w:id="60" w:name="ref-gatesrector2019pdf"/>
    <w:p>
      <w:pPr>
        <w:pStyle w:val="Bibliography"/>
      </w:pPr>
      <w:r>
        <w:t xml:space="preserve">1</w:t>
      </w:r>
      <w:r>
        <w:t xml:space="preserve"> </w:t>
      </w:r>
      <w:r>
        <w:t xml:space="preserve">	</w:t>
      </w:r>
      <w:hyperlink r:id="rId59">
        <w:r>
          <w:rPr>
            <w:rStyle w:val="Hyperlink"/>
          </w:rPr>
          <w:t xml:space="preserve">S. Gates-Rector and T. Blanton,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Powder Diffr.</w:t>
        </w:r>
        <w:r>
          <w:rPr>
            <w:rStyle w:val="Hyperlink"/>
          </w:rPr>
          <w:t xml:space="preserve">, 2019,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34</w:t>
        </w:r>
        <w:r>
          <w:rPr>
            <w:rStyle w:val="Hyperlink"/>
          </w:rPr>
          <w:t xml:space="preserve">, 352–360</w:t>
        </w:r>
      </w:hyperlink>
      <w:r>
        <w:t xml:space="preserve">.</w:t>
      </w:r>
    </w:p>
    <w:bookmarkEnd w:id="60"/>
    <w:bookmarkStart w:id="62" w:name="ref-groom2016csd"/>
    <w:p>
      <w:pPr>
        <w:pStyle w:val="Bibliography"/>
      </w:pPr>
      <w:r>
        <w:t xml:space="preserve">2</w:t>
      </w:r>
      <w:r>
        <w:t xml:space="preserve"> </w:t>
      </w:r>
      <w:r>
        <w:t xml:space="preserve">	</w:t>
      </w:r>
      <w:hyperlink r:id="rId61">
        <w:r>
          <w:rPr>
            <w:rStyle w:val="Hyperlink"/>
          </w:rPr>
          <w:t xml:space="preserve">C. R. Groom, I. J. Bruno, M. P. Lightfoot and S. C. Ward,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Acta Crystallogr., Sect. B</w:t>
        </w:r>
        <w:r>
          <w:rPr>
            <w:rStyle w:val="Hyperlink"/>
          </w:rPr>
          <w:t xml:space="preserve">, 2016,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72</w:t>
        </w:r>
        <w:r>
          <w:rPr>
            <w:rStyle w:val="Hyperlink"/>
          </w:rPr>
          <w:t xml:space="preserve">, 171–179</w:t>
        </w:r>
      </w:hyperlink>
      <w:r>
        <w:t xml:space="preserve">.</w:t>
      </w:r>
    </w:p>
    <w:bookmarkEnd w:id="62"/>
    <w:bookmarkStart w:id="64" w:name="ref-bauer2001ritonavir"/>
    <w:p>
      <w:pPr>
        <w:pStyle w:val="Bibliography"/>
      </w:pPr>
      <w:r>
        <w:t xml:space="preserve">3</w:t>
      </w:r>
      <w:r>
        <w:t xml:space="preserve"> </w:t>
      </w:r>
      <w:r>
        <w:t xml:space="preserve">	</w:t>
      </w:r>
      <w:hyperlink r:id="rId63">
        <w:r>
          <w:rPr>
            <w:rStyle w:val="Hyperlink"/>
          </w:rPr>
          <w:t xml:space="preserve">J. Bauer, S. Spanton, R. Henry, J. Quick, W. Dziki, W. Porter and J. Morris,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Pharm. Res.</w:t>
        </w:r>
        <w:r>
          <w:rPr>
            <w:rStyle w:val="Hyperlink"/>
          </w:rPr>
          <w:t xml:space="preserve">, 2001,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18</w:t>
        </w:r>
        <w:r>
          <w:rPr>
            <w:rStyle w:val="Hyperlink"/>
          </w:rPr>
          <w:t xml:space="preserve">, 859–866</w:t>
        </w:r>
      </w:hyperlink>
      <w:r>
        <w:t xml:space="preserve">.</w:t>
      </w:r>
    </w:p>
    <w:bookmarkEnd w:id="64"/>
    <w:bookmarkStart w:id="66" w:name="ref-cruzcabeza2015polymorph"/>
    <w:p>
      <w:pPr>
        <w:pStyle w:val="Bibliography"/>
      </w:pPr>
      <w:r>
        <w:t xml:space="preserve">4</w:t>
      </w:r>
      <w:r>
        <w:t xml:space="preserve"> </w:t>
      </w:r>
      <w:r>
        <w:t xml:space="preserve">	</w:t>
      </w:r>
      <w:hyperlink r:id="rId65">
        <w:r>
          <w:rPr>
            <w:rStyle w:val="Hyperlink"/>
          </w:rPr>
          <w:t xml:space="preserve">A. J. Cruz-Cabeza, S. M. Reutzel-Edens and J. Bernstein,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Chem. Soc. Rev.</w:t>
        </w:r>
        <w:r>
          <w:rPr>
            <w:rStyle w:val="Hyperlink"/>
          </w:rPr>
          <w:t xml:space="preserve">, 2015,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44</w:t>
        </w:r>
        <w:r>
          <w:rPr>
            <w:rStyle w:val="Hyperlink"/>
          </w:rPr>
          <w:t xml:space="preserve">, 8619–8635</w:t>
        </w:r>
      </w:hyperlink>
      <w:r>
        <w:t xml:space="preserve">.</w:t>
      </w:r>
    </w:p>
    <w:bookmarkEnd w:id="66"/>
    <w:bookmarkStart w:id="68" w:name="ref-lai2025xtalnet"/>
    <w:p>
      <w:pPr>
        <w:pStyle w:val="Bibliography"/>
      </w:pPr>
      <w:r>
        <w:t xml:space="preserve">5</w:t>
      </w:r>
      <w:r>
        <w:t xml:space="preserve"> </w:t>
      </w:r>
      <w:r>
        <w:t xml:space="preserve">	</w:t>
      </w:r>
      <w:hyperlink r:id="rId67">
        <w:r>
          <w:rPr>
            <w:rStyle w:val="Hyperlink"/>
          </w:rPr>
          <w:t xml:space="preserve">Q. Lai, F. Xu, L. Yao, Z. Gao, S. Liu, H. Wang, S. Lu, D. He, L. Wang, L. Zhang, C. Wang and G. Ke,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Adv. Sci.</w:t>
        </w:r>
        <w:r>
          <w:rPr>
            <w:rStyle w:val="Hyperlink"/>
          </w:rPr>
          <w:t xml:space="preserve">, 2025,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12</w:t>
        </w:r>
        <w:r>
          <w:rPr>
            <w:rStyle w:val="Hyperlink"/>
          </w:rPr>
          <w:t xml:space="preserve">, 2410722</w:t>
        </w:r>
      </w:hyperlink>
      <w:r>
        <w:t xml:space="preserve">.</w:t>
      </w:r>
    </w:p>
    <w:bookmarkEnd w:id="68"/>
    <w:bookmarkStart w:id="70" w:name="ref-xu2026xccp"/>
    <w:p>
      <w:pPr>
        <w:pStyle w:val="Bibliography"/>
      </w:pPr>
      <w:r>
        <w:t xml:space="preserve">6</w:t>
      </w:r>
      <w:r>
        <w:t xml:space="preserve"> </w:t>
      </w:r>
      <w:r>
        <w:t xml:space="preserve">	</w:t>
      </w:r>
      <w:hyperlink r:id="rId69">
        <w:r>
          <w:rPr>
            <w:rStyle w:val="Hyperlink"/>
          </w:rPr>
          <w:t xml:space="preserve">C. Xu, T. Su, J. Xiong, Y. Wu, S. Dong, T. Jiang, M. He, S. Chen and T.-Y. Zhang,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npj Comput. Mater.</w:t>
        </w:r>
        <w:r>
          <w:rPr>
            <w:rStyle w:val="Hyperlink"/>
          </w:rPr>
          <w:t xml:space="preserve">, 2026,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12</w:t>
        </w:r>
        <w:r>
          <w:rPr>
            <w:rStyle w:val="Hyperlink"/>
          </w:rPr>
          <w:t xml:space="preserve">, 144</w:t>
        </w:r>
      </w:hyperlink>
      <w:r>
        <w:t xml:space="preserve">.</w:t>
      </w:r>
    </w:p>
    <w:bookmarkEnd w:id="70"/>
    <w:bookmarkStart w:id="71" w:name="ref-yang2026pxtal"/>
    <w:p>
      <w:pPr>
        <w:pStyle w:val="Bibliography"/>
      </w:pPr>
      <w:r>
        <w:t xml:space="preserve">7</w:t>
      </w:r>
      <w:r>
        <w:t xml:space="preserve"> </w:t>
      </w:r>
      <w:r>
        <w:t xml:space="preserve">	</w:t>
      </w:r>
      <w:r>
        <w:t xml:space="preserve">Z. Yang, C. M. Collins, B. Peng, L. M. Daniels, M. J. Rosseinsky and V. V. Gusev,</w:t>
      </w:r>
      <w:r>
        <w:t xml:space="preserve"> </w:t>
      </w:r>
      <w:r>
        <w:rPr>
          <w:i/>
          <w:iCs/>
        </w:rPr>
        <w:t xml:space="preserve">arXiv</w:t>
      </w:r>
      <w:r>
        <w:t xml:space="preserve">, 2026, arXiv:2610.10653.</w:t>
      </w:r>
    </w:p>
    <w:bookmarkEnd w:id="71"/>
    <w:bookmarkStart w:id="72" w:name="ref-johansen2026decifer"/>
    <w:p>
      <w:pPr>
        <w:pStyle w:val="Bibliography"/>
      </w:pPr>
      <w:r>
        <w:t xml:space="preserve">8</w:t>
      </w:r>
      <w:r>
        <w:t xml:space="preserve"> </w:t>
      </w:r>
      <w:r>
        <w:t xml:space="preserve">	</w:t>
      </w:r>
      <w:r>
        <w:t xml:space="preserve">F. L. Johansen, U. Friis-Jensen, E. B. Dam, K. M. Ø. Jensen, R. Mercado and R. Selvan,</w:t>
      </w:r>
      <w:r>
        <w:t xml:space="preserve"> </w:t>
      </w:r>
      <w:r>
        <w:rPr>
          <w:i/>
          <w:iCs/>
        </w:rPr>
        <w:t xml:space="preserve">Trans. Mach. Learn. Res.</w:t>
      </w:r>
      <w:r>
        <w:t xml:space="preserve">, 2026, https://openreview.net/forum?id=LftFQ35l47.</w:t>
      </w:r>
    </w:p>
    <w:bookmarkEnd w:id="72"/>
    <w:bookmarkStart w:id="73" w:name="ref-segal2026xrdiff"/>
    <w:p>
      <w:pPr>
        <w:pStyle w:val="Bibliography"/>
      </w:pPr>
      <w:r>
        <w:t xml:space="preserve">9</w:t>
      </w:r>
      <w:r>
        <w:t xml:space="preserve"> </w:t>
      </w:r>
      <w:r>
        <w:t xml:space="preserve">	</w:t>
      </w:r>
      <w:r>
        <w:t xml:space="preserve">N. Segal, M. Li, B. K. Miller and R. Gómez-Bombarelli,</w:t>
      </w:r>
      <w:r>
        <w:t xml:space="preserve"> </w:t>
      </w:r>
      <w:r>
        <w:rPr>
          <w:i/>
          <w:iCs/>
        </w:rPr>
        <w:t xml:space="preserve">arXiv</w:t>
      </w:r>
      <w:r>
        <w:t xml:space="preserve">, 2026, arXiv:2606.14003.</w:t>
      </w:r>
    </w:p>
    <w:bookmarkEnd w:id="73"/>
    <w:bookmarkStart w:id="75" w:name="ref-johansen2026realworld"/>
    <w:p>
      <w:pPr>
        <w:pStyle w:val="Bibliography"/>
      </w:pPr>
      <w:r>
        <w:t xml:space="preserve">10</w:t>
      </w:r>
      <w:r>
        <w:t xml:space="preserve"> </w:t>
      </w:r>
      <w:r>
        <w:t xml:space="preserve">	</w:t>
      </w:r>
      <w:hyperlink r:id="rId74">
        <w:r>
          <w:rPr>
            <w:rStyle w:val="Hyperlink"/>
          </w:rPr>
          <w:t xml:space="preserve">F. L. Johansen, A. F. Sapnik, E. B. Dam, R. Selvan and K. M. Ø. Jensen,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Digital Discovery</w:t>
        </w:r>
        <w:r>
          <w:rPr>
            <w:rStyle w:val="Hyperlink"/>
          </w:rPr>
          <w:t xml:space="preserve">, 2026,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5</w:t>
        </w:r>
        <w:r>
          <w:rPr>
            <w:rStyle w:val="Hyperlink"/>
          </w:rPr>
          <w:t xml:space="preserve">, 3871–3882</w:t>
        </w:r>
      </w:hyperlink>
      <w:r>
        <w:t xml:space="preserve">.</w:t>
      </w:r>
    </w:p>
    <w:bookmarkEnd w:id="75"/>
    <w:bookmarkStart w:id="76" w:name="ref-srivastava2026realbind"/>
    <w:p>
      <w:pPr>
        <w:pStyle w:val="Bibliography"/>
      </w:pPr>
      <w:r>
        <w:t xml:space="preserve">11</w:t>
      </w:r>
      <w:r>
        <w:t xml:space="preserve"> </w:t>
      </w:r>
      <w:r>
        <w:t xml:space="preserve">	</w:t>
      </w:r>
      <w:r>
        <w:t xml:space="preserve">P. Srivastava,</w:t>
      </w:r>
      <w:r>
        <w:t xml:space="preserve"> </w:t>
      </w:r>
      <w:r>
        <w:rPr>
          <w:i/>
          <w:iCs/>
        </w:rPr>
        <w:t xml:space="preserve">ChemRxiv</w:t>
      </w:r>
      <w:r>
        <w:t xml:space="preserve">, 2026, DOI: 10.26434/chemrxiv.15009668/v2.</w:t>
      </w:r>
    </w:p>
    <w:bookmarkEnd w:id="76"/>
    <w:bookmarkStart w:id="77" w:name="ref-lange2024smolnet"/>
    <w:p>
      <w:pPr>
        <w:pStyle w:val="Bibliography"/>
      </w:pPr>
      <w:r>
        <w:t xml:space="preserve">12</w:t>
      </w:r>
      <w:r>
        <w:t xml:space="preserve"> </w:t>
      </w:r>
      <w:r>
        <w:t xml:space="preserve">	</w:t>
      </w:r>
      <w:r>
        <w:t xml:space="preserve">J. Lange, L. Komissarov, R. Lang, D. D. Enkelmann and A. Anelli,</w:t>
      </w:r>
      <w:r>
        <w:t xml:space="preserve"> </w:t>
      </w:r>
      <w:r>
        <w:rPr>
          <w:i/>
          <w:iCs/>
        </w:rPr>
        <w:t xml:space="preserve">arXiv</w:t>
      </w:r>
      <w:r>
        <w:t xml:space="preserve">, 2024, arXiv:2411.03308.</w:t>
      </w:r>
    </w:p>
    <w:bookmarkEnd w:id="77"/>
    <w:bookmarkStart w:id="78" w:name="ref-wang2026matdiffract"/>
    <w:p>
      <w:pPr>
        <w:pStyle w:val="Bibliography"/>
      </w:pPr>
      <w:r>
        <w:t xml:space="preserve">13</w:t>
      </w:r>
      <w:r>
        <w:t xml:space="preserve"> </w:t>
      </w:r>
      <w:r>
        <w:t xml:space="preserve">	</w:t>
      </w:r>
      <w:r>
        <w:t xml:space="preserve">H. Wang, M. Chen, H. Luo, W. Yin, F. Qi, X. Chai, M. Liu and F. Hou,</w:t>
      </w:r>
      <w:r>
        <w:t xml:space="preserve"> </w:t>
      </w:r>
      <w:r>
        <w:rPr>
          <w:i/>
          <w:iCs/>
        </w:rPr>
        <w:t xml:space="preserve">arXiv</w:t>
      </w:r>
      <w:r>
        <w:t xml:space="preserve">, 2026, arXiv:2607.20880.</w:t>
      </w:r>
    </w:p>
    <w:bookmarkEnd w:id="78"/>
    <w:bookmarkStart w:id="80" w:name="ref-schopmans2023synthetic"/>
    <w:p>
      <w:pPr>
        <w:pStyle w:val="Bibliography"/>
      </w:pPr>
      <w:r>
        <w:t xml:space="preserve">14</w:t>
      </w:r>
      <w:r>
        <w:t xml:space="preserve"> </w:t>
      </w:r>
      <w:r>
        <w:t xml:space="preserve">	</w:t>
      </w:r>
      <w:hyperlink r:id="rId79">
        <w:r>
          <w:rPr>
            <w:rStyle w:val="Hyperlink"/>
          </w:rPr>
          <w:t xml:space="preserve">H. Schopmans, P. Reiser and P. Friederich,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Digital Discovery</w:t>
        </w:r>
        <w:r>
          <w:rPr>
            <w:rStyle w:val="Hyperlink"/>
          </w:rPr>
          <w:t xml:space="preserve">, 2023,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2</w:t>
        </w:r>
        <w:r>
          <w:rPr>
            <w:rStyle w:val="Hyperlink"/>
          </w:rPr>
          <w:t xml:space="preserve">, 1414–1424</w:t>
        </w:r>
      </w:hyperlink>
      <w:r>
        <w:t xml:space="preserve">.</w:t>
      </w:r>
    </w:p>
    <w:bookmarkEnd w:id="80"/>
    <w:bookmarkStart w:id="82" w:name="ref-ferraridacrema2019progress"/>
    <w:p>
      <w:pPr>
        <w:pStyle w:val="Bibliography"/>
      </w:pPr>
      <w:r>
        <w:t xml:space="preserve">15</w:t>
      </w:r>
      <w:r>
        <w:t xml:space="preserve"> </w:t>
      </w:r>
      <w:r>
        <w:t xml:space="preserve">	</w:t>
      </w:r>
      <w:hyperlink r:id="rId81">
        <w:r>
          <w:rPr>
            <w:rStyle w:val="Hyperlink"/>
          </w:rPr>
          <w:t xml:space="preserve">M. Ferrari Dacrema, P. Cremonesi and D. Jannach,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Proceedings of the 13th ACM Conference on Recommender Systems (RecSys ’19)</w:t>
        </w:r>
        <w:r>
          <w:rPr>
            <w:rStyle w:val="Hyperlink"/>
          </w:rPr>
          <w:t xml:space="preserve">, 2019, pp. 101–109</w:t>
        </w:r>
      </w:hyperlink>
      <w:r>
        <w:t xml:space="preserve">.</w:t>
      </w:r>
    </w:p>
    <w:bookmarkEnd w:id="82"/>
    <w:bookmarkStart w:id="84" w:name="ref-musgrave2020reality"/>
    <w:p>
      <w:pPr>
        <w:pStyle w:val="Bibliography"/>
      </w:pPr>
      <w:r>
        <w:t xml:space="preserve">16</w:t>
      </w:r>
      <w:r>
        <w:t xml:space="preserve"> </w:t>
      </w:r>
      <w:r>
        <w:t xml:space="preserve">	</w:t>
      </w:r>
      <w:hyperlink r:id="rId83">
        <w:r>
          <w:rPr>
            <w:rStyle w:val="Hyperlink"/>
          </w:rPr>
          <w:t xml:space="preserve">K. Musgrave, S. Belongie and S.-N. Lim,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Computer Vision – ECCV 2020</w:t>
        </w:r>
        <w:r>
          <w:rPr>
            <w:rStyle w:val="Hyperlink"/>
          </w:rPr>
          <w:t xml:space="preserve">, Springer, 2020, pp. 681–699</w:t>
        </w:r>
      </w:hyperlink>
      <w:r>
        <w:t xml:space="preserve">.</w:t>
      </w:r>
    </w:p>
    <w:bookmarkEnd w:id="84"/>
    <w:bookmarkStart w:id="86" w:name="ref-bushuiev2024massspecgym"/>
    <w:p>
      <w:pPr>
        <w:pStyle w:val="Bibliography"/>
      </w:pPr>
      <w:r>
        <w:t xml:space="preserve">17</w:t>
      </w:r>
      <w:r>
        <w:t xml:space="preserve"> </w:t>
      </w:r>
      <w:r>
        <w:t xml:space="preserve">	</w:t>
      </w:r>
      <w:hyperlink r:id="rId85">
        <w:r>
          <w:rPr>
            <w:rStyle w:val="Hyperlink"/>
          </w:rPr>
          <w:t xml:space="preserve">R. Bushuiev, A. Bushuiev, N. F. de Jonge, A. Young, F. Kretschmer, R. Samusevich, J. Heirman, F. Wang, L. Zhang, K. Dührkop, M. Ludwig, N. Haupt, A. Kalia, C. Brungs, R. Schmid, R. Greiner, B. Wang, D. Wishart, L.-P. Liu, J. Rousu, W. Bittremieux, H. Rost, T. Mak, S. Hassoun, F. Huber, J. J. J. van der Hooft, M. Stravs, S. Böcker, J. Sivic and T. Pluskal,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Advances in Neural Information Processing Systems 37 (Datasets and Benchmarks Track)</w:t>
        </w:r>
        <w:r>
          <w:rPr>
            <w:rStyle w:val="Hyperlink"/>
          </w:rPr>
          <w:t xml:space="preserve">, 2024, pp. 110010–110027</w:t>
        </w:r>
      </w:hyperlink>
      <w:r>
        <w:t xml:space="preserve">.</w:t>
      </w:r>
    </w:p>
    <w:bookmarkEnd w:id="86"/>
    <w:bookmarkStart w:id="87" w:name="ref-cai2026urtc"/>
    <w:p>
      <w:pPr>
        <w:pStyle w:val="Bibliography"/>
      </w:pPr>
      <w:r>
        <w:t xml:space="preserve">18</w:t>
      </w:r>
      <w:r>
        <w:t xml:space="preserve"> </w:t>
      </w:r>
      <w:r>
        <w:t xml:space="preserve">	</w:t>
      </w:r>
      <w:r>
        <w:t xml:space="preserve">F. Cai, in</w:t>
      </w:r>
      <w:r>
        <w:t xml:space="preserve"> </w:t>
      </w:r>
      <w:r>
        <w:rPr>
          <w:i/>
          <w:iCs/>
        </w:rPr>
        <w:t xml:space="preserve">2026 IEEE MIT Undergraduate Research Technology Conference (URTC)</w:t>
      </w:r>
      <w:r>
        <w:t xml:space="preserve">, 2026.</w:t>
      </w:r>
    </w:p>
    <w:bookmarkEnd w:id="87"/>
    <w:bookmarkStart w:id="89" w:name="ref-degelder2001wcc"/>
    <w:p>
      <w:pPr>
        <w:pStyle w:val="Bibliography"/>
      </w:pPr>
      <w:r>
        <w:t xml:space="preserve">19</w:t>
      </w:r>
      <w:r>
        <w:t xml:space="preserve"> </w:t>
      </w:r>
      <w:r>
        <w:t xml:space="preserve">	</w:t>
      </w:r>
      <w:hyperlink r:id="rId88">
        <w:r>
          <w:rPr>
            <w:rStyle w:val="Hyperlink"/>
          </w:rPr>
          <w:t xml:space="preserve">R. de Gelder, R. Wehrens and J. A. Hageman,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J. Comput. Chem.</w:t>
        </w:r>
        <w:r>
          <w:rPr>
            <w:rStyle w:val="Hyperlink"/>
          </w:rPr>
          <w:t xml:space="preserve">, 2001,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22</w:t>
        </w:r>
        <w:r>
          <w:rPr>
            <w:rStyle w:val="Hyperlink"/>
          </w:rPr>
          <w:t xml:space="preserve">, 273–289</w:t>
        </w:r>
      </w:hyperlink>
      <w:r>
        <w:t xml:space="preserve">.</w:t>
      </w:r>
    </w:p>
    <w:bookmarkEnd w:id="89"/>
    <w:bookmarkStart w:id="91" w:name="ref-mayo2022vcpwdf"/>
    <w:p>
      <w:pPr>
        <w:pStyle w:val="Bibliography"/>
      </w:pPr>
      <w:r>
        <w:t xml:space="preserve">20</w:t>
      </w:r>
      <w:r>
        <w:t xml:space="preserve"> </w:t>
      </w:r>
      <w:r>
        <w:t xml:space="preserve">	</w:t>
      </w:r>
      <w:hyperlink r:id="rId90">
        <w:r>
          <w:rPr>
            <w:rStyle w:val="Hyperlink"/>
          </w:rPr>
          <w:t xml:space="preserve">R. A. Mayo, A. Otero-de-la-Roza and E. R. Johnson,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CrystEngComm</w:t>
        </w:r>
        <w:r>
          <w:rPr>
            <w:rStyle w:val="Hyperlink"/>
          </w:rPr>
          <w:t xml:space="preserve">, 2022,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24</w:t>
        </w:r>
        <w:r>
          <w:rPr>
            <w:rStyle w:val="Hyperlink"/>
          </w:rPr>
          <w:t xml:space="preserve">, 8326–8338</w:t>
        </w:r>
      </w:hyperlink>
      <w:r>
        <w:t xml:space="preserve">.</w:t>
      </w:r>
    </w:p>
    <w:bookmarkEnd w:id="91"/>
    <w:bookmarkStart w:id="93" w:name="ref-mayo2023vcxpwdf"/>
    <w:p>
      <w:pPr>
        <w:pStyle w:val="Bibliography"/>
      </w:pPr>
      <w:r>
        <w:t xml:space="preserve">21</w:t>
      </w:r>
      <w:r>
        <w:t xml:space="preserve"> </w:t>
      </w:r>
      <w:r>
        <w:t xml:space="preserve">	</w:t>
      </w:r>
      <w:hyperlink r:id="rId92">
        <w:r>
          <w:rPr>
            <w:rStyle w:val="Hyperlink"/>
          </w:rPr>
          <w:t xml:space="preserve">R. A. Mayo, K. M. Marczenko and E. R. Johnson,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Chem. Sci.</w:t>
        </w:r>
        <w:r>
          <w:rPr>
            <w:rStyle w:val="Hyperlink"/>
          </w:rPr>
          <w:t xml:space="preserve">, 2023,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14</w:t>
        </w:r>
        <w:r>
          <w:rPr>
            <w:rStyle w:val="Hyperlink"/>
          </w:rPr>
          <w:t xml:space="preserve">, 4777–4785</w:t>
        </w:r>
      </w:hyperlink>
      <w:r>
        <w:t xml:space="preserve">.</w:t>
      </w:r>
    </w:p>
    <w:bookmarkEnd w:id="93"/>
    <w:bookmarkStart w:id="95" w:name="ref-oterodelaroza2024vcgpwdf"/>
    <w:p>
      <w:pPr>
        <w:pStyle w:val="Bibliography"/>
      </w:pPr>
      <w:r>
        <w:t xml:space="preserve">22</w:t>
      </w:r>
      <w:r>
        <w:t xml:space="preserve"> </w:t>
      </w:r>
      <w:r>
        <w:t xml:space="preserve">	</w:t>
      </w:r>
      <w:hyperlink r:id="rId94">
        <w:r>
          <w:rPr>
            <w:rStyle w:val="Hyperlink"/>
          </w:rPr>
          <w:t xml:space="preserve">A. Otero-de-la-Roza,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J. Appl. Crystallogr.</w:t>
        </w:r>
        <w:r>
          <w:rPr>
            <w:rStyle w:val="Hyperlink"/>
          </w:rPr>
          <w:t xml:space="preserve">, 2024,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57</w:t>
        </w:r>
        <w:r>
          <w:rPr>
            <w:rStyle w:val="Hyperlink"/>
          </w:rPr>
          <w:t xml:space="preserve">, 1401–1414</w:t>
        </w:r>
      </w:hyperlink>
      <w:r>
        <w:t xml:space="preserve">.</w:t>
      </w:r>
    </w:p>
    <w:bookmarkEnd w:id="95"/>
    <w:bookmarkStart w:id="97" w:name="ref-hollarek2025opxrd"/>
    <w:p>
      <w:pPr>
        <w:pStyle w:val="Bibliography"/>
      </w:pPr>
      <w:r>
        <w:t xml:space="preserve">23</w:t>
      </w:r>
      <w:r>
        <w:t xml:space="preserve"> </w:t>
      </w:r>
      <w:r>
        <w:t xml:space="preserve">	</w:t>
      </w:r>
      <w:hyperlink r:id="rId96">
        <w:r>
          <w:rPr>
            <w:rStyle w:val="Hyperlink"/>
          </w:rPr>
          <w:t xml:space="preserve">D. Hollarek, H. Schopmans, J. Östreicher, J. Teufel, B. Cao, A. Alwen, S. Schweidler, M. Singh, T. Kodalle, H. Hu, G. Heymans, M. Abdelsamie, A. Hardiagon, A. Wieczorek, S. Zhuk, R. Schwaiger, S. Siol, F.-X. Coudert, M. Wolf, C. M. Sutter-Fella, B. Breitung, A. M. Hodge, T. Zhang and P. Friederich,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Adv. Intell. Discov.</w:t>
        </w:r>
        <w:r>
          <w:rPr>
            <w:rStyle w:val="Hyperlink"/>
          </w:rPr>
          <w:t xml:space="preserve">, 2025,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2</w:t>
        </w:r>
        <w:r>
          <w:rPr>
            <w:rStyle w:val="Hyperlink"/>
          </w:rPr>
          <w:t xml:space="preserve">, e202500044</w:t>
        </w:r>
      </w:hyperlink>
      <w:r>
        <w:t xml:space="preserve">.</w:t>
      </w:r>
    </w:p>
    <w:bookmarkEnd w:id="97"/>
    <w:bookmarkStart w:id="99" w:name="ref-chisholm2005compack"/>
    <w:p>
      <w:pPr>
        <w:pStyle w:val="Bibliography"/>
      </w:pPr>
      <w:r>
        <w:t xml:space="preserve">24</w:t>
      </w:r>
      <w:r>
        <w:t xml:space="preserve"> </w:t>
      </w:r>
      <w:r>
        <w:t xml:space="preserve">	</w:t>
      </w:r>
      <w:hyperlink r:id="rId98">
        <w:r>
          <w:rPr>
            <w:rStyle w:val="Hyperlink"/>
          </w:rPr>
          <w:t xml:space="preserve">J. A. Chisholm and S. Motherwell,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J. Appl. Crystallogr.</w:t>
        </w:r>
        <w:r>
          <w:rPr>
            <w:rStyle w:val="Hyperlink"/>
          </w:rPr>
          <w:t xml:space="preserve">, 2005,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38</w:t>
        </w:r>
        <w:r>
          <w:rPr>
            <w:rStyle w:val="Hyperlink"/>
          </w:rPr>
          <w:t xml:space="preserve">, 228–231</w:t>
        </w:r>
      </w:hyperlink>
      <w:r>
        <w:t xml:space="preserve">.</w:t>
      </w:r>
    </w:p>
    <w:bookmarkEnd w:id="99"/>
    <w:bookmarkStart w:id="101" w:name="ref-macrae2008mercury"/>
    <w:p>
      <w:pPr>
        <w:pStyle w:val="Bibliography"/>
      </w:pPr>
      <w:r>
        <w:t xml:space="preserve">25</w:t>
      </w:r>
      <w:r>
        <w:t xml:space="preserve"> </w:t>
      </w:r>
      <w:r>
        <w:t xml:space="preserve">	</w:t>
      </w:r>
      <w:hyperlink r:id="rId100">
        <w:r>
          <w:rPr>
            <w:rStyle w:val="Hyperlink"/>
          </w:rPr>
          <w:t xml:space="preserve">C. F. Macrae, I. J. Bruno, J. A. Chisholm, P. R. Edgington, P. McCabe, E. Pidcock, L. Rodriguez-Monge, R. Taylor, J. van de Streek and P. A. Wood,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J. Appl. Crystallogr.</w:t>
        </w:r>
        <w:r>
          <w:rPr>
            <w:rStyle w:val="Hyperlink"/>
          </w:rPr>
          <w:t xml:space="preserve">, 2008,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41</w:t>
        </w:r>
        <w:r>
          <w:rPr>
            <w:rStyle w:val="Hyperlink"/>
          </w:rPr>
          <w:t xml:space="preserve">, 466–470</w:t>
        </w:r>
      </w:hyperlink>
      <w:r>
        <w:t xml:space="preserve">.</w:t>
      </w:r>
    </w:p>
    <w:bookmarkEnd w:id="101"/>
    <w:bookmarkStart w:id="103" w:name="ref-radovanovic2010hubs"/>
    <w:p>
      <w:pPr>
        <w:pStyle w:val="Bibliography"/>
      </w:pPr>
      <w:r>
        <w:t xml:space="preserve">26</w:t>
      </w:r>
      <w:r>
        <w:t xml:space="preserve"> </w:t>
      </w:r>
      <w:r>
        <w:t xml:space="preserve">	</w:t>
      </w:r>
      <w:hyperlink r:id="rId102">
        <w:r>
          <w:rPr>
            <w:rStyle w:val="Hyperlink"/>
          </w:rPr>
          <w:t xml:space="preserve">M. Radovanović, A. Nanopoulos and M. Ivanović,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J. Mach. Learn. Res.</w:t>
        </w:r>
        <w:r>
          <w:rPr>
            <w:rStyle w:val="Hyperlink"/>
          </w:rPr>
          <w:t xml:space="preserve">, 2010,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11</w:t>
        </w:r>
        <w:r>
          <w:rPr>
            <w:rStyle w:val="Hyperlink"/>
          </w:rPr>
          <w:t xml:space="preserve">, 2487–2531</w:t>
        </w:r>
      </w:hyperlink>
      <w:r>
        <w:t xml:space="preserve">.</w:t>
      </w:r>
    </w:p>
    <w:bookmarkEnd w:id="103"/>
    <w:bookmarkStart w:id="104" w:name="ref-opxrd2025zenodo"/>
    <w:p>
      <w:pPr>
        <w:pStyle w:val="Bibliography"/>
      </w:pPr>
      <w:r>
        <w:t xml:space="preserve">27</w:t>
      </w:r>
      <w:r>
        <w:t xml:space="preserve"> </w:t>
      </w:r>
      <w:r>
        <w:t xml:space="preserve">	</w:t>
      </w:r>
      <w:r>
        <w:t xml:space="preserve">D. Hollarek and P. Friederich,</w:t>
      </w:r>
      <w:r>
        <w:t xml:space="preserve"> </w:t>
      </w:r>
      <w:r>
        <w:rPr>
          <w:i/>
          <w:iCs/>
        </w:rPr>
        <w:t xml:space="preserve">Zenodo</w:t>
      </w:r>
      <w:r>
        <w:t xml:space="preserve">, 2025, DOI: 10.5281/zenodo.15298026.</w:t>
      </w:r>
    </w:p>
    <w:bookmarkEnd w:id="104"/>
    <w:bookmarkStart w:id="106" w:name="ref-rietveld1969"/>
    <w:p>
      <w:pPr>
        <w:pStyle w:val="Bibliography"/>
      </w:pPr>
      <w:r>
        <w:t xml:space="preserve">28</w:t>
      </w:r>
      <w:r>
        <w:t xml:space="preserve"> </w:t>
      </w:r>
      <w:r>
        <w:t xml:space="preserve">	</w:t>
      </w:r>
      <w:hyperlink r:id="rId105">
        <w:r>
          <w:rPr>
            <w:rStyle w:val="Hyperlink"/>
          </w:rPr>
          <w:t xml:space="preserve">H. M. Rietveld,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J. Appl. Crystallogr.</w:t>
        </w:r>
        <w:r>
          <w:rPr>
            <w:rStyle w:val="Hyperlink"/>
          </w:rPr>
          <w:t xml:space="preserve">, 1969,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2</w:t>
        </w:r>
        <w:r>
          <w:rPr>
            <w:rStyle w:val="Hyperlink"/>
          </w:rPr>
          <w:t xml:space="preserve">, 65–71</w:t>
        </w:r>
      </w:hyperlink>
      <w:r>
        <w:t xml:space="preserve">.</w:t>
      </w:r>
    </w:p>
    <w:bookmarkEnd w:id="106"/>
    <w:bookmarkStart w:id="108" w:name="ref-ong2013pymatgen"/>
    <w:p>
      <w:pPr>
        <w:pStyle w:val="Bibliography"/>
      </w:pPr>
      <w:r>
        <w:t xml:space="preserve">29</w:t>
      </w:r>
      <w:r>
        <w:t xml:space="preserve"> </w:t>
      </w:r>
      <w:r>
        <w:t xml:space="preserve">	</w:t>
      </w:r>
      <w:hyperlink r:id="rId107">
        <w:r>
          <w:rPr>
            <w:rStyle w:val="Hyperlink"/>
          </w:rPr>
          <w:t xml:space="preserve">S. P. Ong, W. D. Richards, A. Jain, G. Hautier, M. Kocher, S. Cholia, D. Gunter, V. L. Chevrier, K. A. Persson and G. Ceder,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Comput. Mater. Sci.</w:t>
        </w:r>
        <w:r>
          <w:rPr>
            <w:rStyle w:val="Hyperlink"/>
          </w:rPr>
          <w:t xml:space="preserve">, 2013,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68</w:t>
        </w:r>
        <w:r>
          <w:rPr>
            <w:rStyle w:val="Hyperlink"/>
          </w:rPr>
          <w:t xml:space="preserve">, 314–319</w:t>
        </w:r>
      </w:hyperlink>
      <w:r>
        <w:t xml:space="preserve">.</w:t>
      </w:r>
    </w:p>
    <w:bookmarkEnd w:id="108"/>
    <w:bookmarkStart w:id="110" w:name="ref-caglioti1958"/>
    <w:p>
      <w:pPr>
        <w:pStyle w:val="Bibliography"/>
      </w:pPr>
      <w:r>
        <w:t xml:space="preserve">30</w:t>
      </w:r>
      <w:r>
        <w:t xml:space="preserve"> </w:t>
      </w:r>
      <w:r>
        <w:t xml:space="preserve">	</w:t>
      </w:r>
      <w:hyperlink r:id="rId109">
        <w:r>
          <w:rPr>
            <w:rStyle w:val="Hyperlink"/>
          </w:rPr>
          <w:t xml:space="preserve">G. Caglioti, A. Paoletti and F. P. Ricci,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Nucl. Instrum.</w:t>
        </w:r>
        <w:r>
          <w:rPr>
            <w:rStyle w:val="Hyperlink"/>
          </w:rPr>
          <w:t xml:space="preserve">, 1958,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3</w:t>
        </w:r>
        <w:r>
          <w:rPr>
            <w:rStyle w:val="Hyperlink"/>
          </w:rPr>
          <w:t xml:space="preserve">, 223–228</w:t>
        </w:r>
      </w:hyperlink>
      <w:r>
        <w:t xml:space="preserve">.</w:t>
      </w:r>
    </w:p>
    <w:bookmarkEnd w:id="110"/>
    <w:bookmarkStart w:id="112" w:name="ref-field2007cluster"/>
    <w:p>
      <w:pPr>
        <w:pStyle w:val="Bibliography"/>
      </w:pPr>
      <w:r>
        <w:t xml:space="preserve">31</w:t>
      </w:r>
      <w:r>
        <w:t xml:space="preserve"> </w:t>
      </w:r>
      <w:r>
        <w:t xml:space="preserve">	</w:t>
      </w:r>
      <w:hyperlink r:id="rId111">
        <w:r>
          <w:rPr>
            <w:rStyle w:val="Hyperlink"/>
          </w:rPr>
          <w:t xml:space="preserve">C. A. Field and A. H. Welsh,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J. R. Stat. Soc. Ser. B</w:t>
        </w:r>
        <w:r>
          <w:rPr>
            <w:rStyle w:val="Hyperlink"/>
          </w:rPr>
          <w:t xml:space="preserve">, 2007,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69</w:t>
        </w:r>
        <w:r>
          <w:rPr>
            <w:rStyle w:val="Hyperlink"/>
          </w:rPr>
          <w:t xml:space="preserve">, 369–390</w:t>
        </w:r>
      </w:hyperlink>
      <w:r>
        <w:t xml:space="preserve">.</w:t>
      </w:r>
    </w:p>
    <w:bookmarkEnd w:id="112"/>
    <w:bookmarkStart w:id="114" w:name="ref-grazulis2009cod"/>
    <w:p>
      <w:pPr>
        <w:pStyle w:val="Bibliography"/>
      </w:pPr>
      <w:r>
        <w:t xml:space="preserve">32</w:t>
      </w:r>
      <w:r>
        <w:t xml:space="preserve"> </w:t>
      </w:r>
      <w:r>
        <w:t xml:space="preserve">	</w:t>
      </w:r>
      <w:hyperlink r:id="rId113">
        <w:r>
          <w:rPr>
            <w:rStyle w:val="Hyperlink"/>
          </w:rPr>
          <w:t xml:space="preserve">S. Gražulis, D. Chateigner, R. T. Downs, A. F. T. Yokochi, M. Quirós, L. Lutterotti, E. Manakova, J. Butkus, P. Moeck and A. Le Bail,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J. Appl. Crystallogr.</w:t>
        </w:r>
        <w:r>
          <w:rPr>
            <w:rStyle w:val="Hyperlink"/>
          </w:rPr>
          <w:t xml:space="preserve">, 2009,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42</w:t>
        </w:r>
        <w:r>
          <w:rPr>
            <w:rStyle w:val="Hyperlink"/>
          </w:rPr>
          <w:t xml:space="preserve">, 726–729</w:t>
        </w:r>
      </w:hyperlink>
      <w:r>
        <w:t xml:space="preserve">.</w:t>
      </w:r>
    </w:p>
    <w:bookmarkEnd w:id="114"/>
    <w:bookmarkStart w:id="116" w:name="ref-vaitkus2021cod"/>
    <w:p>
      <w:pPr>
        <w:pStyle w:val="Bibliography"/>
      </w:pPr>
      <w:r>
        <w:t xml:space="preserve">33</w:t>
      </w:r>
      <w:r>
        <w:t xml:space="preserve"> </w:t>
      </w:r>
      <w:r>
        <w:t xml:space="preserve">	</w:t>
      </w:r>
      <w:hyperlink r:id="rId115">
        <w:r>
          <w:rPr>
            <w:rStyle w:val="Hyperlink"/>
          </w:rPr>
          <w:t xml:space="preserve">A. Vaitkus, A. Merkys and S. Gražulis,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J. Appl. Crystallogr.</w:t>
        </w:r>
        <w:r>
          <w:rPr>
            <w:rStyle w:val="Hyperlink"/>
          </w:rPr>
          <w:t xml:space="preserve">, 2021,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54</w:t>
        </w:r>
        <w:r>
          <w:rPr>
            <w:rStyle w:val="Hyperlink"/>
          </w:rPr>
          <w:t xml:space="preserve">, 661–672</w:t>
        </w:r>
      </w:hyperlink>
      <w:r>
        <w:t xml:space="preserve">.</w:t>
      </w:r>
    </w:p>
    <w:bookmarkEnd w:id="116"/>
    <w:bookmarkStart w:id="117" w:name="ref-paszke2019pytorch"/>
    <w:p>
      <w:pPr>
        <w:pStyle w:val="Bibliography"/>
      </w:pPr>
      <w:r>
        <w:t xml:space="preserve">34</w:t>
      </w:r>
      <w:r>
        <w:t xml:space="preserve"> </w:t>
      </w:r>
      <w:r>
        <w:t xml:space="preserve">	</w:t>
      </w:r>
      <w:r>
        <w:t xml:space="preserve">A. Paszke, S. Gross, F. Massa, A. Lerer, J. Bradbury, G. Chanan, T. Killeen, Z. Lin, N. Gimelshein, L. Antiga, A. Desmaison, A. Köpf, E. Yang, Z. DeVito, M. Raison, A. Tejani, S. Chilamkurthy, B. Steiner, L. Fang, J. Bai and S. Chintala, in</w:t>
      </w:r>
      <w:r>
        <w:t xml:space="preserve"> </w:t>
      </w:r>
      <w:r>
        <w:rPr>
          <w:i/>
          <w:iCs/>
        </w:rPr>
        <w:t xml:space="preserve">Advances in Neural Information Processing Systems 32</w:t>
      </w:r>
      <w:r>
        <w:t xml:space="preserve">, 2019.</w:t>
      </w:r>
    </w:p>
    <w:bookmarkEnd w:id="117"/>
    <w:bookmarkStart w:id="118" w:name="ref-oord2018cpc"/>
    <w:p>
      <w:pPr>
        <w:pStyle w:val="Bibliography"/>
      </w:pPr>
      <w:r>
        <w:t xml:space="preserve">35</w:t>
      </w:r>
      <w:r>
        <w:t xml:space="preserve"> </w:t>
      </w:r>
      <w:r>
        <w:t xml:space="preserve">	</w:t>
      </w:r>
      <w:r>
        <w:t xml:space="preserve">A. van den Oord, Y. Li and O. Vinyals,</w:t>
      </w:r>
      <w:r>
        <w:t xml:space="preserve"> </w:t>
      </w:r>
      <w:r>
        <w:rPr>
          <w:i/>
          <w:iCs/>
        </w:rPr>
        <w:t xml:space="preserve">arXiv</w:t>
      </w:r>
      <w:r>
        <w:t xml:space="preserve">, 2018, arXiv:1807.03748.</w:t>
      </w:r>
    </w:p>
    <w:bookmarkEnd w:id="118"/>
    <w:bookmarkStart w:id="119" w:name="ref-radford2021clip"/>
    <w:p>
      <w:pPr>
        <w:pStyle w:val="Bibliography"/>
      </w:pPr>
      <w:r>
        <w:t xml:space="preserve">36</w:t>
      </w:r>
      <w:r>
        <w:t xml:space="preserve"> </w:t>
      </w:r>
      <w:r>
        <w:t xml:space="preserve">	</w:t>
      </w:r>
      <w:r>
        <w:t xml:space="preserve">A. Radford, J. W. Kim, C. Hallacy, A. Ramesh, G. Goh, S. Agarwal, G. Sastry, A. Askell, P. Mishkin, J. Clark, G. Krueger and I. Sutskever, in</w:t>
      </w:r>
      <w:r>
        <w:t xml:space="preserve"> </w:t>
      </w:r>
      <w:r>
        <w:rPr>
          <w:i/>
          <w:iCs/>
        </w:rPr>
        <w:t xml:space="preserve">Proceedings of the 38th International Conference on Machine Learning</w:t>
      </w:r>
      <w:r>
        <w:t xml:space="preserve">, 2021, vol. 139, pp. 8748–8763.</w:t>
      </w:r>
    </w:p>
    <w:bookmarkEnd w:id="119"/>
    <w:bookmarkStart w:id="121" w:name="ref-dollase1986"/>
    <w:p>
      <w:pPr>
        <w:pStyle w:val="Bibliography"/>
      </w:pPr>
      <w:r>
        <w:t xml:space="preserve">37</w:t>
      </w:r>
      <w:r>
        <w:t xml:space="preserve"> </w:t>
      </w:r>
      <w:r>
        <w:t xml:space="preserve">	</w:t>
      </w:r>
      <w:hyperlink r:id="rId120">
        <w:r>
          <w:rPr>
            <w:rStyle w:val="Hyperlink"/>
          </w:rPr>
          <w:t xml:space="preserve">W. A. Dollase,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J. Appl. Crystallogr.</w:t>
        </w:r>
        <w:r>
          <w:rPr>
            <w:rStyle w:val="Hyperlink"/>
          </w:rPr>
          <w:t xml:space="preserve">, 1986,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19</w:t>
        </w:r>
        <w:r>
          <w:rPr>
            <w:rStyle w:val="Hyperlink"/>
          </w:rPr>
          <w:t xml:space="preserve">, 267–272</w:t>
        </w:r>
      </w:hyperlink>
      <w:r>
        <w:t xml:space="preserve">.</w:t>
      </w:r>
    </w:p>
    <w:bookmarkEnd w:id="121"/>
    <w:bookmarkStart w:id="123" w:name="ref-conneau2018muse"/>
    <w:p>
      <w:pPr>
        <w:pStyle w:val="Bibliography"/>
      </w:pPr>
      <w:r>
        <w:t xml:space="preserve">38</w:t>
      </w:r>
      <w:r>
        <w:t xml:space="preserve"> </w:t>
      </w:r>
      <w:r>
        <w:t xml:space="preserve">	</w:t>
      </w:r>
      <w:hyperlink r:id="rId122">
        <w:r>
          <w:rPr>
            <w:rStyle w:val="Hyperlink"/>
          </w:rPr>
          <w:t xml:space="preserve">A. Conneau, G. Lample, M. Ranzato, L. Denoyer and H. Jégou,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International Conference on Learning Representations (ICLR)</w:t>
        </w:r>
        <w:r>
          <w:rPr>
            <w:rStyle w:val="Hyperlink"/>
          </w:rPr>
          <w:t xml:space="preserve">, 2018</w:t>
        </w:r>
      </w:hyperlink>
      <w:r>
        <w:t xml:space="preserve">.</w:t>
      </w:r>
    </w:p>
    <w:bookmarkEnd w:id="123"/>
    <w:bookmarkStart w:id="125" w:name="ref-schnitzer2012mp"/>
    <w:p>
      <w:pPr>
        <w:pStyle w:val="Bibliography"/>
      </w:pPr>
      <w:r>
        <w:t xml:space="preserve">39</w:t>
      </w:r>
      <w:r>
        <w:t xml:space="preserve"> </w:t>
      </w:r>
      <w:r>
        <w:t xml:space="preserve">	</w:t>
      </w:r>
      <w:hyperlink r:id="rId124">
        <w:r>
          <w:rPr>
            <w:rStyle w:val="Hyperlink"/>
          </w:rPr>
          <w:t xml:space="preserve">D. Schnitzer, A. Flexer, M. Schedl and G. Widmer,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J. Mach. Learn. Res.</w:t>
        </w:r>
        <w:r>
          <w:rPr>
            <w:rStyle w:val="Hyperlink"/>
          </w:rPr>
          <w:t xml:space="preserve">, 2012,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13</w:t>
        </w:r>
        <w:r>
          <w:rPr>
            <w:rStyle w:val="Hyperlink"/>
          </w:rPr>
          <w:t xml:space="preserve">, 2871–2902</w:t>
        </w:r>
      </w:hyperlink>
      <w:r>
        <w:t xml:space="preserve">.</w:t>
      </w:r>
    </w:p>
    <w:bookmarkEnd w:id="125"/>
    <w:bookmarkStart w:id="127" w:name="ref-bond2021thermal"/>
    <w:p>
      <w:pPr>
        <w:pStyle w:val="Bibliography"/>
      </w:pPr>
      <w:r>
        <w:t xml:space="preserve">40</w:t>
      </w:r>
      <w:r>
        <w:t xml:space="preserve"> </w:t>
      </w:r>
      <w:r>
        <w:t xml:space="preserve">	</w:t>
      </w:r>
      <w:hyperlink r:id="rId126">
        <w:r>
          <w:rPr>
            <w:rStyle w:val="Hyperlink"/>
          </w:rPr>
          <w:t xml:space="preserve">A. D. Bond,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Acta Crystallogr., Sect. B</w:t>
        </w:r>
        <w:r>
          <w:rPr>
            <w:rStyle w:val="Hyperlink"/>
          </w:rPr>
          <w:t xml:space="preserve">, 2021,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77</w:t>
        </w:r>
        <w:r>
          <w:rPr>
            <w:rStyle w:val="Hyperlink"/>
          </w:rPr>
          <w:t xml:space="preserve">, 357–364</w:t>
        </w:r>
      </w:hyperlink>
      <w:r>
        <w:t xml:space="preserve">.</w:t>
      </w:r>
    </w:p>
    <w:bookmarkEnd w:id="127"/>
    <w:bookmarkStart w:id="129" w:name="ref-oterodelaroza2014critic2"/>
    <w:p>
      <w:pPr>
        <w:pStyle w:val="Bibliography"/>
      </w:pPr>
      <w:r>
        <w:t xml:space="preserve">41</w:t>
      </w:r>
      <w:r>
        <w:t xml:space="preserve"> </w:t>
      </w:r>
      <w:r>
        <w:t xml:space="preserve">	</w:t>
      </w:r>
      <w:hyperlink r:id="rId128">
        <w:r>
          <w:rPr>
            <w:rStyle w:val="Hyperlink"/>
          </w:rPr>
          <w:t xml:space="preserve">A. Otero-de-la-Roza, E. R. Johnson and V. Luaña,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Comput. Phys. Commun.</w:t>
        </w:r>
        <w:r>
          <w:rPr>
            <w:rStyle w:val="Hyperlink"/>
          </w:rPr>
          <w:t xml:space="preserve">, 2014,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185</w:t>
        </w:r>
        <w:r>
          <w:rPr>
            <w:rStyle w:val="Hyperlink"/>
          </w:rPr>
          <w:t xml:space="preserve">, 1007–1018</w:t>
        </w:r>
      </w:hyperlink>
      <w:r>
        <w:t xml:space="preserve">.</w:t>
      </w:r>
    </w:p>
    <w:bookmarkEnd w:id="129"/>
    <w:bookmarkStart w:id="130" w:name="ref-glick2025csp"/>
    <w:p>
      <w:pPr>
        <w:pStyle w:val="Bibliography"/>
      </w:pPr>
      <w:r>
        <w:t xml:space="preserve">42</w:t>
      </w:r>
      <w:r>
        <w:t xml:space="preserve"> </w:t>
      </w:r>
      <w:r>
        <w:t xml:space="preserve">	</w:t>
      </w:r>
      <w:r>
        <w:t xml:space="preserve">Z. L. Glick, D. P. Metcalf and S. F. Swarthout,</w:t>
      </w:r>
      <w:r>
        <w:t xml:space="preserve"> </w:t>
      </w:r>
      <w:r>
        <w:rPr>
          <w:i/>
          <w:iCs/>
        </w:rPr>
        <w:t xml:space="preserve">arXiv</w:t>
      </w:r>
      <w:r>
        <w:t xml:space="preserve">, 2025, arXiv:2507.16218.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122" Target="https://arxiv.org/abs/1710.04087" TargetMode="External" /><Relationship Type="http://schemas.openxmlformats.org/officeDocument/2006/relationships/hyperlink" Id="rId88" Target="https://doi.org/10.1002/1096-987X(200102)22:3&lt;273::AID-JCC1001&gt;3.0.CO;2-0" TargetMode="External" /><Relationship Type="http://schemas.openxmlformats.org/officeDocument/2006/relationships/hyperlink" Id="rId67" Target="https://doi.org/10.1002/advs.202410722" TargetMode="External" /><Relationship Type="http://schemas.openxmlformats.org/officeDocument/2006/relationships/hyperlink" Id="rId96" Target="https://doi.org/10.1002/aidi.202500044" TargetMode="External" /><Relationship Type="http://schemas.openxmlformats.org/officeDocument/2006/relationships/hyperlink" Id="rId83" Target="https://doi.org/10.1007/978-3-030-58595-2_41" TargetMode="External" /><Relationship Type="http://schemas.openxmlformats.org/officeDocument/2006/relationships/hyperlink" Id="rId109" Target="https://doi.org/10.1016/0369-643X(58)90029-X" TargetMode="External" /><Relationship Type="http://schemas.openxmlformats.org/officeDocument/2006/relationships/hyperlink" Id="rId107" Target="https://doi.org/10.1016/j.commatsci.2012.10.028" TargetMode="External" /><Relationship Type="http://schemas.openxmlformats.org/officeDocument/2006/relationships/hyperlink" Id="rId128" Target="https://doi.org/10.1016/j.cpc.2013.10.026" TargetMode="External" /><Relationship Type="http://schemas.openxmlformats.org/officeDocument/2006/relationships/hyperlink" Id="rId59" Target="https://doi.org/10.1017/S0885715619000812" TargetMode="External" /><Relationship Type="http://schemas.openxmlformats.org/officeDocument/2006/relationships/hyperlink" Id="rId63" Target="https://doi.org/10.1023/A:1011052932607" TargetMode="External" /><Relationship Type="http://schemas.openxmlformats.org/officeDocument/2006/relationships/hyperlink" Id="rId69" Target="https://doi.org/10.1038/s41524-026-02015-y" TargetMode="External" /><Relationship Type="http://schemas.openxmlformats.org/officeDocument/2006/relationships/hyperlink" Id="rId65" Target="https://doi.org/10.1039/C5CS00227C" TargetMode="External" /><Relationship Type="http://schemas.openxmlformats.org/officeDocument/2006/relationships/hyperlink" Id="rId90" Target="https://doi.org/10.1039/D2CE01080A" TargetMode="External" /><Relationship Type="http://schemas.openxmlformats.org/officeDocument/2006/relationships/hyperlink" Id="rId79" Target="https://doi.org/10.1039/D3DD00071K" TargetMode="External" /><Relationship Type="http://schemas.openxmlformats.org/officeDocument/2006/relationships/hyperlink" Id="rId92" Target="https://doi.org/10.1039/D3SC00168G" TargetMode="External" /><Relationship Type="http://schemas.openxmlformats.org/officeDocument/2006/relationships/hyperlink" Id="rId74" Target="https://doi.org/10.1039/d6dd00088f" TargetMode="External" /><Relationship Type="http://schemas.openxmlformats.org/officeDocument/2006/relationships/hyperlink" Id="rId98" Target="https://doi.org/10.1107/S0021889804027074" TargetMode="External" /><Relationship Type="http://schemas.openxmlformats.org/officeDocument/2006/relationships/hyperlink" Id="rId100" Target="https://doi.org/10.1107/S0021889807067908" TargetMode="External" /><Relationship Type="http://schemas.openxmlformats.org/officeDocument/2006/relationships/hyperlink" Id="rId113" Target="https://doi.org/10.1107/S0021889809016690" TargetMode="External" /><Relationship Type="http://schemas.openxmlformats.org/officeDocument/2006/relationships/hyperlink" Id="rId105" Target="https://doi.org/10.1107/S0021889869006558" TargetMode="External" /><Relationship Type="http://schemas.openxmlformats.org/officeDocument/2006/relationships/hyperlink" Id="rId120" Target="https://doi.org/10.1107/S0021889886089458" TargetMode="External" /><Relationship Type="http://schemas.openxmlformats.org/officeDocument/2006/relationships/hyperlink" Id="rId115" Target="https://doi.org/10.1107/S1600576720016532" TargetMode="External" /><Relationship Type="http://schemas.openxmlformats.org/officeDocument/2006/relationships/hyperlink" Id="rId94" Target="https://doi.org/10.1107/S1600576724007489" TargetMode="External" /><Relationship Type="http://schemas.openxmlformats.org/officeDocument/2006/relationships/hyperlink" Id="rId61" Target="https://doi.org/10.1107/S2052520616003954" TargetMode="External" /><Relationship Type="http://schemas.openxmlformats.org/officeDocument/2006/relationships/hyperlink" Id="rId126" Target="https://doi.org/10.1107/S2052520621003309" TargetMode="External" /><Relationship Type="http://schemas.openxmlformats.org/officeDocument/2006/relationships/hyperlink" Id="rId111" Target="https://doi.org/10.1111/j.1467-9868.2007.00593.x" TargetMode="External" /><Relationship Type="http://schemas.openxmlformats.org/officeDocument/2006/relationships/hyperlink" Id="rId81" Target="https://doi.org/10.1145/3298689.3347058" TargetMode="External" /><Relationship Type="http://schemas.openxmlformats.org/officeDocument/2006/relationships/hyperlink" Id="rId85" Target="https://doi.org/10.52202/079017-3491" TargetMode="External" /><Relationship Type="http://schemas.openxmlformats.org/officeDocument/2006/relationships/hyperlink" Id="rId102" Target="https://jmlr.org/papers/v11/radovanovic10a.html" TargetMode="External" /><Relationship Type="http://schemas.openxmlformats.org/officeDocument/2006/relationships/hyperlink" Id="rId124" Target="https://jmlr.org/papers/v13/schnitzer12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2" Target="https://arxiv.org/abs/1710.04087" TargetMode="External" /><Relationship Type="http://schemas.openxmlformats.org/officeDocument/2006/relationships/hyperlink" Id="rId88" Target="https://doi.org/10.1002/1096-987X(200102)22:3&lt;273::AID-JCC1001&gt;3.0.CO;2-0" TargetMode="External" /><Relationship Type="http://schemas.openxmlformats.org/officeDocument/2006/relationships/hyperlink" Id="rId67" Target="https://doi.org/10.1002/advs.202410722" TargetMode="External" /><Relationship Type="http://schemas.openxmlformats.org/officeDocument/2006/relationships/hyperlink" Id="rId96" Target="https://doi.org/10.1002/aidi.202500044" TargetMode="External" /><Relationship Type="http://schemas.openxmlformats.org/officeDocument/2006/relationships/hyperlink" Id="rId83" Target="https://doi.org/10.1007/978-3-030-58595-2_41" TargetMode="External" /><Relationship Type="http://schemas.openxmlformats.org/officeDocument/2006/relationships/hyperlink" Id="rId109" Target="https://doi.org/10.1016/0369-643X(58)90029-X" TargetMode="External" /><Relationship Type="http://schemas.openxmlformats.org/officeDocument/2006/relationships/hyperlink" Id="rId107" Target="https://doi.org/10.1016/j.commatsci.2012.10.028" TargetMode="External" /><Relationship Type="http://schemas.openxmlformats.org/officeDocument/2006/relationships/hyperlink" Id="rId128" Target="https://doi.org/10.1016/j.cpc.2013.10.026" TargetMode="External" /><Relationship Type="http://schemas.openxmlformats.org/officeDocument/2006/relationships/hyperlink" Id="rId59" Target="https://doi.org/10.1017/S0885715619000812" TargetMode="External" /><Relationship Type="http://schemas.openxmlformats.org/officeDocument/2006/relationships/hyperlink" Id="rId63" Target="https://doi.org/10.1023/A:1011052932607" TargetMode="External" /><Relationship Type="http://schemas.openxmlformats.org/officeDocument/2006/relationships/hyperlink" Id="rId69" Target="https://doi.org/10.1038/s41524-026-02015-y" TargetMode="External" /><Relationship Type="http://schemas.openxmlformats.org/officeDocument/2006/relationships/hyperlink" Id="rId65" Target="https://doi.org/10.1039/C5CS00227C" TargetMode="External" /><Relationship Type="http://schemas.openxmlformats.org/officeDocument/2006/relationships/hyperlink" Id="rId90" Target="https://doi.org/10.1039/D2CE01080A" TargetMode="External" /><Relationship Type="http://schemas.openxmlformats.org/officeDocument/2006/relationships/hyperlink" Id="rId79" Target="https://doi.org/10.1039/D3DD00071K" TargetMode="External" /><Relationship Type="http://schemas.openxmlformats.org/officeDocument/2006/relationships/hyperlink" Id="rId92" Target="https://doi.org/10.1039/D3SC00168G" TargetMode="External" /><Relationship Type="http://schemas.openxmlformats.org/officeDocument/2006/relationships/hyperlink" Id="rId74" Target="https://doi.org/10.1039/d6dd00088f" TargetMode="External" /><Relationship Type="http://schemas.openxmlformats.org/officeDocument/2006/relationships/hyperlink" Id="rId98" Target="https://doi.org/10.1107/S0021889804027074" TargetMode="External" /><Relationship Type="http://schemas.openxmlformats.org/officeDocument/2006/relationships/hyperlink" Id="rId100" Target="https://doi.org/10.1107/S0021889807067908" TargetMode="External" /><Relationship Type="http://schemas.openxmlformats.org/officeDocument/2006/relationships/hyperlink" Id="rId113" Target="https://doi.org/10.1107/S0021889809016690" TargetMode="External" /><Relationship Type="http://schemas.openxmlformats.org/officeDocument/2006/relationships/hyperlink" Id="rId105" Target="https://doi.org/10.1107/S0021889869006558" TargetMode="External" /><Relationship Type="http://schemas.openxmlformats.org/officeDocument/2006/relationships/hyperlink" Id="rId120" Target="https://doi.org/10.1107/S0021889886089458" TargetMode="External" /><Relationship Type="http://schemas.openxmlformats.org/officeDocument/2006/relationships/hyperlink" Id="rId115" Target="https://doi.org/10.1107/S1600576720016532" TargetMode="External" /><Relationship Type="http://schemas.openxmlformats.org/officeDocument/2006/relationships/hyperlink" Id="rId94" Target="https://doi.org/10.1107/S1600576724007489" TargetMode="External" /><Relationship Type="http://schemas.openxmlformats.org/officeDocument/2006/relationships/hyperlink" Id="rId61" Target="https://doi.org/10.1107/S2052520616003954" TargetMode="External" /><Relationship Type="http://schemas.openxmlformats.org/officeDocument/2006/relationships/hyperlink" Id="rId126" Target="https://doi.org/10.1107/S2052520621003309" TargetMode="External" /><Relationship Type="http://schemas.openxmlformats.org/officeDocument/2006/relationships/hyperlink" Id="rId111" Target="https://doi.org/10.1111/j.1467-9868.2007.00593.x" TargetMode="External" /><Relationship Type="http://schemas.openxmlformats.org/officeDocument/2006/relationships/hyperlink" Id="rId81" Target="https://doi.org/10.1145/3298689.3347058" TargetMode="External" /><Relationship Type="http://schemas.openxmlformats.org/officeDocument/2006/relationships/hyperlink" Id="rId85" Target="https://doi.org/10.52202/079017-3491" TargetMode="External" /><Relationship Type="http://schemas.openxmlformats.org/officeDocument/2006/relationships/hyperlink" Id="rId102" Target="https://jmlr.org/papers/v11/radovanovic10a.html" TargetMode="External" /><Relationship Type="http://schemas.openxmlformats.org/officeDocument/2006/relationships/hyperlink" Id="rId124" Target="https://jmlr.org/papers/v13/schnitzer12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Classical profile matching is the bar for learned powder-diffraction retrieval: a real organic benchmark against 309,080 CSD entries</dc:title>
  <dc:creator/>
  <cp:keywords/>
  <dcterms:created xsi:type="dcterms:W3CDTF">2026-10-14T08:45:08Z</dcterms:created>
  <dcterms:modified xsi:type="dcterms:W3CDTF">2026-10-14T08:45:08Z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refs_dd.bib</vt:lpwstr>
  </property>
  <property fmtid="{D5CDD505-2E9C-101B-9397-08002B2CF9AE}" pid="3" name="csl">
    <vt:lpwstr>royal-society-of-chemistry.csl</vt:lpwstr>
  </property>
  <property fmtid="{D5CDD505-2E9C-101B-9397-08002B2CF9AE}" pid="4" name="link-citations">
    <vt:lpwstr>True</vt:lpwstr>
  </property>
</Properties>
</file>