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embedding powder X-ray diffraction (PXRD) patterns and crystal structures in a shared</w:t>
      </w:r>
      <w:r>
        <w:t xml:space="preserve"> </w:t>
      </w:r>
      <w:r>
        <w:t xml:space="preserve">space have been proposed for structure retrieval, but are mostly tested on simulated queries against</w:t>
      </w:r>
      <w:r>
        <w:t xml:space="preserve"> </w:t>
      </w:r>
      <w:r>
        <w:t xml:space="preserve">baselines that cannot absorb a peak shift. We test one such model, trained on 247,089 molecular crystals</w:t>
      </w:r>
      <w:r>
        <w:t xml:space="preserve"> </w:t>
      </w:r>
      <w:r>
        <w:t xml:space="preserve">from the Cambridge Structural Database (CSD), against classical profile matching on 188 measured patterns of</w:t>
      </w:r>
      <w:r>
        <w:t xml:space="preserve"> </w:t>
      </w:r>
      <w:r>
        <w:t xml:space="preserve">123 organic compounds from the opXRD database. Correct answers are fixed by packing similarity, and</w:t>
      </w:r>
      <w:r>
        <w:t xml:space="preserve"> </w:t>
      </w:r>
      <w:r>
        <w:t xml:space="preserve">every pattern is ranked against 309,080 simulated CSD entries. When the answer must be an independent</w:t>
      </w:r>
      <w:r>
        <w:t xml:space="preserve"> </w:t>
      </w:r>
      <w:r>
        <w:t xml:space="preserve">single-crystal determination, the classical scores reach a compound-weighted top-1 of 0.30–0.50 (30</w:t>
      </w:r>
      <w:r>
        <w:t xml:space="preserve"> </w:t>
      </w:r>
      <w:r>
        <w:t xml:space="preserve">compounds) and the model 0.00; a variable-cell re-rank (VC-GPWDF) reaches 0.53, not resolved from the ln q</w:t>
      </w:r>
      <w:r>
        <w:t xml:space="preserve"> </w:t>
      </w:r>
      <w:r>
        <w:t xml:space="preserve">scan it re-ranks (0.45). Most failures involve references determined at other pressures or temperatures.</w:t>
      </w:r>
      <w:r>
        <w:t xml:space="preserve"> </w:t>
      </w:r>
      <w:r>
        <w:t xml:space="preserve">When the pattern’s own powder-study entry also counts, the classical scores reach 0.71–0.87 and the model</w:t>
      </w:r>
      <w:r>
        <w:t xml:space="preserve"> </w:t>
      </w:r>
      <w:r>
        <w:t xml:space="preserve">0.02. Yet on clean simulations of the same targets it reaches 0.27 (median rank 5). Retrained with</w:t>
      </w:r>
      <w:r>
        <w:t xml:space="preserve"> </w:t>
      </w:r>
      <w:r>
        <w:t xml:space="preserve">five modelled measurement effects, it handles them in simulation but stays at 0.02 on measured patterns, so</w:t>
      </w:r>
      <w:r>
        <w:t xml:space="preserve"> </w:t>
      </w:r>
      <w:r>
        <w:t xml:space="preserve">the gap lies in what our simulation does not reproduce. In 34 simulated degradation conditions, each</w:t>
      </w:r>
      <w:r>
        <w:t xml:space="preserve"> </w:t>
      </w:r>
      <w:r>
        <w:t xml:space="preserve">of the shift-tolerant classical scores beats it in at least 32. A more realistic library and a hubness</w:t>
      </w:r>
      <w:r>
        <w:t xml:space="preserve"> </w:t>
      </w:r>
      <w:r>
        <w:t xml:space="preserve">correction (CSLS) change none of this, and an open replica on</w:t>
      </w:r>
      <w:r>
        <w:t xml:space="preserve"> </w:t>
      </w:r>
      <w:r>
        <w:t xml:space="preserve">the Crystallography Open Database reproduces the any-same-form result. We release the benchmark as code,</w:t>
      </w:r>
      <w:r>
        <w:t xml:space="preserve"> </w:t>
      </w:r>
      <w:r>
        <w:t xml:space="preserve">refcode lists and the open replica.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five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redistributed, and as an open replica built from</w:t>
      </w:r>
      <w:r>
        <w:t xml:space="preserve"> </w:t>
      </w:r>
      <w:r>
        <w:t xml:space="preserve">the Crystallography Open Database (Sections 2.6 and 4.7).</w:t>
      </w:r>
    </w:p>
    <w:p>
      <w:pPr>
        <w:pStyle w:val="Compact"/>
        <w:numPr>
          <w:ilvl w:val="0"/>
          <w:numId w:val="1001"/>
        </w:numPr>
      </w:pPr>
      <w:r>
        <w:t xml:space="preserve">A test of the published variable-cell method on the hard single-crystal case (Section 4.2).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patterns, and neither the measurement effects we could simulate nor a retrain that includes</w:t>
      </w:r>
      <w:r>
        <w:t xml:space="preserve"> </w:t>
      </w:r>
      <w:r>
        <w:t xml:space="preserve">them closes that gap (Section 4.5).</w:t>
      </w:r>
    </w:p>
    <w:p>
      <w:pPr>
        <w:pStyle w:val="Compact"/>
        <w:numPr>
          <w:ilvl w:val="0"/>
          <w:numId w:val="1001"/>
        </w:numPr>
      </w:pPr>
      <w:r>
        <w:t xml:space="preserve">Checks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or the fidelity of the simulated library limits classical retrieval</w:t>
      </w:r>
      <w:r>
        <w:t xml:space="preserve"> </w:t>
      </w:r>
      <w:r>
        <w:t xml:space="preserve">(Sections 4.4 and 4.6).</w:t>
      </w:r>
    </w:p>
    <w:bookmarkEnd w:id="10"/>
    <w:bookmarkStart w:id="20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headline; 22 of these patterns come from variable-pressure studies (Section 4.2).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noise; a library closer to the measurements is tested in</w:t>
      </w:r>
      <w:r>
        <w:t xml:space="preserve"> </w:t>
      </w:r>
      <w:r>
        <w:t xml:space="preserve">Sections 3.7 and 4.6. For disordered entries whose CIF fails a strict parse, coincident sites are merged by</w:t>
      </w:r>
      <w:r>
        <w:t xml:space="preserve"> </w:t>
      </w:r>
      <w:r>
        <w:t xml:space="preserve">rescaling occupancies; the own entry of 28 patterns (9 compounds) is 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 Our primary comparison is the learned model against the classical scores in compound-weighted</w:t>
      </w:r>
      <w:r>
        <w:t xml:space="preserve"> </w:t>
      </w:r>
      <w:r>
        <w:t xml:space="preserve">top-1. Comparisons among classical scores, and among the variants of Sections 3.5 and 3.7, are exploratory and</w:t>
      </w:r>
      <w:r>
        <w:t xml:space="preserve"> </w:t>
      </w:r>
      <w:r>
        <w:t xml:space="preserve">are not corrected for multiple comparisons.</w:t>
      </w:r>
    </w:p>
    <w:bookmarkEnd w:id="18"/>
    <w:bookmarkStart w:id="19" w:name="an-open-replica"/>
    <w:p>
      <w:pPr>
        <w:pStyle w:val="Heading3"/>
      </w:pPr>
      <w:r>
        <w:t xml:space="preserve">2.6 An open replica</w:t>
      </w:r>
    </w:p>
    <w:p>
      <w:pPr>
        <w:pStyle w:val="FirstParagraph"/>
      </w:pPr>
      <w:r>
        <w:t xml:space="preserve">The CSD licence does not allow the library or the answer sets to be redistributed. So that the results can</w:t>
      </w:r>
      <w:r>
        <w:t xml:space="preserve"> </w:t>
      </w:r>
      <w:r>
        <w:t xml:space="preserve">be checked without a licence, we rebuilt the benchmark from the Crystallography Open Database (COD; CC0)</w:t>
      </w:r>
      <w:hyperlink w:anchor="ref-grazulis2009cod">
        <w:r>
          <w:rPr>
            <w:rStyle w:val="Hyperlink"/>
            <w:vertAlign w:val="superscript"/>
          </w:rPr>
          <w:t xml:space="preserve">32</w:t>
        </w:r>
      </w:hyperlink>
      <w:r>
        <w:rPr>
          <w:vertAlign w:val="superscript"/>
        </w:rPr>
        <w:t xml:space="preserve">,</w:t>
      </w:r>
      <w:hyperlink w:anchor="ref-vaitkus2021cod">
        <w:r>
          <w:rPr>
            <w:rStyle w:val="Hyperlink"/>
            <w:vertAlign w:val="superscript"/>
          </w:rPr>
          <w:t xml:space="preserve">33</w:t>
        </w:r>
      </w:hyperlink>
      <w:r>
        <w:t xml:space="preserve">, the source of the opXRD patterns themselves. The queries are</w:t>
      </w:r>
      <w:r>
        <w:t xml:space="preserve"> </w:t>
      </w:r>
      <w:r>
        <w:t xml:space="preserve">unchanged. The library applies the corpus filter of Section 2.4 to the COD metadata (C-containing entries</w:t>
      </w:r>
      <w:r>
        <w:t xml:space="preserve"> </w:t>
      </w:r>
      <w:r>
        <w:t xml:space="preserve">with coordinates, no disorder flag, R ≤ 7.5 %, Z′ of 1–2, no element outside H, C, N, O, F, S, Cl, Br, I</w:t>
      </w:r>
      <w:r>
        <w:t xml:space="preserve"> </w:t>
      </w:r>
      <w:r>
        <w:t xml:space="preserve">and P), which keeps 108,716 entries, and adds 854 candidate entries of the queries (below) that the filter</w:t>
      </w:r>
      <w:r>
        <w:t xml:space="preserve"> </w:t>
      </w:r>
      <w:r>
        <w:t xml:space="preserve">removes. Of these 109,570 entries, 108,902 gave stick patterns, computed and rendered exactly as for the</w:t>
      </w:r>
      <w:r>
        <w:t xml:space="preserve"> </w:t>
      </w:r>
      <w:r>
        <w:t xml:space="preserve">CSD library.</w:t>
      </w:r>
    </w:p>
    <w:p>
      <w:pPr>
        <w:pStyle w:val="BodyText"/>
      </w:pPr>
      <w:r>
        <w:t xml:space="preserve">The answer sets follow Section 2.2 with two changes. First, the COD has no refcode families. Candidates</w:t>
      </w:r>
      <w:r>
        <w:t xml:space="preserve"> </w:t>
      </w:r>
      <w:r>
        <w:t xml:space="preserve">are COD entries with the same non-H element set whose primitive reduced cell lies within 5 % of the deposited</w:t>
      </w:r>
      <w:r>
        <w:t xml:space="preserve"> </w:t>
      </w:r>
      <w:r>
        <w:t xml:space="preserve">structure’s in each length and within 6 % in volume, a wider window than in the CSD search so that</w:t>
      </w:r>
      <w:r>
        <w:t xml:space="preserve"> </w:t>
      </w:r>
      <w:r>
        <w:t xml:space="preserve">temperature series are not lost. The two closest anchors are then compared with every other candidate, COD</w:t>
      </w:r>
      <w:r>
        <w:t xml:space="preserve"> </w:t>
      </w:r>
      <w:r>
        <w:t xml:space="preserve">entry against COD entry with the strict settings, to give the same-form set. Second, the COD candidates</w:t>
      </w:r>
      <w:r>
        <w:t xml:space="preserve"> </w:t>
      </w:r>
      <w:r>
        <w:t xml:space="preserve">include other compounds, which the CSD family search never returned. A candidate whose reduced non-H formula</w:t>
      </w:r>
      <w:r>
        <w:t xml:space="preserve"> </w:t>
      </w:r>
      <w:r>
        <w:t xml:space="preserve">differs from that of every same-form entry stays an ordinary library entry, and so counts as an error when it</w:t>
      </w:r>
      <w:r>
        <w:t xml:space="preserve"> </w:t>
      </w:r>
      <w:r>
        <w:t xml:space="preserve">ranks above the answer; setting the 2,670 such candidates aside, as the rule of Section 2.2 would, would</w:t>
      </w:r>
      <w:r>
        <w:t xml:space="preserve"> </w:t>
      </w:r>
      <w:r>
        <w:t xml:space="preserve">remove the hardest decoys and flatter every score. Same-formula candidates that cannot be compared (23) are</w:t>
      </w:r>
      <w:r>
        <w:t xml:space="preserve"> </w:t>
      </w:r>
      <w:r>
        <w:t xml:space="preserve">set aside as before. Powder or single-crystal is read from the COD method field, else from the powder tags of</w:t>
      </w:r>
      <w:r>
        <w:t xml:space="preserve"> </w:t>
      </w:r>
      <w:r>
        <w:t xml:space="preserve">the CIF. This rule was fixed before any replica result was computed.</w:t>
      </w:r>
    </w:p>
    <w:p>
      <w:pPr>
        <w:pStyle w:val="BodyText"/>
      </w:pPr>
      <w:r>
        <w:t xml:space="preserve">191 of the 196 patterns are identified in the COD: all 189 identified in the CSD and two more. Without the</w:t>
      </w:r>
      <w:r>
        <w:t xml:space="preserve"> </w:t>
      </w:r>
      <w:r>
        <w:t xml:space="preserve">pattern with a radian axis (Section 2.2), 190 patterns of 125 compounds are scored. 35 patterns of 9</w:t>
      </w:r>
      <w:r>
        <w:t xml:space="preserve"> </w:t>
      </w:r>
      <w:r>
        <w:t xml:space="preserve">compounds have a single-crystal same-form entry, against 59 patterns of 30 compounds in the CSD, so the</w:t>
      </w:r>
      <w:r>
        <w:t xml:space="preserve"> </w:t>
      </w:r>
      <w:r>
        <w:t xml:space="preserve">replica’s single-crystal set is small and its intervals are wide. Compounds are labelled as in the main</w:t>
      </w:r>
      <w:r>
        <w:t xml:space="preserve"> </w:t>
      </w:r>
      <w:r>
        <w:t xml:space="preserve">benchmark. The replica is scored with the scores of Section 3.2 and the model, without the corrections of</w:t>
      </w:r>
      <w:r>
        <w:t xml:space="preserve"> </w:t>
      </w:r>
      <w:r>
        <w:t xml:space="preserve">Sections 3.5 and 3.7.</w:t>
      </w:r>
    </w:p>
    <w:bookmarkEnd w:id="19"/>
    <w:bookmarkEnd w:id="20"/>
    <w:bookmarkStart w:id="29" w:name="methods"/>
    <w:p>
      <w:pPr>
        <w:pStyle w:val="Heading2"/>
      </w:pPr>
      <w:r>
        <w:t xml:space="preserve">3. Methods</w:t>
      </w:r>
    </w:p>
    <w:bookmarkStart w:id="21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1"/>
    <w:bookmarkStart w:id="22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 a</w:t>
      </w:r>
      <w:r>
        <w:t xml:space="preserve"> </w:t>
      </w:r>
      <w:r>
        <w:t xml:space="preserve">pattern converted from a short wavelength, a native zero error is magnified by about λ_Cu/λ (up to about</w:t>
      </w:r>
      <w:r>
        <w:t xml:space="preserve"> </w:t>
      </w:r>
      <w:r>
        <w:t xml:space="preserve">4.5 times) and becomes weakly angle-dependent on the Cu axis. Specimen transparency, which shifts peaks in</w:t>
      </w:r>
      <w:r>
        <w:t xml:space="preserve"> </w:t>
      </w:r>
      <w:r>
        <w:t xml:space="preserve">proportion to sin 2θ and is often the largest aberration for weakly absorbing organic samples in reflection</w:t>
      </w:r>
      <w:r>
        <w:t xml:space="preserve"> </w:t>
      </w:r>
      <w:r>
        <w:t xml:space="preserve">geometry, is not absorbed by a constant offset.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translation; each ln q bin takes the mean of the pattern over its width, so peak areas</w:t>
      </w:r>
      <w:r>
        <w:t xml:space="preserve"> </w:t>
      </w:r>
      <w:r>
        <w:t xml:space="preserve">are kept where the bins are wider than the 2θ step. The score is a WCC with l = 0.01 in ln q, maximised over</w:t>
      </w:r>
      <w:r>
        <w:t xml:space="preserve"> </w:t>
      </w:r>
      <w:r>
        <w:t xml:space="preserve">lags up to ±3 % strain and over 17 zero offsets from −0.32° to +0.32° in 0.04° steps, applied before</w:t>
      </w:r>
      <w:r>
        <w:t xml:space="preserve"> </w:t>
      </w:r>
      <w:r>
        <w:t xml:space="preserve">resampling. A first version of this score sampled the ln q axis at points and used 16 offsets that skipped</w:t>
      </w:r>
      <w:r>
        <w:t xml:space="preserve"> </w:t>
      </w:r>
      <w:r>
        <w:t xml:space="preserve">zero (nearest ±0.02°), which cost it accuracy on clean simulated queries (within-family top-1 0.88 rather</w:t>
      </w:r>
      <w:r>
        <w:t xml:space="preserve"> </w:t>
      </w:r>
      <w:r>
        <w:t xml:space="preserve">than 1.00); we found both problems in an</w:t>
      </w:r>
      <w:r>
        <w:t xml:space="preserve"> </w:t>
      </w:r>
      <w:r>
        <w:t xml:space="preserve">internal review, corrected them, and report the first version in the ESI.† The corrected version was</w:t>
      </w:r>
      <w:r>
        <w:t xml:space="preserve"> </w:t>
      </w:r>
      <w:r>
        <w:t xml:space="preserve">declared primary before it was scored; it lowers the single-crystal top-1 from 0.49 to 0.45 (ESI†). The offset grid is still 0.04°, so on simulated</w:t>
      </w:r>
      <w:r>
        <w:t xml:space="preserve"> </w:t>
      </w:r>
      <w:r>
        <w:t xml:space="preserve">queries the score depends on whether an applied offset falls on the grid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code; on the measured patterns we run the reference code</w:t>
      </w:r>
      <w:r>
        <w:t xml:space="preserve"> </w:t>
      </w:r>
      <w:r>
        <w:t xml:space="preserve">itself (Section 3.8).</w:t>
      </w:r>
    </w:p>
    <w:bookmarkEnd w:id="22"/>
    <w:bookmarkStart w:id="23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34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 The</w:t>
      </w:r>
      <w:r>
        <w:t xml:space="preserve"> </w:t>
      </w:r>
      <w:r>
        <w:t xml:space="preserve">corrected ln q scan of Section 3.2 was rescored alone (405 s) and reproduces its CPU ranks with no top-1</w:t>
      </w:r>
      <w:r>
        <w:t xml:space="preserve"> </w:t>
      </w:r>
      <w:r>
        <w:t xml:space="preserve">change.</w:t>
      </w:r>
    </w:p>
    <w:bookmarkEnd w:id="23"/>
    <w:bookmarkStart w:id="24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35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36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37</w:t>
        </w:r>
      </w:hyperlink>
      <w:r>
        <w:t xml:space="preserve">, background and Poisson noise, but without Kα2. The checkpoint was chosen by in-batch top-1 on</w:t>
      </w:r>
      <w:r>
        <w:t xml:space="preserve"> </w:t>
      </w:r>
      <w:r>
        <w:t xml:space="preserve">clean, unaugmented validation patterns. A measured pattern is scored against the library by the cosine</w:t>
      </w:r>
      <w:r>
        <w:t xml:space="preserve"> </w:t>
      </w:r>
      <w:r>
        <w:t xml:space="preserve">between its pattern embedding and each entry’s structure embedding. We also test the model as a shortlist,</w:t>
      </w:r>
      <w:r>
        <w:t xml:space="preserve"> </w:t>
      </w:r>
      <w:r>
        <w:t xml:space="preserve">re-ranking its top 100 or 1,000 entries with a classical score. Further details are in the ESI.†</w:t>
      </w:r>
    </w:p>
    <w:p>
      <w:pPr>
        <w:pStyle w:val="BodyText"/>
      </w:pPr>
      <w:r>
        <w:t xml:space="preserve">Three further diagnostics probe the failure reported in Section 4.5. (i)</w:t>
      </w:r>
      <w:r>
        <w:t xml:space="preserve"> </w:t>
      </w:r>
      <w:r>
        <w:rPr>
          <w:b/>
          <w:bCs/>
        </w:rPr>
        <w:t xml:space="preserve">Effect ladder.</w:t>
      </w:r>
      <w:r>
        <w:t xml:space="preserve"> </w:t>
      </w:r>
      <w:r>
        <w:t xml:space="preserve">Each pattern’s</w:t>
      </w:r>
      <w:r>
        <w:t xml:space="preserve"> </w:t>
      </w:r>
      <w:r>
        <w:t xml:space="preserve">own library entry is rendered cleanly and then with one effect of the measurement at a time: its 2θ</w:t>
      </w:r>
      <w:r>
        <w:t xml:space="preserve"> </w:t>
      </w:r>
      <w:r>
        <w:t xml:space="preserve">coverage, its peak width and its noise level, each estimated from the measured pattern; Kα2, added to every</w:t>
      </w:r>
      <w:r>
        <w:t xml:space="preserve"> </w:t>
      </w:r>
      <w:r>
        <w:t xml:space="preserve">laboratory Cu pattern because monochromatisation is not recorded; its own background followed by the</w:t>
      </w:r>
      <w:r>
        <w:t xml:space="preserve"> </w:t>
      </w:r>
      <w:r>
        <w:t xml:space="preserve">background subtraction of Section 3.1; the zero offset that best aligns it with its entry; and an overall</w:t>
      </w:r>
      <w:r>
        <w:t xml:space="preserve"> </w:t>
      </w:r>
      <w:r>
        <w:t xml:space="preserve">Debye–Waller factor (B = 4.45 Å², from the library, Section 3.7). It is then rendered with the first six</w:t>
      </w:r>
      <w:r>
        <w:t xml:space="preserve"> </w:t>
      </w:r>
      <w:r>
        <w:t xml:space="preserve">together, and with those six plus the Debye–Waller factor, log-normal intensity jitter per reflection</w:t>
      </w:r>
      <w:r>
        <w:t xml:space="preserve"> </w:t>
      </w:r>
      <w:r>
        <w:t xml:space="preserve">(σ = 0.3 or 0.5, not estimated from the data), or both (σ = 0.3); the Debye–Waller and jitter rungs were</w:t>
      </w:r>
      <w:r>
        <w:t xml:space="preserve"> </w:t>
      </w:r>
      <w:r>
        <w:t xml:space="preserve">added after the first ladder. Every variant is scored with the answer sets of the measured pattern. One</w:t>
      </w:r>
      <w:r>
        <w:t xml:space="preserve"> </w:t>
      </w:r>
      <w:r>
        <w:t xml:space="preserve">effect, the zero offset, uses the own entry, so the ladder diagnoses the model and is not a method.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Pattern to pattern.</w:t>
      </w:r>
      <w:r>
        <w:t xml:space="preserve"> </w:t>
      </w:r>
      <w:r>
        <w:t xml:space="preserve">The clean library patterns are passed through the model’s pattern encoder, so</w:t>
      </w:r>
      <w:r>
        <w:t xml:space="preserve"> </w:t>
      </w:r>
      <w:r>
        <w:t xml:space="preserve">measured patterns are matched against simulated patterns in the learned space without the structure encoder.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Realism retrain.</w:t>
      </w:r>
      <w:r>
        <w:t xml:space="preserve"> </w:t>
      </w:r>
      <w:r>
        <w:t xml:space="preserve">The model was retrained once with the design and a prediction fixed before</w:t>
      </w:r>
      <w:r>
        <w:t xml:space="preserve"> </w:t>
      </w:r>
      <w:r>
        <w:t xml:space="preserve">training (repository commit 3b77818): the same split, architecture, hyperparameters, epochs, hard-negative</w:t>
      </w:r>
      <w:r>
        <w:t xml:space="preserve"> </w:t>
      </w:r>
      <w:r>
        <w:t xml:space="preserve">batches and checkpoint rule, with the training simulation extended by a Kα2 copy (probability 0.6,</w:t>
      </w:r>
      <w:r>
        <w:t xml:space="preserve"> </w:t>
      </w:r>
      <w:r>
        <w:t xml:space="preserve">I₂/I₁ = 0.5), an overall Debye–Waller factor with B drawn uniformly from 0–8 Å², log-normal intensity jitter</w:t>
      </w:r>
      <w:r>
        <w:t xml:space="preserve"> </w:t>
      </w:r>
      <w:r>
        <w:t xml:space="preserve">per reflection with σ drawn uniformly from 0–0.5, a cut of the 2θ range (probability 0.25; start 5–12°, end</w:t>
      </w:r>
      <w:r>
        <w:t xml:space="preserve"> </w:t>
      </w:r>
      <w:r>
        <w:t xml:space="preserve">30–50°), and the background subtraction applied to the measured patterns. The retrained model is scored like</w:t>
      </w:r>
      <w:r>
        <w:t xml:space="preserve"> </w:t>
      </w:r>
      <w:r>
        <w:t xml:space="preserve">the original, including the ladder; since it was trained only on background-subtracted patterns, its ladder</w:t>
      </w:r>
      <w:r>
        <w:t xml:space="preserve"> </w:t>
      </w:r>
      <w:r>
        <w:t xml:space="preserve">was also rerun with the background subtraction applied to every rung (ESI†).</w:t>
      </w:r>
    </w:p>
    <w:bookmarkEnd w:id="24"/>
    <w:bookmarkStart w:id="25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38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39</w:t>
        </w:r>
      </w:hyperlink>
      <w:r>
        <w:t xml:space="preserve"> </w:t>
      </w:r>
      <w:r>
        <w:t xml:space="preserve">(ESI†); none was selected after seeing the results.</w:t>
      </w:r>
    </w:p>
    <w:bookmarkEnd w:id="25"/>
    <w:bookmarkStart w:id="26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 Each condition’s random draws are seeded from a</w:t>
      </w:r>
      <w:r>
        <w:t xml:space="preserve"> </w:t>
      </w:r>
      <w:r>
        <w:t xml:space="preserve">checksum of its name, so the sweep can be regenerated exactly. (A first run seeded them from Python’s salted</w:t>
      </w:r>
      <w:r>
        <w:t xml:space="preserve"> </w:t>
      </w:r>
      <w:r>
        <w:t xml:space="preserve">string hash, which cannot be regenerated; every sweep number here is from the rerun.)</w:t>
      </w:r>
    </w:p>
    <w:bookmarkEnd w:id="26"/>
    <w:bookmarkStart w:id="27" w:name="a-library-closer-to-the-measurements"/>
    <w:p>
      <w:pPr>
        <w:pStyle w:val="Heading3"/>
      </w:pPr>
      <w:r>
        <w:t xml:space="preserve">3.7 A library closer to the measurements</w:t>
      </w:r>
    </w:p>
    <w:p>
      <w:pPr>
        <w:pStyle w:val="FirstParagraph"/>
      </w:pPr>
      <w:r>
        <w:t xml:space="preserve">The library of Section 2.4 leaves out several features of the measured patterns. As a robustness check, all</w:t>
      </w:r>
      <w:r>
        <w:t xml:space="preserve"> </w:t>
      </w:r>
      <w:r>
        <w:t xml:space="preserve">classical scores were recomputed with one package of changes, fixed before scoring (repository commit</w:t>
      </w:r>
      <w:r>
        <w:t xml:space="preserve"> </w:t>
      </w:r>
      <w:r>
        <w:t xml:space="preserve">4d4dae3). (a) An overall Debye–Waller factor on the library intensities, I exp(−2Bs²) with s = sin θ/λ and</w:t>
      </w:r>
      <w:r>
        <w:t xml:space="preserve"> </w:t>
      </w:r>
      <w:r>
        <w:t xml:space="preserve">B = 4.45 Å², which is 8π² times the median mean non-H U_eq of 5,000 random library entries measured at</w:t>
      </w:r>
      <w:r>
        <w:t xml:space="preserve"> </w:t>
      </w:r>
      <w:r>
        <w:t xml:space="preserve">283–303 K, applied to every pattern whatever its temperature. (b) For the 68 patterns not measured with Cu</w:t>
      </w:r>
      <w:r>
        <w:t xml:space="preserve"> </w:t>
      </w:r>
      <w:r>
        <w:t xml:space="preserve">Kα, the Lorentz–polarisation factor converted from the measurement to Cu Kα1, with polarisation</w:t>
      </w:r>
      <w:r>
        <w:t xml:space="preserve"> </w:t>
      </w:r>
      <w:r>
        <w:t xml:space="preserve">(1 + cos² 2θ)/2 for laboratory tubes and none for synchrotrons, the two patterns at other wavelengths being</w:t>
      </w:r>
      <w:r>
        <w:t xml:space="preserve"> </w:t>
      </w:r>
      <w:r>
        <w:t xml:space="preserve">treated as synchrotron data. No polarisation holds for a vertical scattering plane with a point detector;</w:t>
      </w:r>
      <w:r>
        <w:t xml:space="preserve"> </w:t>
      </w:r>
      <w:r>
        <w:t xml:space="preserve">area-detector data integrated without a polarisation correction would carry the laboratory form. (c) For the 125 laboratory-tube patterns, Kα2 as a nuisance: the score is the higher of</w:t>
      </w:r>
      <w:r>
        <w:t xml:space="preserve"> </w:t>
      </w:r>
      <w:r>
        <w:t xml:space="preserve">those against a Kα1 library and a Kα1 + Kα2 library (I₂/I₁ = 0.5), because opXRD does not record whether</w:t>
      </w:r>
      <w:r>
        <w:t xml:space="preserve"> </w:t>
      </w:r>
      <w:r>
        <w:t xml:space="preserve">the beam was monochromated. (d) For the 46 patterns that do not cover 5–50°, comparison over the measured</w:t>
      </w:r>
      <w:r>
        <w:t xml:space="preserve"> </w:t>
      </w:r>
      <w:r>
        <w:t xml:space="preserve">range only (reference norms over the query’s coverage, not shifted with the zero scan). Each change was also</w:t>
      </w:r>
      <w:r>
        <w:t xml:space="preserve"> </w:t>
      </w:r>
      <w:r>
        <w:t xml:space="preserve">removed on its own to give one-off ablations. None of the four was selected after seeing results. Changes</w:t>
      </w:r>
      <w:r>
        <w:t xml:space="preserve"> </w:t>
      </w:r>
      <w:r>
        <w:t xml:space="preserve">(b) and (d) act on the queries rather than on the library. A separate check, fixed before it was run, puts the</w:t>
      </w:r>
      <w:r>
        <w:t xml:space="preserve"> </w:t>
      </w:r>
      <w:r>
        <w:t xml:space="preserve">measured patterns on the Cu grid by averaging over each grid step instead of interpolating, which keeps the</w:t>
      </w:r>
      <w:r>
        <w:t xml:space="preserve"> </w:t>
      </w:r>
      <w:r>
        <w:t xml:space="preserve">area of narrow synchrotron peaks.</w:t>
      </w:r>
    </w:p>
    <w:bookmarkEnd w:id="27"/>
    <w:bookmarkStart w:id="28" w:name="variable-cell-re-rank"/>
    <w:p>
      <w:pPr>
        <w:pStyle w:val="Heading3"/>
      </w:pPr>
      <w:r>
        <w:t xml:space="preserve">3.8 Variable-cell re-rank</w:t>
      </w:r>
    </w:p>
    <w:p>
      <w:pPr>
        <w:pStyle w:val="FirstParagraph"/>
      </w:pPr>
      <w:r>
        <w:t xml:space="preserve">Single-crystal references fail mainly when their cell differs from the measured one (Section 4.2), which</w:t>
      </w:r>
      <w:r>
        <w:t xml:space="preserve"> </w:t>
      </w:r>
      <w:r>
        <w:t xml:space="preserve">variable-cell comparison is designed to absorb. We re-ranked shortlists with VC-GPWDF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as implemented in critic2 1.4.155</w:t>
      </w:r>
      <w:hyperlink w:anchor="ref-oterodelaroza2014critic2">
        <w:r>
          <w:rPr>
            <w:rStyle w:val="Hyperlink"/>
            <w:vertAlign w:val="superscript"/>
          </w:rPr>
          <w:t xml:space="preserve">41</w:t>
        </w:r>
      </w:hyperlink>
      <w:r>
        <w:t xml:space="preserve">, which compares a</w:t>
      </w:r>
      <w:r>
        <w:t xml:space="preserve"> </w:t>
      </w:r>
      <w:r>
        <w:t xml:space="preserve">candidate structure with a measured pattern while varying the candidate’s cell (±10 % in lengths and ±5° in</w:t>
      </w:r>
      <w:r>
        <w:t xml:space="preserve"> </w:t>
      </w:r>
      <w:r>
        <w:t xml:space="preserve">angles in its quick mode, so larger cell differences cannot be reached). We ran the published pipeline:</w:t>
      </w:r>
      <w:r>
        <w:t xml:space="preserve"> </w:t>
      </w:r>
      <w:r>
        <w:t xml:space="preserve">background fit with 20 knots, peak fit with the default settings, and the global quick comparison with α = 1</w:t>
      </w:r>
      <w:r>
        <w:t xml:space="preserve"> </w:t>
      </w:r>
      <w:r>
        <w:t xml:space="preserve">as in the paper (the code’s default is 0.5) and the measurement wavelength; it applies no zero-offset</w:t>
      </w:r>
      <w:r>
        <w:t xml:space="preserve"> </w:t>
      </w:r>
      <w:r>
        <w:t xml:space="preserve">correction, and the peak fit does not model Kα2. One step was added: each pattern was cut to the d-spacing</w:t>
      </w:r>
      <w:r>
        <w:t xml:space="preserve"> </w:t>
      </w:r>
      <w:r>
        <w:t xml:space="preserve">window that the other scores see (Cu Kα1 2θ of 5–50°). The shortlist of each single-crystal pattern is the</w:t>
      </w:r>
      <w:r>
        <w:t xml:space="preserve"> </w:t>
      </w:r>
      <w:r>
        <w:t xml:space="preserve">50 best entries of ln q, with set-aside entries excluded; a pattern whose answer is not in its shortlist</w:t>
      </w:r>
      <w:r>
        <w:t xml:space="preserve"> </w:t>
      </w:r>
      <w:r>
        <w:t xml:space="preserve">counts as a miss, and a comparison that fails or runs past 4 hours of wall time counts as maximally</w:t>
      </w:r>
      <w:r>
        <w:t xml:space="preserve"> </w:t>
      </w:r>
      <w:r>
        <w:t xml:space="preserve">dissimilar. Entries with a disorder model are given as their major component; the first run passed every</w:t>
      </w:r>
      <w:r>
        <w:t xml:space="preserve"> </w:t>
      </w:r>
      <w:r>
        <w:t xml:space="preserve">component at full occupancy, which affected one answer and is corrected here (ESI†). We had planned a shortlist of 100, but the shortlist holds the answer for the same 36</w:t>
      </w:r>
      <w:r>
        <w:t xml:space="preserve"> </w:t>
      </w:r>
      <w:r>
        <w:t xml:space="preserve">of the 59 patterns at 50 as at 100, so the further entries could only have added competitors; the shorter</w:t>
      </w:r>
      <w:r>
        <w:t xml:space="preserve"> </w:t>
      </w:r>
      <w:r>
        <w:t xml:space="preserve">list is, if anything, favourable to the re-rank. Because the cost of a comparison was first unknown, we ran</w:t>
      </w:r>
      <w:r>
        <w:t xml:space="preserve"> </w:t>
      </w:r>
      <w:r>
        <w:t xml:space="preserve">the top 10 before extending to 50 (ESI†). A comparison took a median of 2.2 CPU-minutes and up to 3.0</w:t>
      </w:r>
      <w:r>
        <w:t xml:space="preserve"> </w:t>
      </w:r>
      <w:r>
        <w:t xml:space="preserve">CPU-hours for the largest cells; one of the 2,950 comparisons reached the limit, in a shortlist that does</w:t>
      </w:r>
      <w:r>
        <w:t xml:space="preserve"> </w:t>
      </w:r>
      <w:r>
        <w:t xml:space="preserve">not hold the answer, so it changes no result. Two checks were added after an internal review (ESI†): a</w:t>
      </w:r>
      <w:r>
        <w:t xml:space="preserve"> </w:t>
      </w:r>
      <w:r>
        <w:t xml:space="preserve">positive control, in which each pattern is compared with its own powder-study entry, the structure refined</w:t>
      </w:r>
      <w:r>
        <w:t xml:space="preserve"> </w:t>
      </w:r>
      <w:r>
        <w:t xml:space="preserve">against that very pattern; and an injection test, in which each answer missing from a shortlist is compared</w:t>
      </w:r>
      <w:r>
        <w:t xml:space="preserve"> </w:t>
      </w:r>
      <w:r>
        <w:t xml:space="preserve">with its pattern to see where it would rank. Two variants were then run as sensitivity checks (ESI†): the</w:t>
      </w:r>
      <w:r>
        <w:t xml:space="preserve"> </w:t>
      </w:r>
      <w:r>
        <w:t xml:space="preserve">peaks of each pattern shifted by an answer-blind zero offset, the shift that best aligns the pattern with its</w:t>
      </w:r>
      <w:r>
        <w:t xml:space="preserve"> </w:t>
      </w:r>
      <w:r>
        <w:t xml:space="preserve">ln q top-1 entry; and new fits, with the default settings, of the 10 patterns whose measured range begins with</w:t>
      </w:r>
      <w:r>
        <w:t xml:space="preserve"> </w:t>
      </w:r>
      <w:r>
        <w:t xml:space="preserve">zero-intensity points, after dropping those points.</w:t>
      </w:r>
    </w:p>
    <w:bookmarkEnd w:id="28"/>
    <w:bookmarkEnd w:id="29"/>
    <w:bookmarkStart w:id="52" w:name="results"/>
    <w:p>
      <w:pPr>
        <w:pStyle w:val="Heading2"/>
      </w:pPr>
      <w:r>
        <w:t xml:space="preserve">4. Results</w:t>
      </w:r>
    </w:p>
    <w:bookmarkStart w:id="33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0.47–0.57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32.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scan, whose offsets are 0.04° apart,</w:t>
      </w:r>
      <w:r>
        <w:t xml:space="preserve"> </w:t>
      </w:r>
      <w:r>
        <w:t xml:space="preserve">also dips at 0.1° and 0.3° (0.88 at both). It holds 0.89 at 1.2 % isotropic strain. The model’s curves are</w:t>
      </w:r>
      <w:r>
        <w:t xml:space="preserve"> </w:t>
      </w:r>
      <w:r>
        <w:t xml:space="preserve">flat, but they are flat at about 0.55; its clean within-family top-1 is 0.56. The smallest gap, −0.12, comes</w:t>
      </w:r>
      <w:r>
        <w:t xml:space="preserve"> </w:t>
      </w:r>
      <w:r>
        <w:t xml:space="preserve">from large anisotropic thermal strain combined with a degraded profile. Even there, WCC (l = 0.5°) leads,</w:t>
      </w:r>
      <w:r>
        <w:t xml:space="preserve"> </w:t>
      </w:r>
      <w:r>
        <w:t xml:space="preserve">0.64 against 0.52, with WCC (l = 1°) and the ln q scan within 0.01 of it.</w:t>
      </w:r>
    </w:p>
    <w:p>
      <w:pPr>
        <w:pStyle w:val="BodyText"/>
      </w:pPr>
      <w:r>
        <w:drawing>
          <wp:inline>
            <wp:extent cx="5334000" cy="327554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2_simulated_swee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In (a), the zero-scan scores dip at offsets that fall</w:t>
      </w:r>
      <w:r>
        <w:t xml:space="preserve"> </w:t>
      </w:r>
      <w:r>
        <w:t xml:space="preserve">between the points of their 0.02° offset grid (0.05° and 0.15°), and the ln q score at offsets off its</w:t>
      </w:r>
      <w:r>
        <w:t xml:space="preserve"> </w:t>
      </w:r>
      <w:r>
        <w:t xml:space="preserve">0.04° grid (0.05°, 0.1°, 0.15° and 0.3°).</w:t>
      </w:r>
    </w:p>
    <w:bookmarkEnd w:id="33"/>
    <w:bookmarkStart w:id="34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Depending on the classical score, the first correct entry lies beyond rank 1,000 for 34–47 % of these</w:t>
      </w:r>
      <w:r>
        <w:t xml:space="preserve"> </w:t>
      </w:r>
      <w:r>
        <w:t xml:space="preserve">patterns.</w:t>
      </w:r>
    </w:p>
    <w:p>
      <w:pPr>
        <w:pStyle w:val="BodyText"/>
      </w:pPr>
      <w:r>
        <w:t xml:space="preserve">The shift- and strain-tolerant scores all lie above fixed-grid Pearson, but the intervals are wide. Paired</w:t>
      </w:r>
      <w:r>
        <w:t xml:space="preserve"> </w:t>
      </w:r>
      <w:r>
        <w:t xml:space="preserve">over compounds, and without correction for the four comparisons, WCC (l = 1°) beats</w:t>
      </w:r>
      <w:r>
        <w:t xml:space="preserve"> </w:t>
      </w:r>
      <w:r>
        <w:t xml:space="preserve">fixed-grid Pearson by 0.20 [0.03, 0.36]; the ln q scan (+0.15 [0.00, 0.31]), cosine + zero scan</w:t>
      </w:r>
      <w:r>
        <w:t xml:space="preserve"> </w:t>
      </w:r>
      <w:r>
        <w:t xml:space="preserve">(+0.10 [−0.05, 0.24]) and WCC (l = 2°, +0.16 [−0.03, 0.35]) are not resolved. Of the full-library scores, the ln q scan has the best median rank, 7.</w:t>
      </w:r>
    </w:p>
    <w:p>
      <w:pPr>
        <w:pStyle w:val="BodyText"/>
      </w:pPr>
      <w:r>
        <w:t xml:space="preserve">What separates success from failure is how well the cells agree, and why they differ. We compare the</w:t>
      </w:r>
      <w:r>
        <w:t xml:space="preserve"> </w:t>
      </w:r>
      <w:r>
        <w:t xml:space="preserve">primitive Niggli-reduced cells of each pattern’s own powder-study entry and of its closest single-crystal</w:t>
      </w:r>
      <w:r>
        <w:t xml:space="preserve"> </w:t>
      </w:r>
      <w:r>
        <w:t xml:space="preserve">same-form entry (58 patterns; one has no powder-study entry). Where every reduced cell length agrees within</w:t>
      </w:r>
      <w:r>
        <w:t xml:space="preserve"> </w:t>
      </w:r>
      <w:r>
        <w:t xml:space="preserve">1 %, the ln q scan ranks a single-crystal same-form entry first for 22 of 33 patterns; where the cells differ</w:t>
      </w:r>
      <w:r>
        <w:t xml:space="preserve"> </w:t>
      </w:r>
      <w:r>
        <w:t xml:space="preserve">by more, for 2 of 25, one of which is a supercell description of the same lattice. Most of the differences</w:t>
      </w:r>
      <w:r>
        <w:t xml:space="preserve"> </w:t>
      </w:r>
      <w:r>
        <w:t xml:space="preserve">have identifiable causes. 22 of the 59 single-crystal patterns (5 compounds) come from variable-pressure</w:t>
      </w:r>
      <w:r>
        <w:t xml:space="preserve"> </w:t>
      </w:r>
      <w:r>
        <w:t xml:space="preserve">studies, room-temperature compression series whose single-crystal references were determined at other</w:t>
      </w:r>
      <w:r>
        <w:t xml:space="preserve"> </w:t>
      </w:r>
      <w:r>
        <w:t xml:space="preserve">pressures, and they account for 16 of the 25 patterns with differing cells. In 7 of the other 9, the</w:t>
      </w:r>
      <w:r>
        <w:t xml:space="preserve"> </w:t>
      </w:r>
      <w:r>
        <w:t xml:space="preserve">recorded temperatures of the two entries differ by more than 50 K; overall, where both temperatures are</w:t>
      </w:r>
      <w:r>
        <w:t xml:space="preserve"> </w:t>
      </w:r>
      <w:r>
        <w:t xml:space="preserve">recorded (35 patterns), they differ by more than 50 K for 15, and those 15 are retrieved less often (0.20</w:t>
      </w:r>
      <w:r>
        <w:t xml:space="preserve"> </w:t>
      </w:r>
      <w:r>
        <w:t xml:space="preserve">against 0.45). Thermal expansion of molecular crystals is generally anisotropic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, and so is their compression; the isotropic ln q lag cannot absorb either, but</w:t>
      </w:r>
      <w:r>
        <w:t xml:space="preserve"> </w:t>
      </w:r>
      <w:r>
        <w:t xml:space="preserve">variable-cell comparison is designed to.</w:t>
      </w:r>
      <w:r>
        <w:t xml:space="preserve"> </w:t>
      </w:r>
      <w:r>
        <w:t xml:space="preserve">The pressure-series patterns are not the routine case of a new measurement checked against a database.</w:t>
      </w:r>
      <w:r>
        <w:t xml:space="preserve"> </w:t>
      </w:r>
      <w:r>
        <w:t xml:space="preserve">Without them (37 patterns, 25 compounds; a split defined after an internal review), the classical scores</w:t>
      </w:r>
      <w:r>
        <w:t xml:space="preserve"> </w:t>
      </w:r>
      <w:r>
        <w:t xml:space="preserve">reach a compound-weighted top-1 of 0.35–0.60 and the model 0.00 (ESI†).</w:t>
      </w:r>
    </w:p>
    <w:p>
      <w:pPr>
        <w:pStyle w:val="BodyText"/>
      </w:pPr>
      <w:r>
        <w:rPr>
          <w:b/>
          <w:bCs/>
        </w:rPr>
        <w:t xml:space="preserve">Variable-cell re-rank.</w:t>
      </w:r>
      <w:r>
        <w:t xml:space="preserve"> </w:t>
      </w:r>
      <w:r>
        <w:t xml:space="preserve">Re-ranking the ln q top 50 with VC-GPWDF (Section 3.8) gives a compound-weighted</w:t>
      </w:r>
      <w:r>
        <w:t xml:space="preserve"> </w:t>
      </w:r>
      <w:r>
        <w:t xml:space="preserve">top-1 of 0.53 [0.37, 0.70], against 0.45 [0.28, 0.63] for the ln q scan on the same patterns; the paired</w:t>
      </w:r>
      <w:r>
        <w:t xml:space="preserve"> </w:t>
      </w:r>
      <w:r>
        <w:t xml:space="preserve">difference, +0.08 [−0.05, 0.21], does not resolve them, and at top-10 the two are level (0.62 against</w:t>
      </w:r>
      <w:r>
        <w:t xml:space="preserve"> </w:t>
      </w:r>
      <w:r>
        <w:t xml:space="preserve">0.61). Per pattern, the re-rank ranks the answer first for 27 of the 59 patterns and the ln q scan for 25. Of</w:t>
      </w:r>
      <w:r>
        <w:t xml:space="preserve"> </w:t>
      </w:r>
      <w:r>
        <w:t xml:space="preserve">the 36 patterns whose shortlist holds the answer, the re-rank moves it to first place for 4 (from ln q ranks</w:t>
      </w:r>
      <w:r>
        <w:t xml:space="preserve"> </w:t>
      </w:r>
      <w:r>
        <w:t xml:space="preserve">2, 3, 7 and 9) and moves ln q’s correct first choice down for 2 (to ranks 2 and 22). Where the cells differ</w:t>
      </w:r>
      <w:r>
        <w:t xml:space="preserve"> </w:t>
      </w:r>
      <w:r>
        <w:t xml:space="preserve">by more than 1 %, it ranks the answer first for 4 of the 25 patterns, against 2 for the ln q scan; where</w:t>
      </w:r>
      <w:r>
        <w:t xml:space="preserve"> </w:t>
      </w:r>
      <w:r>
        <w:t xml:space="preserve">they agree, for 22 of 33, against 22. Its reach is limited in two ways. First, the shortlist: for 23 of the</w:t>
      </w:r>
      <w:r>
        <w:t xml:space="preserve"> </w:t>
      </w:r>
      <w:r>
        <w:t xml:space="preserve">59 patterns the answer is not among the 50 entries re-ranked, and compared directly, only 2 of those 23</w:t>
      </w:r>
      <w:r>
        <w:t xml:space="preserve"> </w:t>
      </w:r>
      <w:r>
        <w:t xml:space="preserve">answers would rank first. Second, the peak fits. On the pressure-series patterns, measured at short</w:t>
      </w:r>
      <w:r>
        <w:t xml:space="preserve"> </w:t>
      </w:r>
      <w:r>
        <w:t xml:space="preserve">wavelengths at high pressure, the fit finds 11–49 peaks (median 37), against 66–296 (median 154) on the</w:t>
      </w:r>
      <w:r>
        <w:t xml:space="preserve"> </w:t>
      </w:r>
      <w:r>
        <w:t xml:space="preserve">others. Compared with its own powder-study entry, the structure refined against the same data, the pipeline</w:t>
      </w:r>
      <w:r>
        <w:t xml:space="preserve"> </w:t>
      </w:r>
      <w:r>
        <w:t xml:space="preserve">ranks that entry above every wrong entry of the shortlist for 29 of 36 ambient-pressure patterns but for</w:t>
      </w:r>
      <w:r>
        <w:t xml:space="preserve"> </w:t>
      </w:r>
      <w:r>
        <w:t xml:space="preserve">only 1 of the 22 pressure-series patterns (median rank 26), so on those patterns the re-rank carries little</w:t>
      </w:r>
      <w:r>
        <w:t xml:space="preserve"> </w:t>
      </w:r>
      <w:r>
        <w:t xml:space="preserve">information.</w:t>
      </w:r>
      <w:r>
        <w:t xml:space="preserve"> </w:t>
      </w:r>
      <w:r>
        <w:t xml:space="preserve">Without the pressure-series patterns, the re-rank reaches 0.64 [0.46, 0.80] against 0.54 [0.34, 0.72] for</w:t>
      </w:r>
      <w:r>
        <w:t xml:space="preserve"> </w:t>
      </w:r>
      <w:r>
        <w:t xml:space="preserve">the ln q scan (paired +0.10 [−0.04, 0.26]).</w:t>
      </w:r>
      <w:r>
        <w:t xml:space="preserve"> </w:t>
      </w:r>
      <w:r>
        <w:t xml:space="preserve">Neither variant of Section 3.8 changes a first place. The answer-blind zero offset (median 0.07° on the 34</w:t>
      </w:r>
      <w:r>
        <w:t xml:space="preserve"> </w:t>
      </w:r>
      <w:r>
        <w:t xml:space="preserve">laboratory Cu patterns) gives a paired difference of 0.00 [0.00, 0.00] with the re-rank above, and 4 of the</w:t>
      </w:r>
      <w:r>
        <w:t xml:space="preserve"> </w:t>
      </w:r>
      <w:r>
        <w:t xml:space="preserve">36 answers in a shortlist move down. The 10 patterns whose measured range begins with zero-intensity points</w:t>
      </w:r>
      <w:r>
        <w:t xml:space="preserve"> </w:t>
      </w:r>
      <w:r>
        <w:t xml:space="preserve">are all pressure-series patterns; without those points, their fits find 40–60 peaks instead of 11–29, and the</w:t>
      </w:r>
      <w:r>
        <w:t xml:space="preserve"> </w:t>
      </w:r>
      <w:r>
        <w:t xml:space="preserve">own entry ranks first for 7 of them instead of 1, and the injected answer for 5 of 9 instead of 1. Top-1</w:t>
      </w:r>
      <w:r>
        <w:t xml:space="preserve"> </w:t>
      </w:r>
      <w:r>
        <w:t xml:space="preserve">still does not change (paired 0.00 [0.00, 0.00]), because only one of the ten shortlists holds the answer,</w:t>
      </w:r>
      <w:r>
        <w:t xml:space="preserve"> </w:t>
      </w:r>
      <w:r>
        <w:t xml:space="preserve">which rises from rank 22 to 2. The other 12 pressure-series patterns begin without such points; their fits</w:t>
      </w:r>
      <w:r>
        <w:t xml:space="preserve"> </w:t>
      </w:r>
      <w:r>
        <w:t xml:space="preserve">find 37–49 peaks and rank the own entry first for none.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  <w:r>
        <w:t xml:space="preserve"> </w:t>
      </w:r>
      <w:r>
        <w:t xml:space="preserve">The variable-cell re-rank exists for the single-crystal set only; a pattern whose answer is not in its</w:t>
      </w:r>
      <w:r>
        <w:t xml:space="preserve"> </w:t>
      </w:r>
      <w:r>
        <w:t xml:space="preserve">shortlist counts as a miss, and its median rank falls inside the shortlist. The model’s 0.00 [0.00, 0.00]</w:t>
      </w:r>
      <w:r>
        <w:t xml:space="preserve"> </w:t>
      </w:r>
      <w:r>
        <w:t xml:space="preserve">on the single-crystal set is a degenerate bootstrap interval: none of the 30 compounds is retrieved, and an</w:t>
      </w:r>
      <w:r>
        <w:t xml:space="preserve"> </w:t>
      </w:r>
      <w:r>
        <w:t xml:space="preserve">exact one-sided 95 % bound is 0.10.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 of the ln q top 50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4"/>
    <w:bookmarkStart w:id="38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20317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s/fig3_real_benchmar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 The top row is</w:t>
      </w:r>
      <w:r>
        <w:t xml:space="preserve"> </w:t>
      </w:r>
      <w:r>
        <w:t xml:space="preserve">the variable-cell re-rank of the ln q top 50, which exists for the single-crystal set only.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0.93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8"/>
    <w:bookmarkStart w:id="42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12.6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4_case_zzzuw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2);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+0.10, with upper CI bounds up to 0.20,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42"/>
    <w:bookmarkStart w:id="49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Five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a per-pattern</w:t>
      </w:r>
      <w:r>
        <w:t xml:space="preserve"> </w:t>
      </w:r>
      <w:r>
        <w:t xml:space="preserve">top-1 of 0.21 and top-10 of 0.56, with a median rank of 5. On the measured patterns of the same targets it</w:t>
      </w:r>
      <w:r>
        <w:t xml:space="preserve"> </w:t>
      </w:r>
      <w:r>
        <w:t xml:space="preserve">reaches 0.01 and 0.03. (A classical score would rank a clean rendering of a library entry first by</w:t>
      </w:r>
      <w:r>
        <w:t xml:space="preserve"> </w:t>
      </w:r>
      <w:r>
        <w:t xml:space="preserve">construction, so this test only diagnoses the model.) The model can discriminate among 309,080 entries; what</w:t>
      </w:r>
      <w:r>
        <w:t xml:space="preserve"> </w:t>
      </w:r>
      <w:r>
        <w:t xml:space="preserve">it cannot do is 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rPr>
          <w:b/>
          <w:bCs/>
        </w:rPr>
        <w:t xml:space="preserve">No single modelled effect explains the gap.</w:t>
      </w:r>
      <w:r>
        <w:t xml:space="preserve"> </w:t>
      </w:r>
      <w:r>
        <w:t xml:space="preserve">Rendering each pattern’s own entry with the effects of its</w:t>
      </w:r>
      <w:r>
        <w:t xml:space="preserve"> </w:t>
      </w:r>
      <w:r>
        <w:t xml:space="preserve">measurement (Section 3.4) shows where the model loses ground (Fig. 6). Clean, it reaches a compound-weighted</w:t>
      </w:r>
      <w:r>
        <w:t xml:space="preserve"> </w:t>
      </w:r>
      <w:r>
        <w:t xml:space="preserve">top-1 of 0.27 with a median rank of 5. The largest single cost is the Debye–Waller factor (0.07, median rank</w:t>
      </w:r>
      <w:r>
        <w:t xml:space="preserve"> </w:t>
      </w:r>
      <w:r>
        <w:t xml:space="preserve">46), which fixed-grid Pearson does not notice (1.00). Kα2, which we add to every laboratory Cu pattern because</w:t>
      </w:r>
      <w:r>
        <w:t xml:space="preserve"> </w:t>
      </w:r>
      <w:r>
        <w:t xml:space="preserve">monochromatisation is not recorded, costs 0.18 (median rank 33), and the background with its subtraction</w:t>
      </w:r>
      <w:r>
        <w:t xml:space="preserve"> </w:t>
      </w:r>
      <w:r>
        <w:t xml:space="preserve">0.24 (median rank 130); coverage, peak width, noise and the zero offset cost little. With all six effects</w:t>
      </w:r>
      <w:r>
        <w:t xml:space="preserve"> </w:t>
      </w:r>
      <w:r>
        <w:t xml:space="preserve">the model reaches 0.15 (median rank 176), and with the Debye–Waller factor added 0.05 (median rank 744),</w:t>
      </w:r>
      <w:r>
        <w:t xml:space="preserve"> </w:t>
      </w:r>
      <w:r>
        <w:t xml:space="preserve">against 0.02 and about 6,000 on the measured patterns. With every modelled effect, including intensity</w:t>
      </w:r>
      <w:r>
        <w:t xml:space="preserve"> </w:t>
      </w:r>
      <w:r>
        <w:t xml:space="preserve">jitter, fixed-grid Pearson reaches 0.83, its value on the measured patterns (0.83), and the model 0.04</w:t>
      </w:r>
      <w:r>
        <w:t xml:space="preserve"> </w:t>
      </w:r>
      <w:r>
        <w:t xml:space="preserve">against 0.02; the difference shows in the model’s median rank, about 750 on those simulations against about</w:t>
      </w:r>
      <w:r>
        <w:t xml:space="preserve"> </w:t>
      </w:r>
      <w:r>
        <w:t xml:space="preserve">6,000 on the measured patterns. The jitter σ was not estimated from the data, and the Debye–Waller and jitter</w:t>
      </w:r>
      <w:r>
        <w:t xml:space="preserve"> </w:t>
      </w:r>
      <w:r>
        <w:t xml:space="preserve">rungs were added after the first ladder.</w:t>
      </w:r>
    </w:p>
    <w:p>
      <w:pPr>
        <w:pStyle w:val="BodyText"/>
      </w:pPr>
      <w:r>
        <w:rPr>
          <w:b/>
          <w:bCs/>
        </w:rPr>
        <w:t xml:space="preserve">A retrain with these effects handles them in simulation only.</w:t>
      </w:r>
      <w:r>
        <w:t xml:space="preserve"> </w:t>
      </w:r>
      <w:r>
        <w:t xml:space="preserve">We retrained the model with Kα2, a</w:t>
      </w:r>
      <w:r>
        <w:t xml:space="preserve"> </w:t>
      </w:r>
      <w:r>
        <w:t xml:space="preserve">Debye–Waller factor, intensity jitter, range cuts and the background subtraction in its training simulation</w:t>
      </w:r>
      <w:r>
        <w:t xml:space="preserve"> </w:t>
      </w:r>
      <w:r>
        <w:t xml:space="preserve">(Section 3.4). On its own entries it now tolerates the Debye–Waller factor (0.34 alone, median rank 4; 0.23</w:t>
      </w:r>
      <w:r>
        <w:t xml:space="preserve"> </w:t>
      </w:r>
      <w:r>
        <w:t xml:space="preserve">together with all six effects, median rank 34 against 744 before); Kα2 alone stays costly (0.11, against 0.18 before,</w:t>
      </w:r>
      <w:r>
        <w:t xml:space="preserve"> </w:t>
      </w:r>
      <w:r>
        <w:t xml:space="preserve">with overlapping intervals). On the measured patterns the retrained model reaches a compound-weighted top-1 of</w:t>
      </w:r>
      <w:r>
        <w:t xml:space="preserve"> </w:t>
      </w:r>
      <w:r>
        <w:t xml:space="preserve">0.02 [0.00, 0.06], against 0.02 [0.00, 0.04] before, and 0.00 for single-crystal references; its median rank</w:t>
      </w:r>
      <w:r>
        <w:t xml:space="preserve"> </w:t>
      </w:r>
      <w:r>
        <w:t xml:space="preserve">falls from about 6,000 to about 3,000. Before training we predicted a measured per-pattern top-1 of</w:t>
      </w:r>
      <w:r>
        <w:t xml:space="preserve"> </w:t>
      </w:r>
      <w:r>
        <w:t xml:space="preserve">0.05–0.20 and a median rank of 50–1,000, and that a top-1 below 0.03 would mean the remaining gap is not the</w:t>
      </w:r>
      <w:r>
        <w:t xml:space="preserve"> </w:t>
      </w:r>
      <w:r>
        <w:t xml:space="preserve">modelled effects. Both predictions failed: the per-pattern top-1 is 0.02 and the median rank about 3,000.</w:t>
      </w:r>
      <w:r>
        <w:t xml:space="preserve"> </w:t>
      </w:r>
      <w:r>
        <w:t xml:space="preserve">The predicted recovery on the simulated patterns held in part (0.20 with every modelled effect, against 0.27</w:t>
      </w:r>
      <w:r>
        <w:t xml:space="preserve"> </w:t>
      </w:r>
      <w:r>
        <w:t xml:space="preserve">clean). The measured patterns therefore differ from our simulations in a way that barely affects fixed-grid</w:t>
      </w:r>
      <w:r>
        <w:t xml:space="preserve"> </w:t>
      </w:r>
      <w:r>
        <w:t xml:space="preserve">Pearson correlation but moves this model’s embeddings far. We have not identified it. Candidates include</w:t>
      </w:r>
      <w:r>
        <w:t xml:space="preserve"> </w:t>
      </w:r>
      <w:r>
        <w:t xml:space="preserve">instrument aberrations that a constant offset does not absorb (axial divergence, specimen transparency),</w:t>
      </w:r>
      <w:r>
        <w:t xml:space="preserve"> </w:t>
      </w:r>
      <w:r>
        <w:t xml:space="preserve">anisotropic broadening and real preferred orientation. One retrain, with one seed and a checkpoint chosen</w:t>
      </w:r>
      <w:r>
        <w:t xml:space="preserve"> </w:t>
      </w:r>
      <w:r>
        <w:t xml:space="preserve">on clean validation patterns, does not show that no training on these effects would transfer.</w:t>
      </w:r>
    </w:p>
    <w:p>
      <w:pPr>
        <w:pStyle w:val="BodyText"/>
      </w:pPr>
      <w:r>
        <w:rPr>
          <w:b/>
          <w:bCs/>
        </w:rPr>
        <w:t xml:space="preserve">Pattern to pattern.</w:t>
      </w:r>
      <w:r>
        <w:t xml:space="preserve"> </w:t>
      </w:r>
      <w:r>
        <w:t xml:space="preserve">Matching the measured patterns to the simulated library patterns in the model’s</w:t>
      </w:r>
      <w:r>
        <w:t xml:space="preserve"> </w:t>
      </w:r>
      <w:r>
        <w:t xml:space="preserve">pattern space, without the structure encoder, reaches a compound-weighted top-1 of 0.13 (median rank about</w:t>
      </w:r>
      <w:r>
        <w:t xml:space="preserve"> </w:t>
      </w:r>
      <w:r>
        <w:t xml:space="preserve">1,600), and 0.21 (about 270) with the retrained encoder. The retrained encoder matches its own entries</w:t>
      </w:r>
      <w:r>
        <w:t xml:space="preserve"> </w:t>
      </w:r>
      <w:r>
        <w:t xml:space="preserve">rendered with every modelled effect to their clean versions at 0.92. Fixed-grid Pearson, which like the</w:t>
      </w:r>
      <w:r>
        <w:t xml:space="preserve"> </w:t>
      </w:r>
      <w:r>
        <w:t xml:space="preserve">encoder compares the two patterns point by point without an alignment search, does the measured task at</w:t>
      </w:r>
      <w:r>
        <w:t xml:space="preserve"> </w:t>
      </w:r>
      <w:r>
        <w:t xml:space="preserve">0.83. The pattern encoder itself, not only the step to the structure encoder, places measured patterns away</w:t>
      </w:r>
      <w:r>
        <w:t xml:space="preserve"> </w:t>
      </w:r>
      <w:r>
        <w:t xml:space="preserve">from simulations of the same structures.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5_rank_distribu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 The variable-cell re-rank is not shown, since it ranks</w:t>
      </w:r>
      <w:r>
        <w:t xml:space="preserve"> </w:t>
      </w:r>
      <w:r>
        <w:t xml:space="preserve">only the ln q top 50.</w:t>
      </w:r>
    </w:p>
    <w:p>
      <w:pPr>
        <w:pStyle w:val="BodyText"/>
      </w:pPr>
      <w:r>
        <w:drawing>
          <wp:inline>
            <wp:extent cx="5334000" cy="21051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s/fig6_effect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</w:t>
      </w:r>
      <w:r>
        <w:t xml:space="preserve"> </w:t>
      </w:r>
      <w:r>
        <w:t xml:space="preserve">Effect ladder. Each pattern’s own library entry is rendered cleanly, with one effect of its</w:t>
      </w:r>
      <w:r>
        <w:t xml:space="preserve"> </w:t>
      </w:r>
      <w:r>
        <w:t xml:space="preserve">measurement at a time, with all six, and with an overall Debye–Waller factor (B), log-normal intensity</w:t>
      </w:r>
      <w:r>
        <w:t xml:space="preserve"> </w:t>
      </w:r>
      <w:r>
        <w:t xml:space="preserve">jitter per reflection (σ = 0.3 or 0.5) or both added; the last point is the measured patterns themselves</w:t>
      </w:r>
      <w:r>
        <w:t xml:space="preserve"> </w:t>
      </w:r>
      <w:r>
        <w:t xml:space="preserve">(Section 3.4). Answer set: any same-form entry (188 patterns, 123 compounds). (a) Compound-weighted top-1 for</w:t>
      </w:r>
      <w:r>
        <w:t xml:space="preserve"> </w:t>
      </w:r>
      <w:r>
        <w:t xml:space="preserve">fixed-grid Pearson, the original model and the model retrained with these effects; (b) median rank of the</w:t>
      </w:r>
      <w:r>
        <w:t xml:space="preserve"> </w:t>
      </w:r>
      <w:r>
        <w:t xml:space="preserve">first correct entry for the two models.</w:t>
      </w:r>
    </w:p>
    <w:bookmarkEnd w:id="49"/>
    <w:bookmarkStart w:id="50" w:name="a-library-closer-to-the-measurements-1"/>
    <w:p>
      <w:pPr>
        <w:pStyle w:val="Heading3"/>
      </w:pPr>
      <w:r>
        <w:t xml:space="preserve">4.6 A library closer to the measurements</w:t>
      </w:r>
    </w:p>
    <w:p>
      <w:pPr>
        <w:pStyle w:val="FirstParagraph"/>
      </w:pPr>
      <w:r>
        <w:t xml:space="preserve">With the package of Section 3.7, the classical scores change by −0.04 to +0.04 in compound-weighted top-1,</w:t>
      </w:r>
      <w:r>
        <w:t xml:space="preserve"> </w:t>
      </w:r>
      <w:r>
        <w:t xml:space="preserve">paired against the main benchmark (Table 2). Only one change is resolved: cosine + zero scan rises by</w:t>
      </w:r>
      <w:r>
        <w:t xml:space="preserve"> </w:t>
      </w:r>
      <w:r>
        <w:t xml:space="preserve">0.04 [0.01, 0.08] when any same-form entry counts. The one-off ablations, each change removed alone and</w:t>
      </w:r>
      <w:r>
        <w:t xml:space="preserve"> </w:t>
      </w:r>
      <w:r>
        <w:t xml:space="preserve">paired against the full package, point to the Kα2 nuisance for that gain (−0.03 [−0.07, −0.01] without it)</w:t>
      </w:r>
      <w:r>
        <w:t xml:space="preserve"> </w:t>
      </w:r>
      <w:r>
        <w:t xml:space="preserve">and show that restricting the comparison to the measured range costs WCC (l = 2°) when any same-form entry</w:t>
      </w:r>
      <w:r>
        <w:t xml:space="preserve"> </w:t>
      </w:r>
      <w:r>
        <w:t xml:space="preserve">counts (+0.05 [0.02, 0.09] without it). Three of these 50 intervals exclude zero, about as many as chance</w:t>
      </w:r>
      <w:r>
        <w:t xml:space="preserve"> </w:t>
      </w:r>
      <w:r>
        <w:t xml:space="preserve">would give, so we do not attribute effects to single changes. We had expected every single-crystal score to</w:t>
      </w:r>
      <w:r>
        <w:t xml:space="preserve"> </w:t>
      </w:r>
      <w:r>
        <w:t xml:space="preserve">rise; they move by −0.04 to +0.04, with every interval including zero. Two of the changes act on the queries</w:t>
      </w:r>
      <w:r>
        <w:t xml:space="preserve"> </w:t>
      </w:r>
      <w:r>
        <w:t xml:space="preserve">rather than the library (the Lorentz–polarisation conversion and the measured range), which is why the</w:t>
      </w:r>
      <w:r>
        <w:t xml:space="preserve"> </w:t>
      </w:r>
      <w:r>
        <w:t xml:space="preserve">learned model, whose library embeddings are unchanged, scores 0.00 with the package on both sets. The</w:t>
      </w:r>
      <w:r>
        <w:t xml:space="preserve"> </w:t>
      </w:r>
      <w:r>
        <w:t xml:space="preserve">classical results are robust to these choices of library simulation, which do not explain the single-crystal</w:t>
      </w:r>
      <w:r>
        <w:t xml:space="preserve"> </w:t>
      </w:r>
      <w:r>
        <w:t xml:space="preserve">failures. Averaging the measured patterns over each grid step instead of interpolating changes the classical</w:t>
      </w:r>
      <w:r>
        <w:t xml:space="preserve"> </w:t>
      </w:r>
      <w:r>
        <w:t xml:space="preserve">scores by 0.00 to +0.03 (at most one first place per score and answer set) and the model by less than 0.01.</w:t>
      </w:r>
    </w:p>
    <w:bookmarkEnd w:id="50"/>
    <w:bookmarkStart w:id="51" w:name="the-open-replica"/>
    <w:p>
      <w:pPr>
        <w:pStyle w:val="Heading3"/>
      </w:pPr>
      <w:r>
        <w:t xml:space="preserve">4.7 The open replica</w:t>
      </w:r>
    </w:p>
    <w:p>
      <w:pPr>
        <w:pStyle w:val="FirstParagraph"/>
      </w:pPr>
      <w:r>
        <w:t xml:space="preserve">Against the 108,902 COD entries, the 190 patterns reproduce the main result when any same-form entry counts</w:t>
      </w:r>
      <w:r>
        <w:t xml:space="preserve"> </w:t>
      </w:r>
      <w:r>
        <w:t xml:space="preserve">(Table 2): the classical scores reach a compound-weighted top-1 of 0.77–0.90 (125 compounds; ln q</w:t>
      </w:r>
      <w:r>
        <w:t xml:space="preserve"> </w:t>
      </w:r>
      <w:r>
        <w:t xml:space="preserve">0.90 [0.85, 0.95]) and the model 0.02 [0.00, 0.04]. The single-crystal set has 35 patterns but only 9</w:t>
      </w:r>
      <w:r>
        <w:t xml:space="preserve"> </w:t>
      </w:r>
      <w:r>
        <w:t xml:space="preserve">compounds; there the classical scores reach 0.26–0.58 and the model 0.00. This set cannot test the CSD</w:t>
      </w:r>
      <w:r>
        <w:t xml:space="preserve"> </w:t>
      </w:r>
      <w:r>
        <w:t xml:space="preserve">single-crystal result: 20 of its 35 patterns are ZZZUWK, scored against a 1950 room-temperature structure</w:t>
      </w:r>
      <w:r>
        <w:t xml:space="preserve"> </w:t>
      </w:r>
      <w:r>
        <w:t xml:space="preserve">that the CSD benchmark sets aside as not comparable, 8 are the naphthalene compression series, and the other</w:t>
      </w:r>
      <w:r>
        <w:t xml:space="preserve"> </w:t>
      </w:r>
      <w:r>
        <w:t xml:space="preserve">compounds have one pattern each; its 5 % cell window also leaves out, by construction, the large cell</w:t>
      </w:r>
      <w:r>
        <w:t xml:space="preserve"> </w:t>
      </w:r>
      <w:r>
        <w:t xml:space="preserve">differences that dominate the CSD failures (Section 4.2). The COD library is about a third of the size of</w:t>
      </w:r>
      <w:r>
        <w:t xml:space="preserve"> </w:t>
      </w:r>
      <w:r>
        <w:t xml:space="preserve">the CSD library, and smaller libraries favour every score (Fig. 3b). The classical numbers in this section</w:t>
      </w:r>
      <w:r>
        <w:t xml:space="preserve"> </w:t>
      </w:r>
      <w:r>
        <w:t xml:space="preserve">can be regenerated from open data alone; the model’s need the CSD-trained checkpoint, which is not</w:t>
      </w:r>
      <w:r>
        <w:t xml:space="preserve"> </w:t>
      </w:r>
      <w:r>
        <w:t xml:space="preserve">distributed, and can only be checked against the released ranks.</w:t>
      </w:r>
    </w:p>
    <w:p>
      <w:pPr>
        <w:pStyle w:val="BodyText"/>
      </w:pPr>
      <w:r>
        <w:t xml:space="preserve">An external set points the same way. The raw profiles that Kaduk and co-workers deposited with 18 structure</w:t>
      </w:r>
      <w:r>
        <w:t xml:space="preserve"> </w:t>
      </w:r>
      <w:r>
        <w:t xml:space="preserve">reports in Powder Diffraction (19 patterns, 16 of them synchrotron) were scored after the analysis above was</w:t>
      </w:r>
      <w:r>
        <w:t xml:space="preserve"> </w:t>
      </w:r>
      <w:r>
        <w:t xml:space="preserve">complete, with the design fixed in advance (ESI Section S14†). When any same-form entry counts, the classical</w:t>
      </w:r>
      <w:r>
        <w:t xml:space="preserve"> </w:t>
      </w:r>
      <w:r>
        <w:t xml:space="preserve">scores reach a compound-weighted top-1 of 0.94–1.00 and the model 0.11 [0.00, 0.28]; this is generous, because</w:t>
      </w:r>
      <w:r>
        <w:t xml:space="preserve"> </w:t>
      </w:r>
      <w:r>
        <w:t xml:space="preserve">each pattern’s own Rietveld entry is in the library. With those entries ignored, only 3 compounds keep an</w:t>
      </w:r>
      <w:r>
        <w:t xml:space="preserve"> </w:t>
      </w:r>
      <w:r>
        <w:t xml:space="preserve">independent single-crystal reference, and the classical scores place it first for 0.33–0.67 of them and the</w:t>
      </w:r>
      <w:r>
        <w:t xml:space="preserve"> </w:t>
      </w:r>
      <w:r>
        <w:t xml:space="preserve">model for none.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Compound-weighted top-1 on the main benchmark (CSD library, Table 1), with the library of</w:t>
      </w:r>
      <w:r>
        <w:t xml:space="preserve"> </w:t>
      </w:r>
      <w:r>
        <w:t xml:space="preserve">Section 3.7 (CSD, realistic) and on the open replica (COD library, Section 2.6). The single-crystal set has</w:t>
      </w:r>
      <w:r>
        <w:t xml:space="preserve"> </w:t>
      </w:r>
      <w:r>
        <w:t xml:space="preserve">30 compounds in the CSD and 9 in the COD; the any-same-form set has 123 and 125. Intervals are in the ESI.†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Any same-form: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51"/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patterns. When the reference is an</w:t>
      </w:r>
      <w:r>
        <w:t xml:space="preserve"> </w:t>
      </w:r>
      <w:r>
        <w:t xml:space="preserve">independent single-crystal structure, the shift- and strain-tolerant scores and the variable-cell re-rank</w:t>
      </w:r>
      <w:r>
        <w:t xml:space="preserve"> </w:t>
      </w:r>
      <w:r>
        <w:t xml:space="preserve">reach a compound-weighted top-1 of 0.40–0.53 (0.47–0.64 without the pressure series); when the pattern’s</w:t>
      </w:r>
      <w:r>
        <w:t xml:space="preserve"> </w:t>
      </w:r>
      <w:r>
        <w:t xml:space="preserve">own powder-study entry is in the library, they reach up to 0.87, and even fixed-grid Pearson correlation</w:t>
      </w:r>
      <w:r>
        <w:t xml:space="preserve"> </w:t>
      </w:r>
      <w:r>
        <w:t xml:space="preserve">reaches 0.83. We suggest that learned PXRD retrieval be reported (i) on measured patterns, (ii) against a</w:t>
      </w:r>
      <w:r>
        <w:t xml:space="preserve"> </w:t>
      </w:r>
      <w:r>
        <w:t xml:space="preserve">library of realistic size, (iii) against shift- and strain-tolerant correlation scores with background</w:t>
      </w:r>
      <w:r>
        <w:t xml:space="preserve"> </w:t>
      </w:r>
      <w:r>
        <w:t xml:space="preserve">subtraction, (iv) with compound-weighted metrics and a compound-level bootstrap whenever compounds repeat,</w:t>
      </w:r>
      <w:r>
        <w:t xml:space="preserve"> </w:t>
      </w:r>
      <w:r>
        <w:t xml:space="preserve">and (v) separately for queries whose reference is an independent determination, with their measurement</w:t>
      </w:r>
      <w:r>
        <w:t xml:space="preserve"> </w:t>
      </w:r>
      <w:r>
        <w:t xml:space="preserve">conditions recorded. The benchmark released with this paper supports all five, and its open replica lets</w:t>
      </w:r>
      <w:r>
        <w:t xml:space="preserve"> </w:t>
      </w:r>
      <w:r>
        <w:t xml:space="preserve">the any-same-form results be checked without a CSD licence.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0.4 s per query for fixed-grid Pearson, about 20 s for a zero scan and about 6 min for the ln q</w:t>
      </w:r>
      <w:r>
        <w:t xml:space="preserve"> </w:t>
      </w:r>
      <w:r>
        <w:t xml:space="preserve">scan. On one GPU, all five classical scores of 8,188 patterns against the full library took 761 s, and the</w:t>
      </w:r>
      <w:r>
        <w:t xml:space="preserve"> </w:t>
      </w:r>
      <w:r>
        <w:t xml:space="preserve">corrected ln q scan alone 405 s. The variable-cell re-rank is much slower: a median of 2.2 CPU-minutes per</w:t>
      </w:r>
      <w:r>
        <w:t xml:space="preserve"> </w:t>
      </w:r>
      <w:r>
        <w:t xml:space="preserve">comparison and about 400 CPU-hours for the 2,950 comparisons of 59 shortlists. Speed only matters once</w:t>
      </w:r>
      <w:r>
        <w:t xml:space="preserve"> </w:t>
      </w:r>
      <w:r>
        <w:t xml:space="preserve">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when the reference was</w:t>
      </w:r>
      <w:r>
        <w:t xml:space="preserve"> </w:t>
      </w:r>
      <w:r>
        <w:t xml:space="preserve">determined at another pressure or temperature and the cells differ anisotropically by more than about 1 %.</w:t>
      </w:r>
      <w:r>
        <w:t xml:space="preserve"> </w:t>
      </w:r>
      <w:r>
        <w:t xml:space="preserve">The published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gives no resolved gain here, is bounded</w:t>
      </w:r>
      <w:r>
        <w:t xml:space="preserve"> </w:t>
      </w:r>
      <w:r>
        <w:t xml:space="preserve">by the shortlist it re-ranks, and in its automated form fits peaks poorly on the high-pressure patterns that</w:t>
      </w:r>
      <w:r>
        <w:t xml:space="preserve"> </w:t>
      </w:r>
      <w:r>
        <w:t xml:space="preserve">make up most of the mismatched cells; better fits for 10 of them change no first place, because 9 of their</w:t>
      </w:r>
      <w:r>
        <w:t xml:space="preserve"> </w:t>
      </w:r>
      <w:r>
        <w:t xml:space="preserve">10 answers are not in the shortlist. This case stays open for classical methods too, and it is where a learned method</w:t>
      </w:r>
      <w:r>
        <w:t xml:space="preserve"> </w:t>
      </w:r>
      <w:r>
        <w:t xml:space="preserve">could show its value. For the learned model, the failure is the transfer from simulated to measured patterns,</w:t>
      </w:r>
      <w:r>
        <w:t xml:space="preserve"> </w:t>
      </w:r>
      <w:r>
        <w:t xml:space="preserve">not the size of the library, and it survives a retrain with the five modelled effects of Section 3.4.</w:t>
      </w:r>
      <w:r>
        <w:t xml:space="preserve"> </w:t>
      </w:r>
      <w:r>
        <w:t xml:space="preserve">Full-profile generative models have shown the same sensitivity to 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A learned method aimed at that transfer, for example one adapted with measured patterns</w:t>
      </w:r>
      <w:r>
        <w:t xml:space="preserve"> </w:t>
      </w:r>
      <w:r>
        <w:t xml:space="preserve">rather than with more simulated effects, is the more promising use of learning than a stand-alone</w:t>
      </w:r>
      <w:r>
        <w:t xml:space="preserve"> </w:t>
      </w:r>
      <w:r>
        <w:t xml:space="preserve">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 and retrained once with a more realistic</w:t>
      </w:r>
      <w:r>
        <w:t xml:space="preserve"> </w:t>
      </w:r>
      <w:r>
        <w:t xml:space="preserve">simulation, each with one seed and a checkpoint chosen on clean validation patterns; another architecture,</w:t>
      </w:r>
      <w:r>
        <w:t xml:space="preserve"> </w:t>
      </w:r>
      <w:r>
        <w:t xml:space="preserve">loss or training strategy could do better, and our conclusions about learning are about this model. The</w:t>
      </w:r>
      <w:r>
        <w:t xml:space="preserve"> </w:t>
      </w:r>
      <w:r>
        <w:t xml:space="preserve">benchmark has 123 compounds, all organic, from one contributor to opXRD, and most patterns are the data</w:t>
      </w:r>
      <w:r>
        <w:t xml:space="preserve"> </w:t>
      </w:r>
      <w:r>
        <w:t xml:space="preserve">their own entry was refined against. The single-crystal set has 30 compounds, so its intervals are wide;</w:t>
      </w:r>
      <w:r>
        <w:t xml:space="preserve"> </w:t>
      </w:r>
      <w:r>
        <w:t xml:space="preserve">22 of its 59 patterns come from variable-pressure studies, and the open replica’s single-crystal set has only</w:t>
      </w:r>
      <w:r>
        <w:t xml:space="preserve"> </w:t>
      </w:r>
      <w:r>
        <w:t xml:space="preserve">9 compounds. The main library is simulated with one peak profile and without Debye–Waller factors or Kα2; a</w:t>
      </w:r>
      <w:r>
        <w:t xml:space="preserve"> </w:t>
      </w:r>
      <w:r>
        <w:t xml:space="preserve">package of such changes moved little (Section 4.6) but does not exhaust them, uses one Debye–Waller factor</w:t>
      </w:r>
      <w:r>
        <w:t xml:space="preserve"> </w:t>
      </w:r>
      <w:r>
        <w:t xml:space="preserve">for every temperature, and disordered entries are simulated only approximately. The measured patterns have a</w:t>
      </w:r>
      <w:r>
        <w:t xml:space="preserve"> </w:t>
      </w:r>
      <w:r>
        <w:t xml:space="preserve">simple background removal and are interpolated onto the Cu grid, which can miss the tops of narrow</w:t>
      </w:r>
      <w:r>
        <w:t xml:space="preserve"> </w:t>
      </w:r>
      <w:r>
        <w:t xml:space="preserve">synchrotron peaks, although averaging over each grid step instead changes little (Section 4.6). The zero scans use fixed offset grids (0.02°, and 0.04° for the ln q scan). The effect</w:t>
      </w:r>
      <w:r>
        <w:t xml:space="preserve"> </w:t>
      </w:r>
      <w:r>
        <w:t xml:space="preserve">ladder adds Kα2 to every laboratory Cu pattern and does not estimate the intensity jitter. The variable-cell</w:t>
      </w:r>
      <w:r>
        <w:t xml:space="preserve"> </w:t>
      </w:r>
      <w:r>
        <w:t xml:space="preserve">re-rank covers a shortlist of 50 with a 4-hour limit per comparison, uses no zero-offset correction (an</w:t>
      </w:r>
      <w:r>
        <w:t xml:space="preserve"> </w:t>
      </w:r>
      <w:r>
        <w:t xml:space="preserve">answer-blind one changes no first place), reaches</w:t>
      </w:r>
      <w:r>
        <w:t xml:space="preserve"> </w:t>
      </w:r>
      <w:r>
        <w:t xml:space="preserve">only cell differences within ±10 % and ±5°, and fits peaks poorly on the high-pressure synchrotron patterns.</w:t>
      </w:r>
      <w:r>
        <w:t xml:space="preserve"> </w:t>
      </w:r>
      <w:r>
        <w:t xml:space="preserve">The correct answers rely on packing similarity, which can count entries as one form across a phase</w:t>
      </w:r>
      <w:r>
        <w:t xml:space="preserve"> </w:t>
      </w:r>
      <w:r>
        <w:t xml:space="preserve">transition that preserves the packing, set aside entries that cannot be</w:t>
      </w:r>
      <w:r>
        <w:t xml:space="preserve"> </w:t>
      </w:r>
      <w:r>
        <w:t xml:space="preserve">compared, and contain one known error (Section 2.2). Retrieval identifies known forms only; crystal</w:t>
      </w:r>
      <w:r>
        <w:t xml:space="preserve"> </w:t>
      </w:r>
      <w:r>
        <w:t xml:space="preserve">structure prediction combined with pattern matching can identify forms that no database contains</w:t>
      </w:r>
      <w:hyperlink w:anchor="ref-glick2025csp">
        <w:r>
          <w:rPr>
            <w:rStyle w:val="Hyperlink"/>
            <w:vertAlign w:val="superscript"/>
          </w:rPr>
          <w:t xml:space="preserve">42</w:t>
        </w:r>
      </w:hyperlink>
      <w:r>
        <w:t xml:space="preserve">.</w:t>
      </w:r>
    </w:p>
    <w:bookmarkEnd w:id="53"/>
    <w:bookmarkStart w:id="54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and 0.53 for a</w:t>
      </w:r>
      <w:r>
        <w:t xml:space="preserve"> </w:t>
      </w:r>
      <w:r>
        <w:t xml:space="preserve">variable-cell re-rank, which is not resolved from the ln q scan it re-ranks. The model retrieves clean</w:t>
      </w:r>
      <w:r>
        <w:t xml:space="preserve"> </w:t>
      </w:r>
      <w:r>
        <w:t xml:space="preserve">simulated patterns of the same targets, and a retrain with five modelled measurement effects handles those</w:t>
      </w:r>
      <w:r>
        <w:t xml:space="preserve"> </w:t>
      </w:r>
      <w:r>
        <w:t xml:space="preserve">effects in simulation but not on the measured patterns, so its failure lies in differences between</w:t>
      </w:r>
      <w:r>
        <w:t xml:space="preserve"> </w:t>
      </w:r>
      <w:r>
        <w:t xml:space="preserve">measured and simulated patterns that our simulation does not reproduce. A more realistic library leaves the</w:t>
      </w:r>
      <w:r>
        <w:t xml:space="preserve"> </w:t>
      </w:r>
      <w:r>
        <w:t xml:space="preserve">classical results unchanged, and an open replica built from the COD reproduces the any-same-form result.</w:t>
      </w:r>
      <w:r>
        <w:t xml:space="preserve"> </w:t>
      </w:r>
      <w:r>
        <w:t xml:space="preserve">The hard open case is a measured pattern whose only reference was determined at another temperature or</w:t>
      </w:r>
      <w:r>
        <w:t xml:space="preserve"> </w:t>
      </w:r>
      <w:r>
        <w:t xml:space="preserve">pressure, so that the cells differ anisotropically by more than about 1 %; in this benchmark most such</w:t>
      </w:r>
      <w:r>
        <w:t xml:space="preserve"> </w:t>
      </w:r>
      <w:r>
        <w:t xml:space="preserve">patterns come from compression series. We release the benchmark so that learned methods can be compared</w:t>
      </w:r>
      <w:r>
        <w:t xml:space="preserve"> </w:t>
      </w:r>
      <w:r>
        <w:t xml:space="preserve">with these numbers on measured data.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[GitHub URL] and archived at Zenodo</w:t>
      </w:r>
      <w:r>
        <w:t xml:space="preserve"> </w:t>
      </w:r>
      <w:r>
        <w:t xml:space="preserve">([DOI]).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correction, including the learned model’s and the variable-cell re-rank’s; the</w:t>
      </w:r>
      <w:r>
        <w:t xml:space="preserve"> </w:t>
      </w:r>
      <w:r>
        <w:t xml:space="preserve">critic2 inputs derived from the opXRD patterns (cut patterns, background and peak fits, command files) and</w:t>
      </w:r>
      <w:r>
        <w:t xml:space="preserve"> </w:t>
      </w:r>
      <w:r>
        <w:t xml:space="preserve">the measurement conditions of the single-crystal patterns;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open replica of Section 2.6 is included in full: the COD identifiers, the simulated COD library, its</w:t>
      </w:r>
      <w:r>
        <w:t xml:space="preserve"> </w:t>
      </w:r>
      <w:r>
        <w:t xml:space="preserve">answer sets and the ranks of every score, from which the classical results of Section 4.7 and the COD</w:t>
      </w:r>
      <w:r>
        <w:t xml:space="preserve"> </w:t>
      </w:r>
      <w:r>
        <w:t xml:space="preserve">columns of Table 2 can be reproduced without a CSD licence. The CSD library was built from the May 2026</w:t>
      </w:r>
      <w:r>
        <w:t xml:space="preserve"> </w:t>
      </w:r>
      <w:r>
        <w:t xml:space="preserve">release (1,451,367 entries; CSD Python API 3.7.1) and the measurement conditions were read from a later</w:t>
      </w:r>
      <w:r>
        <w:t xml:space="preserve"> </w:t>
      </w:r>
      <w:r>
        <w:t xml:space="preserve">update (1,469,017 entries; API 3.8.0); the COD was downloaded on 12–13 October 2026; the opXRD patterns are</w:t>
      </w:r>
      <w:r>
        <w:t xml:space="preserve"> </w:t>
      </w:r>
      <w:r>
        <w:t xml:space="preserve">from the Zenodo record 10.5281/zenodo.15298026. 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</w:t>
      </w:r>
      <w:r>
        <w:t xml:space="preserve"> </w:t>
      </w:r>
      <w:r>
        <w:t xml:space="preserve">4.0, and the COD structures are CC0. CSD structures and the simulated patterns derived from them cannot be</w:t>
      </w:r>
      <w:r>
        <w:t xml:space="preserve"> </w:t>
      </w:r>
      <w:r>
        <w:t xml:space="preserve">redistributed; users with a CSD licence regenerate them from the refcode lists. The model checkpoints, the</w:t>
      </w:r>
      <w:r>
        <w:t xml:space="preserve"> </w:t>
      </w:r>
      <w:r>
        <w:t xml:space="preserve">original and the retrained one, were trained on CSD data and are not distributed.</w:t>
      </w:r>
    </w:p>
    <w:bookmarkEnd w:id="55"/>
    <w:bookmarkStart w:id="5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 C. conceived the study, wrote the code, ran the computations and analysis, and wrote the manuscript.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57"/>
    <w:bookmarkStart w:id="5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and the CCDC for the CSD and its Python API. GPU time was rented from commercial cloud providers. This</w:t>
      </w:r>
      <w:r>
        <w:t xml:space="preserve"> </w:t>
      </w:r>
      <w:r>
        <w:t xml:space="preserve">research received no specific grant from any funding agency in the public, commercial, or not-for-profit</w:t>
      </w:r>
      <w:r>
        <w:t xml:space="preserve"> </w:t>
      </w:r>
      <w:r>
        <w:t xml:space="preserve">sectors. [AI-use statement: FRANK, in his own words; RSC asks for it here.]</w:t>
      </w:r>
    </w:p>
    <w:bookmarkEnd w:id="58"/>
    <w:bookmarkStart w:id="132" w:name="notes-and-references"/>
    <w:p>
      <w:pPr>
        <w:pStyle w:val="Heading2"/>
      </w:pPr>
      <w:r>
        <w:t xml:space="preserve">Notes and references</w:t>
      </w:r>
    </w:p>
    <w:bookmarkStart w:id="131" w:name="refs"/>
    <w:bookmarkStart w:id="60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60"/>
    <w:bookmarkStart w:id="62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2"/>
    <w:bookmarkStart w:id="64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64"/>
    <w:bookmarkStart w:id="66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66"/>
    <w:bookmarkStart w:id="68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8"/>
    <w:bookmarkStart w:id="70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70"/>
    <w:bookmarkStart w:id="71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71"/>
    <w:bookmarkStart w:id="72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72"/>
    <w:bookmarkStart w:id="73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73"/>
    <w:bookmarkStart w:id="75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74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75"/>
    <w:bookmarkStart w:id="76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76"/>
    <w:bookmarkStart w:id="77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77"/>
    <w:bookmarkStart w:id="78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8"/>
    <w:bookmarkStart w:id="80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9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80"/>
    <w:bookmarkStart w:id="82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81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82"/>
    <w:bookmarkStart w:id="84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83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84"/>
    <w:bookmarkStart w:id="86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85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86"/>
    <w:bookmarkStart w:id="87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87"/>
    <w:bookmarkStart w:id="89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9"/>
    <w:bookmarkStart w:id="91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91"/>
    <w:bookmarkStart w:id="93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93"/>
    <w:bookmarkStart w:id="95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95"/>
    <w:bookmarkStart w:id="97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96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97"/>
    <w:bookmarkStart w:id="99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8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9"/>
    <w:bookmarkStart w:id="101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100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101"/>
    <w:bookmarkStart w:id="103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102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103"/>
    <w:bookmarkStart w:id="104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104"/>
    <w:bookmarkStart w:id="106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105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106"/>
    <w:bookmarkStart w:id="108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10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8"/>
    <w:bookmarkStart w:id="110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10"/>
    <w:bookmarkStart w:id="112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11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12"/>
    <w:bookmarkStart w:id="114" w:name="ref-grazulis2009cod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hyperlink r:id="rId113">
        <w:r>
          <w:rPr>
            <w:rStyle w:val="Hyperlink"/>
          </w:rPr>
          <w:t xml:space="preserve">S. Gražulis, D. Chateigner, R. T. Downs, A. F. T. Yokochi, M. Quirós, L. Lutterotti, E. Manakova, J. Butkus, P. Moeck and A. Le Bail,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42</w:t>
        </w:r>
        <w:r>
          <w:rPr>
            <w:rStyle w:val="Hyperlink"/>
          </w:rPr>
          <w:t xml:space="preserve">, 726–729</w:t>
        </w:r>
      </w:hyperlink>
      <w:r>
        <w:t xml:space="preserve">.</w:t>
      </w:r>
    </w:p>
    <w:bookmarkEnd w:id="114"/>
    <w:bookmarkStart w:id="116" w:name="ref-vaitkus2021cod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hyperlink r:id="rId115">
        <w:r>
          <w:rPr>
            <w:rStyle w:val="Hyperlink"/>
          </w:rPr>
          <w:t xml:space="preserve">A. Vaitkus, A. Merkys and S. Gražulis,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54</w:t>
        </w:r>
        <w:r>
          <w:rPr>
            <w:rStyle w:val="Hyperlink"/>
          </w:rPr>
          <w:t xml:space="preserve">, 661–672</w:t>
        </w:r>
      </w:hyperlink>
      <w:r>
        <w:t xml:space="preserve">.</w:t>
      </w:r>
    </w:p>
    <w:bookmarkEnd w:id="116"/>
    <w:bookmarkStart w:id="117" w:name="ref-paszke2019pytorch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17"/>
    <w:bookmarkStart w:id="118" w:name="ref-oord2018cpc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18"/>
    <w:bookmarkStart w:id="119" w:name="ref-radford2021clip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19"/>
    <w:bookmarkStart w:id="121" w:name="ref-dollase1986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20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21"/>
    <w:bookmarkStart w:id="123" w:name="ref-conneau2018muse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22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23"/>
    <w:bookmarkStart w:id="125" w:name="ref-schnitzer2012m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hyperlink r:id="rId124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25"/>
    <w:bookmarkStart w:id="127" w:name="ref-bond2021thermal"/>
    <w:p>
      <w:pPr>
        <w:pStyle w:val="Bibliography"/>
      </w:pPr>
      <w:r>
        <w:t xml:space="preserve">40</w:t>
      </w:r>
      <w:r>
        <w:t xml:space="preserve"> </w:t>
      </w:r>
      <w:r>
        <w:t xml:space="preserve">	</w:t>
      </w:r>
      <w:hyperlink r:id="rId126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27"/>
    <w:bookmarkStart w:id="129" w:name="ref-oterodelaroza2014critic2"/>
    <w:p>
      <w:pPr>
        <w:pStyle w:val="Bibliography"/>
      </w:pPr>
      <w:r>
        <w:t xml:space="preserve">41</w:t>
      </w:r>
      <w:r>
        <w:t xml:space="preserve"> </w:t>
      </w:r>
      <w:r>
        <w:t xml:space="preserve">	</w:t>
      </w:r>
      <w:hyperlink r:id="rId128">
        <w:r>
          <w:rPr>
            <w:rStyle w:val="Hyperlink"/>
          </w:rPr>
          <w:t xml:space="preserve">A. Otero-de-la-Roza, E. R. Johnson and V. Luaña,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Phys. Commun.</w:t>
        </w:r>
        <w:r>
          <w:rPr>
            <w:rStyle w:val="Hyperlink"/>
          </w:rPr>
          <w:t xml:space="preserve">, 2014,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185</w:t>
        </w:r>
        <w:r>
          <w:rPr>
            <w:rStyle w:val="Hyperlink"/>
          </w:rPr>
          <w:t xml:space="preserve">, 1007–1018</w:t>
        </w:r>
      </w:hyperlink>
      <w:r>
        <w:t xml:space="preserve">.</w:t>
      </w:r>
    </w:p>
    <w:bookmarkEnd w:id="129"/>
    <w:bookmarkStart w:id="130" w:name="ref-glick2025csp"/>
    <w:p>
      <w:pPr>
        <w:pStyle w:val="Bibliography"/>
      </w:pPr>
      <w:r>
        <w:t xml:space="preserve">42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2026-10-17T15:22:26Z</dcterms:created>
  <dcterms:modified xsi:type="dcterms:W3CDTF">2026-10-17T15:22:26Z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