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 w:rsidR="009303D9" w:rsidRDefault="009303D9" w:rsidP="006347CF">
      <w:pPr>
        <w:pStyle w:val="papertitle"/>
        <w:spacing w:before="5pt" w:beforeAutospacing="1" w:after="5pt" w:afterAutospacing="1"/>
      </w:pPr>
      <w:r/>
      <w:r>
        <w:t>Polymorph-Resolving Retrieval of Molecular Crystals from Powder X-Ray Diffraction</w:t>
      </w:r>
    </w:p>
    <w:p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1A3B3D">
          <w:footerReference w:type="first" r:id="rId8"/>
          <w:pgSz w:w="612pt" w:h="792pt" w:code="1"/>
          <w:pgMar w:top="54pt" w:right="44.65pt" w:bottom="72pt" w:left="44.65pt" w:header="36pt" w:footer="36pt" w:gutter="0pt"/>
          <w:cols w:space="36pt"/>
          <w:titlePg/>
          <w:docGrid w:linePitch="360"/>
        </w:sectPr>
      </w:pPr>
    </w:p>
    <w:p>
      <w:pPr>
        <w:pStyle w:val="Author"/>
        <w:sectPr w:rsidR="009303D9" w:rsidRPr="005B520E">
          <w:type w:val="continuous"/>
          <w:pgSz w:w="612pt" w:h="792pt" w:code="1"/>
          <w:pgMar w:top="54pt" w:right="44.65pt" w:bottom="72pt" w:left="44.65pt" w:header="36pt" w:footer="36pt" w:gutter="0pt"/>
          <w:cols w:space="36pt"/>
          <w:docGrid w:linePitch="360"/>
        </w:sectPr>
      </w:pPr>
      <w:r>
        <w:t>Frank Cai</w:t>
      </w:r>
      <w:r>
        <w:br/>
      </w:r>
      <w:r>
        <w:t>Purdue University</w:t>
      </w:r>
      <w:r>
        <w:br/>
      </w:r>
      <w:r>
        <w:t>West Lafayette, IN, USA</w:t>
      </w:r>
      <w:r>
        <w:br/>
      </w:r>
      <w:r>
        <w:t>frankyc11223@gmail.com</w:t>
      </w:r>
    </w:p>
    <w:p w:rsidR="004D72B5" w:rsidRDefault="009303D9" w:rsidP="00972203">
      <w:pPr>
        <w:pStyle w:val="Abstract"/>
        <w:rPr>
          <w:i/>
          <w:iCs/>
        </w:rPr>
      </w:pPr>
      <w:r/>
      <w:r>
        <w:rPr>
          <w:i/>
        </w:rPr>
        <w:t>Abstract</w:t>
      </w:r>
      <w:r>
        <w:t>—</w:t>
      </w:r>
      <w:r>
        <w:t xml:space="preserve">We show that a contrastive pattern-structure model retrieves the correct </w:t>
      </w:r>
      <w:r>
        <w:rPr>
          <w:i/>
        </w:rPr>
        <w:t>polymorph</w:t>
      </w:r>
      <w:r>
        <w:t xml:space="preserve"> of a molecular crystal from its powder X-ray diffraction (PXRD) pattern, a task on which composition- and symmetry-based methods are pinned at chance by construction, because polymorphs share a formula and often a space group. Training a CLIP-style dual encoder (a 1D residual network over the diffractogram against an atom-set Transformer over the crystal graph) on 247,089 molecular crystals from the Cambridge Structural Database with physics-grounded on-the-fly augmentation, the model attains within-family top-1 retrieval of </w:t>
      </w:r>
      <w:r>
        <w:rPr>
          <w:b/>
        </w:rPr>
        <w:t>0.561</w:t>
      </w:r>
      <w:r>
        <w:t xml:space="preserve"> against a composition-only chance of </w:t>
      </w:r>
      <w:r>
        <w:rPr>
          <w:b/>
        </w:rPr>
        <w:t>0.380</w:t>
      </w:r>
      <w:r>
        <w:t xml:space="preserve"> over 1,077 held-out polymorph families (2,835 same-molecule siblings). The result that matters for deployment is robustness: under the mid-angle regime where a sample-displacement shift and a thermal-strain shift reinforce rather than cancel, both classical full-profile correlation and peak-list matching fall to composition-only chance while the learned embedding is unmoved. Two ablations separate the mechanism: zeroing shift/strain augmentation costs nothing (peak-position invariance is architectural), whereas removing </w:t>
      </w:r>
      <w:r>
        <w:rPr>
          <w:i/>
        </w:rPr>
        <w:t>all</w:t>
      </w:r>
      <w:r>
        <w:t xml:space="preserve"> augmentation collapses the model to chance under realistic instrument profile (measurement-profile robustness is learned, not memorized fingerprint). The learned embedding is a genuine sign-independent invariance that classical search-match cannot guarantee.</w:t>
      </w:r>
    </w:p>
    <w:p w:rsidR="009303D9" w:rsidRPr="004D72B5" w:rsidRDefault="004D72B5" w:rsidP="00972203">
      <w:pPr>
        <w:pStyle w:val="Keywords"/>
      </w:pPr>
      <w:r/>
      <w:r>
        <w:t>Keywords—powder X-ray diffraction, crystal structure, contrastive learning, polymorphism, retrieval</w:t>
      </w:r>
    </w:p>
    <w:p>
      <w:pPr>
        <w:pStyle w:val="Heading1"/>
      </w:pPr>
      <w:r>
        <w:t>Introduction</w:t>
      </w:r>
    </w:p>
    <w:p>
      <w:pPr>
        <w:pStyle w:val="BodyText"/>
      </w:pPr>
      <w:r>
        <w:t xml:space="preserve">Powder X-ray diffraction is the workhorse for identifying which crystalline phase produced a sample. The classical solution is search-match: correlate the measured diffractogram against a library of reference patterns </w:t>
      </w:r>
      <w:r>
        <w:t>[1]</w:t>
      </w:r>
      <w:r>
        <w:t xml:space="preserve">. This works when the discriminating signal is coarse: a different composition or a different space group moves peaks far apart. It fails, however, on the case that matters most in pharmaceutical and materials manufacturing: </w:t>
      </w:r>
      <w:r>
        <w:rPr>
          <w:i/>
        </w:rPr>
        <w:t>polymorphs</w:t>
      </w:r>
      <w:r>
        <w:t xml:space="preserve">. Polymorphs are distinct crystal packings of the same molecule; they share a chemical formula and frequently a space group, so the only signal that distinguishes them is the packing itself, expressed as subtle shifts in peak position and intensity. Polymorph control is not academic: the marketed form of ritonavir was withdrawn when a more stable, less soluble polymorph appeared in production </w:t>
      </w:r>
      <w:r>
        <w:t>[2]</w:t>
      </w:r>
      <w:r>
        <w:t xml:space="preserve">, and polymorphism is pervasive across drug substances </w:t>
      </w:r>
      <w:r>
        <w:t>[3]</w:t>
      </w:r>
      <w:r>
        <w:t>.</w:t>
      </w:r>
    </w:p>
    <w:p>
      <w:pPr>
        <w:pStyle w:val="BodyText"/>
      </w:pPr>
      <w:r>
        <w:t xml:space="preserve">Recent contrastive models align PXRD patterns with crystal structures in a shared embedding for retrieval: XCCP on 155,003 inorganic Materials Project crystals </w:t>
      </w:r>
      <w:r>
        <w:t>[4]</w:t>
      </w:r>
      <w:r>
        <w:t xml:space="preserve"> and XtalNet's CPCP module on hypothetical MOFs </w:t>
      </w:r>
      <w:r>
        <w:t>[5]</w:t>
      </w:r>
      <w:r>
        <w:t>. Both lean, implicitly or explicitly, on composition and space-group cues: XCCP reports 93.4% space-group identification and uses a symmetry-oriented encoder branch. That cue is exactly what vanishes for molecular polymorphs. No prior work evaluates PXRD retrieval where composition is held fixed and only the packing varies.</w:t>
      </w:r>
    </w:p>
    <w:p>
      <w:pPr>
        <w:pStyle w:val="BodyText"/>
      </w:pPr>
      <w:r>
        <w:t>We make that the task. Our contributions are:</w:t>
      </w:r>
    </w:p>
    <w:p>
      <w:pPr>
        <w:pStyle w:val="bulletlist"/>
      </w:pPr>
      <w:r>
        <w:rPr>
          <w:b/>
        </w:rPr>
        <w:t>A polymorph-resolving retrieval benchmark</w:t>
      </w:r>
      <w:r>
        <w:t xml:space="preserve"> on molecular crystals from the Cambridge Structural Database (CSD) </w:t>
      </w:r>
      <w:r>
        <w:t>[6]</w:t>
      </w:r>
      <w:r>
        <w:t>: within-family retrieval among same-molecule siblings, where a composition/space-group retriever is at chance by construction (Sec. III).</w:t>
      </w:r>
    </w:p>
    <w:p>
      <w:pPr>
        <w:pStyle w:val="bulletlist"/>
      </w:pPr>
      <w:r>
        <w:rPr>
          <w:b/>
        </w:rPr>
        <w:t>A robustness result with a sign-cancellation control.</w:t>
      </w:r>
      <w:r>
        <w:t xml:space="preserve"> Under realistic instrument perturbations the learned embedding holds while classical correlation and peak-list matching degrade; in the mid-angle regime where two common shifts </w:t>
      </w:r>
      <w:r>
        <w:rPr>
          <w:i/>
        </w:rPr>
        <w:t>reinforce</w:t>
      </w:r>
      <w:r>
        <w:t>, both classical methods fall to chance while the model is unmoved (Sec. IV).</w:t>
      </w:r>
    </w:p>
    <w:p>
      <w:pPr>
        <w:pStyle w:val="bulletlist"/>
      </w:pPr>
      <w:r>
        <w:rPr>
          <w:b/>
        </w:rPr>
        <w:t>Two ablations that separate the source of robustness</w:t>
      </w:r>
      <w:r>
        <w:t>: peak-position invariance is architectural (emergent), whereas measurement-profile robustness is learned from physics-grounded augmentation and is not simulated-fingerprint leakage (Sec. V).</w:t>
      </w:r>
    </w:p>
    <w:p>
      <w:pPr>
        <w:pStyle w:val="Heading1"/>
      </w:pPr>
      <w:r>
        <w:t>Method</w:t>
      </w:r>
    </w:p>
    <w:p>
      <w:pPr>
        <w:pStyle w:val="Heading2"/>
      </w:pPr>
      <w:r>
        <w:t>Dual encoder and objective</w:t>
      </w:r>
    </w:p>
    <w:p>
      <w:pPr>
        <w:pStyle w:val="BodyText"/>
      </w:pPr>
      <w:r>
        <w:t xml:space="preserve">We use a CLIP-style contrastive model </w:t>
      </w:r>
      <w:r>
        <w:t>[7]</w:t>
      </w:r>
      <w:r>
        <w:t>. A diffraction encoder maps a 1D diffractogram (5–50° 2θ, 0.02° step, 2251 points, Cu-Kα₁) to a unit vector; a structure encoder maps the crystal to a unit vector in the same space. The diffraction side is a 1D residual CNN: a diffractogram is a translation-sensitive signal whose local peak shape carries the physics, so a wide-kernel convolution with global average pooling is the right inductive bias. The structure side is a permutation-invariant Transformer over atoms (element embedding plus a periodic sin/cos encoding of fractional coordinates) with an explicit lattice token prepended, since peak positions are a function of the unit cell. Both project to a 256-dimensional L2-normalized embedding.</w:t>
      </w:r>
    </w:p>
    <w:p>
      <w:pPr>
        <w:pStyle w:val="BodyText"/>
      </w:pPr>
      <w:r>
        <w:t xml:space="preserve">Training minimizes the symmetric InfoNCE loss </w:t>
      </w:r>
      <w:r>
        <w:t>[7], [8]</w:t>
      </w:r>
      <w:r>
        <w:t xml:space="preserve"> over each batch: the positive for pattern i is structure i, and the other B−1 structures are negatives, so the batch size is the negative count. The temperature is learnable and clamped away from collapse.</w:t>
      </w:r>
    </w:p>
    <w:p>
      <w:pPr>
        <w:pStyle w:val="Heading2"/>
      </w:pPr>
      <w:r>
        <w:t>Physics-grounded augmentation</w:t>
      </w:r>
    </w:p>
    <w:p>
      <w:pPr>
        <w:pStyle w:val="BodyText"/>
      </w:pPr>
      <w:r>
        <w:t xml:space="preserve">Every pattern is simulated on the fly from its structure with pymatgen sticks convolved through a randomized measurement model, so the encoder never sees the same realization twice. The model draws: a 2θ zero offset (sample displacement); an isotropic lattice strain (thermal/compositional); Caglioti angular broadening </w:t>
      </w:r>
      <w:r>
        <w:t>[9]</w:t>
      </w:r>
      <w:r>
        <w:t xml:space="preserve"> and a Scherrer crystallite-size term; March–Dollase preferred orientation </w:t>
      </w:r>
      <w:r>
        <w:t>[10]</w:t>
      </w:r>
      <w:r>
        <w:t xml:space="preserve">; a Chebyshev-plus-hump background; and Poisson counting noise. This augmentation is the defense against the central risk that the conditioning pattern is simulated </w:t>
      </w:r>
      <w:r>
        <w:rPr>
          <w:i/>
        </w:rPr>
        <w:t>from</w:t>
      </w:r>
      <w:r>
        <w:t xml:space="preserve"> the target; Sec. V quantifies exactly how much of the model's robustness it buys.</w:t>
      </w:r>
    </w:p>
    <w:p>
      <w:pPr>
        <w:pStyle w:val="Heading2"/>
      </w:pPr>
      <w:r>
        <w:t>Polymorph-aware training</w:t>
      </w:r>
    </w:p>
    <w:p>
      <w:pPr>
        <w:pStyle w:val="BodyText"/>
      </w:pPr>
      <w:r>
        <w:t xml:space="preserve">Two changes adapt the standard recipe to the polymorph task without touching the architecture. First, a hard-negative sampler co-locates sibling polymorphs of the same molecule in each batch, so the contrastive loss is forced to resolve fine packing→pattern differences rather than coarse composition. Second, whole polymorph families are assigned to a single split, on top of a Bemis–Murcko scaffold split </w:t>
      </w:r>
      <w:r>
        <w:t>[11]</w:t>
      </w:r>
      <w:r>
        <w:t>, so that no sibling of a test structure is ever seen in training. We verified that 0 of 10,795 polymorph families cross a split boundary.</w:t>
      </w:r>
    </w:p>
    <w:p>
      <w:pPr>
        <w:pStyle w:val="Heading2"/>
      </w:pPr>
      <w:r>
        <w:t>Data</w:t>
      </w:r>
    </w:p>
    <w:p>
      <w:pPr>
        <w:pStyle w:val="BodyText"/>
      </w:pPr>
      <w:r>
        <w:t xml:space="preserve">From the CSD </w:t>
      </w:r>
      <w:r>
        <w:t>[6]</w:t>
      </w:r>
      <w:r>
        <w:t xml:space="preserve"> we extract 315,060 molecular crystals (organic, no disorder, R≤7.5, Z′≤2). Collapsing redetermination duplicates but keeping true polymorphs apart yields 10,795 polymorph families (28,251 distinct polymorph structures). Splits are 247,089 / 30,887 / 30,886. The held-out test set contains 1,077 polymorph families with ≥2 resolvable siblings, giving 2,835 retrieval targets. We train for 60 epochs at batch size 512 (best in-batch validation top-1 0.914, no embedding collapse).</w:t>
      </w:r>
    </w:p>
    <w:p>
      <w:pPr>
        <w:pStyle w:val="Heading1"/>
      </w:pPr>
      <w:r>
        <w:t>The task and headline result</w:t>
      </w:r>
    </w:p>
    <w:p>
      <w:pPr>
        <w:pStyle w:val="BodyText"/>
      </w:pPr>
      <w:r>
        <w:rPr>
          <w:i/>
        </w:rPr>
        <w:t>Within-family retrieval</w:t>
      </w:r>
      <w:r>
        <w:t xml:space="preserve">: the query is one polymorph's (augmented) pattern and the library is its sibling polymorphs only; the model must pick the packing that produced the pattern. This is precisely the query a composition- or space-group-based retriever cannot answer: every sibling has the same formula and often the same space group, so such a retriever scores at the family-size chance rate of </w:t>
      </w:r>
      <w:r>
        <w:rPr>
          <w:b/>
        </w:rPr>
        <w:t>0.380</w:t>
      </w:r>
      <w:r>
        <w:t>.</w:t>
      </w:r>
    </w:p>
    <w:p>
      <w:pPr>
        <w:pStyle w:val="BodyText"/>
      </w:pPr>
      <w:r>
        <w:t xml:space="preserve">On clean patterns the model reaches within-family top-1 </w:t>
      </w:r>
      <w:r>
        <w:rPr>
          <w:b/>
        </w:rPr>
        <w:t>0.561</w:t>
      </w:r>
      <w:r>
        <w:t xml:space="preserve"> (top-2 0.843, top-5 0.949, MRR 0.738), a 1.48× lift over composition-only chance. At </w:t>
      </w:r>
      <w:r>
        <w:rPr>
          <w:i/>
        </w:rPr>
        <w:t>zero</w:t>
      </w:r>
      <w:r>
        <w:t xml:space="preserve"> degradation, trivial baselines win (a clean query is a byte-identical self-match for full-profile correlation, top-1 →1.0); that is the context, not the result. The result is what happens when the query carries the realistic perturbations a reference library lacks.</w:t>
      </w:r>
    </w:p>
    <w:p>
      <w:pPr>
        <w:pStyle w:val="Heading1"/>
      </w:pPr>
      <w:r>
        <w:t>Robustness</w:t>
      </w:r>
    </w:p>
    <w:p>
      <w:pPr>
        <w:jc w:val="center"/>
      </w:pPr>
      <w:r>
        <w:drawing>
          <wp:anchor distT="91440" distB="91440" distL="0" distR="0" simplePos="0" relativeHeight="1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47104" cy="2213169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g_swee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7104" cy="2213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figurecaption"/>
      </w:pPr>
      <w:r>
        <w:t>One-dial degradation of the query pattern (library stays clean-simulated). The learned embedding (blue) is flat under peak-position degradations, (a) 2θ zero offset and (b) lattice strain, where full-profile correlation (red) collapses; it concedes (c) severe Scherrer broadening, the one position-preserving axis, to correlation. Grey dashed line is composition-only chance.</w:t>
      </w:r>
    </w:p>
    <w:p>
      <w:pPr>
        <w:jc w:val="center"/>
      </w:pPr>
      <w:r>
        <w:drawing>
          <wp:anchor distT="91440" distB="91440" distL="0" distR="0" simplePos="0" relativeHeight="1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47104" cy="224607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g_combin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7104" cy="2246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figurecaption"/>
      </w:pPr>
      <w:r>
        <w:t xml:space="preserve">(a) All measurement effects applied at once with per-crystal random shift signs: the model (blue) stays near 0.55 mild→harsh while both classical methods fall. (b) The sign-cancellation control: holding the shift </w:t>
      </w:r>
      <w:r>
        <w:rPr>
          <w:i/>
        </w:rPr>
        <w:t>magnitudes</w:t>
      </w:r>
      <w:r>
        <w:t xml:space="preserve"> fixed (0.10° displacement, 0.6% strain) and flipping only the relative sign, correlation and peak-list drop from ≈0.80 to composition-only chance while the model holds.</w:t>
      </w:r>
    </w:p>
    <w:p>
      <w:pPr>
        <w:pStyle w:val="BodyText"/>
      </w:pPr>
      <w:r>
        <w:rPr>
          <w:b/>
        </w:rPr>
        <w:t>Peak-position degradations are where the model earns its keep.</w:t>
      </w:r>
      <w:r>
        <w:t xml:space="preserve"> Figure 1 degrades one physical dial at a time, perturbing only the query. Under a 2θ zero offset (sample displacement), the model is flat (0.561→0.523) while full-profile correlation collapses (1.0→0.298) and overtakes both classical methods beyond 0.15°. Under lattice strain the model is again flat (0.561→0.546) versus correlation (1.0→0.323). These two axes (sample displacement, thermal expansion, and zero/wavelength error) are the real-world killers of search-match. The model's honest limitation is the one position-</w:t>
      </w:r>
      <w:r>
        <w:rPr>
          <w:i/>
        </w:rPr>
        <w:t>preserving</w:t>
      </w:r>
      <w:r>
        <w:t xml:space="preserve"> axis: at a 10 nm crystallite size, Scherrer broadening smears peaks and correlation (0.884) beats the model (0.472).</w:t>
      </w:r>
    </w:p>
    <w:p>
      <w:pPr>
        <w:pStyle w:val="BodyText"/>
      </w:pPr>
      <w:r>
        <w:rPr>
          <w:b/>
        </w:rPr>
        <w:t>A sign-cancellation control isolates the underlying invariance.</w:t>
      </w:r>
      <w:r>
        <w:t xml:space="preserve"> Stacking every dial at fixed same-sign values would be misleading: a positive displacement pushes peaks up in 2θ while cell expansion pushes them down, so at fixed magnitudes the two partially cancel and </w:t>
      </w:r>
      <w:r>
        <w:rPr>
          <w:i/>
        </w:rPr>
        <w:t>artificially rescue</w:t>
      </w:r>
      <w:r>
        <w:t xml:space="preserve"> the correlation baseline. Figure 2(a) instead draws per-crystal random shift signs on top of a fixed broadening/texture/noise/background base; the model holds 0.554→0.521 mild→harsh while correlation falls 0.782→0.599 and peak-list 0.797→0.601. Figure 2(b) is the control: fixing the shift magnitudes and flipping only the relative sign, correlation drops from </w:t>
      </w:r>
      <w:r>
        <w:rPr>
          <w:b/>
        </w:rPr>
        <w:t>0.807</w:t>
      </w:r>
      <w:r>
        <w:t xml:space="preserve"> (cancel) to </w:t>
      </w:r>
      <w:r>
        <w:rPr>
          <w:b/>
        </w:rPr>
        <w:t>0.334</w:t>
      </w:r>
      <w:r>
        <w:t xml:space="preserve"> (add) and peak-list from 0.784 to 0.340, both at composition-only chance, while the model holds (0.555→0.534). For the ~50% of real samples where the two shifts reinforce, classical search-match is no better than knowing the formula; it cannot know in advance which half a sample falls in. The learned embedding's invariance is sign-independent; the baselines' apparent robustness is a coincidental cancellation.</w:t>
      </w:r>
    </w:p>
    <w:p>
      <w:pPr>
        <w:pStyle w:val="Heading1"/>
      </w:pPr>
      <w:r>
        <w:t>Ablations: emergent vs. learned robustness</w:t>
      </w:r>
    </w:p>
    <w:p>
      <w:pPr>
        <w:pStyle w:val="tablehead"/>
      </w:pPr>
      <w:r>
        <w:t>Ablating training-time augmentation (within-family top-1; composition-only chance = 0.380). Two twins, identical architecture, data, and 60-epoch schedule; only the augmentation changes.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1944"/>
        <w:gridCol w:w="1944"/>
        <w:gridCol w:w="1944"/>
      </w:tblGrid>
      <w:tr>
        <w:tc>
          <w:tcPr>
            <w:tcW w:type="dxa" w:w="261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261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full aug (main)</w:t>
            </w:r>
          </w:p>
        </w:tc>
        <w:tc>
          <w:tcPr>
            <w:tcW w:type="dxa" w:w="261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no shift/strain aug</w:t>
            </w:r>
          </w:p>
        </w:tc>
        <w:tc>
          <w:tcPr>
            <w:tcW w:type="dxa" w:w="261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no aug (clean)</w:t>
            </w:r>
          </w:p>
        </w:tc>
      </w:tr>
      <w:tr>
        <w:tc>
          <w:tcPr>
            <w:tcW w:type="dxa" w:w="2613"/>
            <w:tcBorders>
              <w:top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clean within-family</w:t>
            </w:r>
          </w:p>
        </w:tc>
        <w:tc>
          <w:tcPr>
            <w:tcW w:type="dxa" w:w="2613"/>
            <w:tcBorders>
              <w:top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0.561</w:t>
            </w:r>
          </w:p>
        </w:tc>
        <w:tc>
          <w:tcPr>
            <w:tcW w:type="dxa" w:w="2613"/>
            <w:tcBorders>
              <w:top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0.553</w:t>
            </w:r>
          </w:p>
        </w:tc>
        <w:tc>
          <w:tcPr>
            <w:tcW w:type="dxa" w:w="2613"/>
            <w:tcBorders>
              <w:top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0.557</w:t>
            </w:r>
          </w:p>
        </w:tc>
      </w:tr>
      <w:tr>
        <w:tc>
          <w:tcPr>
            <w:tcW w:type="dxa" w:w="2613"/>
            <w:tcBorders>
              <w:top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pure shift @ 0.1°</w:t>
            </w:r>
          </w:p>
        </w:tc>
        <w:tc>
          <w:tcPr>
            <w:tcW w:type="dxa" w:w="2613"/>
            <w:tcBorders>
              <w:top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0.552</w:t>
            </w:r>
          </w:p>
        </w:tc>
        <w:tc>
          <w:tcPr>
            <w:tcW w:type="dxa" w:w="2613"/>
            <w:tcBorders>
              <w:top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0.549</w:t>
            </w:r>
          </w:p>
        </w:tc>
        <w:tc>
          <w:tcPr>
            <w:tcW w:type="dxa" w:w="2613"/>
            <w:tcBorders>
              <w:top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0.552</w:t>
            </w:r>
          </w:p>
        </w:tc>
      </w:tr>
      <w:tr>
        <w:tc>
          <w:tcPr>
            <w:tcW w:type="dxa" w:w="2613"/>
            <w:tcBorders>
              <w:top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field (mild)</w:t>
            </w:r>
          </w:p>
        </w:tc>
        <w:tc>
          <w:tcPr>
            <w:tcW w:type="dxa" w:w="2613"/>
            <w:tcBorders>
              <w:top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0.554</w:t>
            </w:r>
          </w:p>
        </w:tc>
        <w:tc>
          <w:tcPr>
            <w:tcW w:type="dxa" w:w="2613"/>
            <w:tcBorders>
              <w:top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0.560</w:t>
            </w:r>
          </w:p>
        </w:tc>
        <w:tc>
          <w:tcPr>
            <w:tcW w:type="dxa" w:w="2613"/>
            <w:tcBorders>
              <w:top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0.380</w:t>
            </w:r>
          </w:p>
        </w:tc>
      </w:tr>
      <w:tr>
        <w:tc>
          <w:tcPr>
            <w:tcW w:type="dxa" w:w="2613"/>
            <w:tcBorders>
              <w:top w:val="nil"/>
              <w:bottom w:val="nil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field (harsh)</w:t>
            </w:r>
          </w:p>
        </w:tc>
        <w:tc>
          <w:tcPr>
            <w:tcW w:type="dxa" w:w="2613"/>
            <w:tcBorders>
              <w:top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0.521</w:t>
            </w:r>
          </w:p>
        </w:tc>
        <w:tc>
          <w:tcPr>
            <w:tcW w:type="dxa" w:w="2613"/>
            <w:tcBorders>
              <w:top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0.528</w:t>
            </w:r>
          </w:p>
        </w:tc>
        <w:tc>
          <w:tcPr>
            <w:tcW w:type="dxa" w:w="2613"/>
            <w:tcBorders>
              <w:top w:val="nil"/>
              <w:bottom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0.379</w:t>
            </w:r>
          </w:p>
        </w:tc>
      </w:tr>
      <w:tr>
        <w:tc>
          <w:tcPr>
            <w:tcW w:type="dxa" w:w="2613"/>
            <w:tcBorders>
              <w:top w:val="nil"/>
              <w:bottom w:val="single" w:sz="8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sign: add</w:t>
            </w:r>
          </w:p>
        </w:tc>
        <w:tc>
          <w:tcPr>
            <w:tcW w:type="dxa" w:w="2613"/>
            <w:tcBorders>
              <w:top w:val="nil"/>
              <w:bottom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0.534</w:t>
            </w:r>
          </w:p>
        </w:tc>
        <w:tc>
          <w:tcPr>
            <w:tcW w:type="dxa" w:w="2613"/>
            <w:tcBorders>
              <w:top w:val="nil"/>
              <w:bottom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0.530</w:t>
            </w:r>
          </w:p>
        </w:tc>
        <w:tc>
          <w:tcPr>
            <w:tcW w:type="dxa" w:w="2613"/>
            <w:tcBorders>
              <w:top w:val="nil"/>
              <w:bottom w:val="single" w:sz="8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0.379</w:t>
            </w:r>
          </w:p>
        </w:tc>
      </w:tr>
    </w:tbl>
    <w:p>
      <w:pPr>
        <w:spacing w:after="120"/>
      </w:pPr>
    </w:p>
    <w:p>
      <w:pPr>
        <w:pStyle w:val="BodyText"/>
      </w:pPr>
      <w:r>
        <w:t xml:space="preserve">Two ablations settle where the robustness comes from (Table I). </w:t>
      </w:r>
      <w:r>
        <w:rPr>
          <w:i/>
        </w:rPr>
        <w:t>First</w:t>
      </w:r>
      <w:r>
        <w:t>, zeroing the shift and strain augmentation ranges while keeping the rest (</w:t>
      </w:r>
      <w:r>
        <w:rPr>
          <w:b/>
        </w:rPr>
        <w:t>no shift/strain aug</w:t>
      </w:r>
      <w:r>
        <w:t xml:space="preserve">) changes nothing: the twin tracks the main model within 1% on every axis, including pure shift and the sign-add regime. Peak position invariance is therefore </w:t>
      </w:r>
      <w:r>
        <w:rPr>
          <w:b/>
        </w:rPr>
        <w:t>emergent</w:t>
      </w:r>
      <w:r>
        <w:t xml:space="preserve">: a 1D CNN with global pooling is intrinsically tolerant to peak translation, and small strain is locally translation-like, not something the shift augmentation taught. </w:t>
      </w:r>
      <w:r>
        <w:rPr>
          <w:i/>
        </w:rPr>
        <w:t>Second</w:t>
      </w:r>
      <w:r>
        <w:t xml:space="preserve">, removing </w:t>
      </w:r>
      <w:r>
        <w:rPr>
          <w:i/>
        </w:rPr>
        <w:t>all</w:t>
      </w:r>
      <w:r>
        <w:t xml:space="preserve"> augmentation and training on perfectly clean patterns (</w:t>
      </w:r>
      <w:r>
        <w:rPr>
          <w:b/>
        </w:rPr>
        <w:t>no aug</w:t>
      </w:r>
      <w:r>
        <w:t xml:space="preserve">) is the decisive control. That twin still retrieves cleanly (0.557) and is still flat under a pure shift (0.552 at 0.1°), but it </w:t>
      </w:r>
      <w:r>
        <w:rPr>
          <w:b/>
        </w:rPr>
        <w:t>collapses to chance the moment any realistic instrument profile is present</w:t>
      </w:r>
      <w:r>
        <w:t>: full-field retrieval is 0.380/0.381/0.379 (mild/moderate/harsh), and the crystallite-size sweep alone walks it down 0.557→0.410→0.395→0.390 (100/50/20 nm).</w:t>
      </w:r>
    </w:p>
    <w:p>
      <w:pPr>
        <w:pStyle w:val="BodyText"/>
      </w:pPr>
      <w:r>
        <w:t xml:space="preserve">This is the direct answer to the natural objection: “isn't within-family retrieval just simulated-fingerprint leakage, since the query is simulated from the target?” If it were, the clean-trained twin would retrieve fine under realistic conditions. It does not: a clean-trained encoder cannot retrieve at all once broadening, texture, noise, and background appear. The physics-grounded augmentation is generalizing from simulation to realistic conditions, not memorizing; measurement-profile robustness is </w:t>
      </w:r>
      <w:r>
        <w:rPr>
          <w:b/>
        </w:rPr>
        <w:t>learned</w:t>
      </w:r>
      <w:r>
        <w:t>, while peak-position invariance is architectural.</w:t>
      </w:r>
    </w:p>
    <w:p>
      <w:pPr>
        <w:pStyle w:val="Heading1"/>
      </w:pPr>
      <w:r>
        <w:t>A sim-to-real spot check</w:t>
      </w:r>
    </w:p>
    <w:p>
      <w:pPr>
        <w:pStyle w:val="BodyText"/>
      </w:pPr>
      <w:r>
        <w:t xml:space="preserve">Every result above evaluates the model on the same physics-based simulator it was trained with. As an initial check of transfer beyond the simulator, we retrieved three </w:t>
      </w:r>
      <w:r>
        <w:rPr>
          <w:i/>
        </w:rPr>
        <w:t>real</w:t>
      </w:r>
      <w:r>
        <w:t xml:space="preserve"> experimental PXRD patterns against the full 30,887-structure test library, digitized point-by-point from the Rietveld powder-refinement data deposited as supporting information with the structures' original determination papers (Cu-Kα₁, matching our simulation exactly). For racemic ibuprofen (IBPRAC04) </w:t>
      </w:r>
      <w:r>
        <w:t>[12]</w:t>
      </w:r>
      <w:r>
        <w:t xml:space="preserve"> (whose structure is a corpus entry, but whose </w:t>
      </w:r>
      <w:r>
        <w:rPr>
          <w:i/>
        </w:rPr>
        <w:t>real measured pattern</w:t>
      </w:r>
      <w:r>
        <w:t xml:space="preserve"> the model has never seen in any form), the true structure ranks </w:t>
      </w:r>
      <w:r>
        <w:rPr>
          <w:b/>
        </w:rPr>
        <w:t>1,872 of 30,887</w:t>
      </w:r>
      <w:r>
        <w:t xml:space="preserve"> by cosine similarity (top 6.1%): well above the library midpoint on a single real query, though not top-1. For two real patterns of phenobarbital polymorphs Form I/II </w:t>
      </w:r>
      <w:r>
        <w:t>[13]</w:t>
      </w:r>
      <w:r>
        <w:t>, the specific determination is not itself a corpus structure (only sibling PHBARB polymorphs are), so no retrieval rank applies; nearest-neighbour inspection surfaced no chemically plausible match, which confirms that retrieval scoring requires the query's true structure to be a library candidate. This remains a small-N spot check, not a systematic real-data benchmark; scaling it to the tens of real molecular patterns available in the powder-diffraction literature is the natural next step.</w:t>
      </w:r>
    </w:p>
    <w:p>
      <w:pPr>
        <w:pStyle w:val="Heading1"/>
      </w:pPr>
      <w:r>
        <w:t>Limitations</w:t>
      </w:r>
    </w:p>
    <w:p>
      <w:pPr>
        <w:pStyle w:val="BodyText"/>
      </w:pPr>
      <w:r>
        <w:t xml:space="preserve">The sim-to-real check above is a single-digit-N spot check, not a systematic benchmark; the bulk of our evaluation remains on the physics-grounded simulator, for which our augmentation and the sign-cancellation control are designed as diagnostics. The model concedes severe Scherrer broadening to full-profile correlation, and within-family top-1 of 0.561, while well above the 0.380 chance floor, leaves clear headroom: an explicit low-angle/wide-angle encoder split </w:t>
      </w:r>
      <w:r>
        <w:t>[4]</w:t>
      </w:r>
      <w:r>
        <w:t xml:space="preserve"> and light Rietveld reranking are natural next steps. Our benchmark is molecular (CSD); the inorganic and MOF regimes are already served by composition/symmetry-aware retrieval </w:t>
      </w:r>
      <w:r>
        <w:t>[4], [5]</w:t>
      </w:r>
      <w:r>
        <w:t>.</w:t>
      </w:r>
    </w:p>
    <w:p>
      <w:pPr>
        <w:pStyle w:val="Heading1"/>
      </w:pPr>
      <w:r>
        <w:t>Conclusion</w:t>
      </w:r>
    </w:p>
    <w:p>
      <w:pPr>
        <w:pStyle w:val="BodyText"/>
      </w:pPr>
      <w:r>
        <w:t xml:space="preserve">Molecular polymorph discrimination is the regime where composition- and symmetry-based PXRD retrieval is structurally blind, and it is exactly where a pattern↔packing contrastive model earns its keep. On a family-safe CSD benchmark the learned embedding resolves same-molecule siblings above chance and, more importantly, holds its accuracy under the peak-position perturbations that send classical search-match to chance, a sign-independent invariance the classical methods cannot guarantee. Ablations show this robustness is part architectural and part learned from physics-grounded augmentation, and is not fingerprint leakage. The same contrastive retriever is the natural candidate ranker for PXRD-conditioned generative crystal structure prediction </w:t>
      </w:r>
      <w:r>
        <w:t>[5], [14]</w:t>
      </w:r>
      <w:r>
        <w:t xml:space="preserve"> on molecular crystals, which we leave to future work.</w:t>
      </w:r>
    </w:p>
    <w:p>
      <w:pPr>
        <w:pStyle w:val="Heading5"/>
      </w:pPr>
      <w:r>
        <w:t>References</w:t>
      </w:r>
    </w:p>
    <w:p>
      <w:pPr>
        <w:pStyle w:val="references"/>
      </w:pPr>
      <w:r>
        <w:t>S. Gates-Rector and T. Blanton, “The Powder Diffraction File: a quality materials characterization database,” Powder Diffraction, vol. 34, no. 4, pp. 352–360, 2019.</w:t>
      </w:r>
    </w:p>
    <w:p>
      <w:pPr>
        <w:pStyle w:val="references"/>
      </w:pPr>
      <w:r>
        <w:t>J. Bauer, S. Spanton, R. Henry et al., “Ritonavir: An Extraordinary Example of Conformational Polymorphism,” Pharmaceutical Research, vol. 18, no. 6, pp. 859–866, 2001.</w:t>
      </w:r>
    </w:p>
    <w:p>
      <w:pPr>
        <w:pStyle w:val="references"/>
      </w:pPr>
      <w:r>
        <w:t>A. J. Cruz-Cabeza, S. M. Reutzel-Edens, and J. Bernstein, “Facts and fictions about polymorphism,” Chemical Society Reviews, vol. 44, no. 23, pp. 8619–8635, 2015.</w:t>
      </w:r>
    </w:p>
    <w:p>
      <w:pPr>
        <w:pStyle w:val="references"/>
      </w:pPr>
      <w:r>
        <w:t>C. Xu, T. Su, J. Xiong, Y. Wu et al., “KAN-Enhanced Contrastive Learning Accelerating Crystal Structure Identification from XRD Patterns,” arXiv:2511.04055, 2025.</w:t>
      </w:r>
    </w:p>
    <w:p>
      <w:pPr>
        <w:pStyle w:val="references"/>
      </w:pPr>
      <w:r>
        <w:t>Q. Lai, F. Xu, L. Yao, Z. Gao, S. Liu, H. Wang et al., “End-to-End Crystal Structure Prediction from Powder X-Ray Diffraction,” Advanced Science, 2025, arXiv:2401.03862.</w:t>
      </w:r>
    </w:p>
    <w:p>
      <w:pPr>
        <w:pStyle w:val="references"/>
      </w:pPr>
      <w:r>
        <w:t>C. R. Groom, I. J. Bruno, M. P. Lightfoot, and S. C. Ward, “The Cambridge Structural Database,” Acta Crystallographica Section B, vol. 72, no. 2, pp. 171–179, 2016.</w:t>
      </w:r>
    </w:p>
    <w:p>
      <w:pPr>
        <w:pStyle w:val="references"/>
      </w:pPr>
      <w:r>
        <w:t>A. Radford, J. W. Kim, C. Hallacy, A. Ramesh et al., “Learning Transferable Visual Models From Natural Language Supervision,” in Proc. Int. Conf. Machine Learning (ICML), 2021.</w:t>
      </w:r>
    </w:p>
    <w:p>
      <w:pPr>
        <w:pStyle w:val="references"/>
      </w:pPr>
      <w:r>
        <w:t>A. van den Oord, Y. Li, and O. Vinyals, “Representation Learning with Contrastive Predictive Coding,” arXiv:1807.03748, 2018.</w:t>
      </w:r>
    </w:p>
    <w:p>
      <w:pPr>
        <w:pStyle w:val="references"/>
      </w:pPr>
      <w:r>
        <w:t>G. Caglioti, A. Paoletti, and F. P. Ricci, “Choice of collimators for a crystal spectrometer for neutron diffraction,” Nuclear Instruments, vol. 3, no. 4, pp. 223–228, 1958.</w:t>
      </w:r>
    </w:p>
    <w:p>
      <w:pPr>
        <w:pStyle w:val="references"/>
      </w:pPr>
      <w:r>
        <w:t>W. A. Dollase, “Correction of intensities for preferred orientation in powder diffractometry: application of the March model,” Journal of Applied Crystallography, vol. 19, no. 4, pp. 267–272, 1986.</w:t>
      </w:r>
    </w:p>
    <w:p>
      <w:pPr>
        <w:pStyle w:val="references"/>
      </w:pPr>
      <w:r>
        <w:t>G. W. Bemis and M. A. Murcko, “The Properties of Known Drugs. 1. Molecular Frameworks,” Journal of Medicinal Chemistry, vol. 39, no. 15, pp. 2887–2893, 1996.</w:t>
      </w:r>
    </w:p>
    <w:p>
      <w:pPr>
        <w:pStyle w:val="references"/>
      </w:pPr>
      <w:r>
        <w:t>P. Derollez, E. Dudognon, F. Affouard, F. Danède, N. T. Correia, and M. Descamps, “Ab initio structure determination of phase II of racemic ibuprofen by X-ray powder diffraction,” Acta Crystallographica Section B, vol. 66, no. 1, pp. 76–80, 2010.</w:t>
      </w:r>
    </w:p>
    <w:p>
      <w:pPr>
        <w:pStyle w:val="references"/>
      </w:pPr>
      <w:r>
        <w:t>C. Platteau, J. Lefebvre, S. Hemon, C. Baehtz, F. Danède, and D. Prevost, “Structure determination of forms I and II of phenobarbital from X-ray powder diffraction,” Acta Crystallographica Section B, vol. 61, no. 1, pp. 80–88, 2005.</w:t>
      </w:r>
    </w:p>
    <w:p>
      <w:pPr>
        <w:pStyle w:val="references"/>
        <w:sectPr w:rsidR="009303D9" w:rsidRPr="00F96569" w:rsidSect="00C919A4">
          <w:type w:val="continuous"/>
          <w:pgSz w:w="612pt" w:h="792pt" w:code="1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>F. L. Johansen, U. Friis-Jensen, E. B. Dam et al., “deCIFer: Crystal Structure Prediction from Powder Diffraction Data using Autoregressive Language Models,” arXiv:2502.02189, 2025.</w:t>
      </w:r>
    </w:p>
    <w:p w:rsidR="009303D9" w:rsidRPr="00F96569" w:rsidRDefault="009303D9" w:rsidP="00F96569">
      <w:pPr>
        <w:rPr>
          <w:color w:val="FF0000"/>
        </w:rPr>
      </w:pPr>
    </w:p>
    <w:sectPr w:rsidR="009303D9" w:rsidRPr="00F96569">
      <w:type w:val="continuous"/>
      <w:pgSz w:w="612pt" w:h="792pt" w:code="1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endnote w:type="separator" w:id="-1">
    <w:p w:rsidR="00D13749" w:rsidRDefault="00D13749" w:rsidP="001A3B3D">
      <w:r>
        <w:separator/>
      </w:r>
    </w:p>
  </w:endnote>
  <w:endnote w:type="continuationSeparator" w:id="0">
    <w:p w:rsidR="00D13749" w:rsidRDefault="00D13749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footnote w:type="separator" w:id="-1">
    <w:p w:rsidR="00D13749" w:rsidRDefault="00D13749" w:rsidP="001A3B3D">
      <w:r>
        <w:separator/>
      </w:r>
    </w:p>
  </w:footnote>
  <w:footnote w:type="continuationSeparator" w:id="0">
    <w:p w:rsidR="00D13749" w:rsidRDefault="00D13749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14"/>
  </w:num>
  <w:num w:numId="2">
    <w:abstractNumId w:val="19"/>
  </w:num>
  <w:num w:numId="3">
    <w:abstractNumId w:val="13"/>
  </w:num>
  <w:num w:numId="4">
    <w:abstractNumId w:val="16"/>
  </w:num>
  <w:num w:numId="5">
    <w:abstractNumId w:val="16"/>
  </w:num>
  <w:num w:numId="6">
    <w:abstractNumId w:val="16"/>
  </w:num>
  <w:num w:numId="7">
    <w:abstractNumId w:val="16"/>
  </w:num>
  <w:num w:numId="8">
    <w:abstractNumId w:val="18"/>
  </w:num>
  <w:num w:numId="9">
    <w:abstractNumId w:val="20"/>
  </w:num>
  <w:num w:numId="10">
    <w:abstractNumId w:val="15"/>
  </w:num>
  <w:num w:numId="11">
    <w:abstractNumId w:val="12"/>
  </w:num>
  <w:num w:numId="12">
    <w:abstractNumId w:val="11"/>
  </w:num>
  <w:num w:numId="13">
    <w:abstractNumId w:val="0"/>
  </w:num>
  <w:num w:numId="14">
    <w:abstractNumId w:val="10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9"/>
  </w:num>
  <w:num w:numId="20">
    <w:abstractNumId w:val="4"/>
  </w:num>
  <w:num w:numId="21">
    <w:abstractNumId w:val="3"/>
  </w:num>
  <w:num w:numId="22">
    <w:abstractNumId w:val="2"/>
  </w:num>
  <w:num w:numId="23">
    <w:abstractNumId w:val="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3D9"/>
    <w:rsid w:val="0004781E"/>
    <w:rsid w:val="0008758A"/>
    <w:rsid w:val="000C1E68"/>
    <w:rsid w:val="0015079E"/>
    <w:rsid w:val="001A2EFD"/>
    <w:rsid w:val="001A3B3D"/>
    <w:rsid w:val="001A42EA"/>
    <w:rsid w:val="001B67DC"/>
    <w:rsid w:val="001D7BCF"/>
    <w:rsid w:val="002254A9"/>
    <w:rsid w:val="00233D97"/>
    <w:rsid w:val="002850E3"/>
    <w:rsid w:val="00354FCF"/>
    <w:rsid w:val="003A19E2"/>
    <w:rsid w:val="00421EC6"/>
    <w:rsid w:val="004325FB"/>
    <w:rsid w:val="004432BA"/>
    <w:rsid w:val="0044407E"/>
    <w:rsid w:val="004D72B5"/>
    <w:rsid w:val="00547E73"/>
    <w:rsid w:val="00551B7F"/>
    <w:rsid w:val="0056610F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B33F1"/>
    <w:rsid w:val="007C0308"/>
    <w:rsid w:val="007C2FF2"/>
    <w:rsid w:val="007D6232"/>
    <w:rsid w:val="007F1F99"/>
    <w:rsid w:val="007F768F"/>
    <w:rsid w:val="0080791D"/>
    <w:rsid w:val="00873603"/>
    <w:rsid w:val="008A2C7D"/>
    <w:rsid w:val="008C4B23"/>
    <w:rsid w:val="008F6E2C"/>
    <w:rsid w:val="009303D9"/>
    <w:rsid w:val="00933C64"/>
    <w:rsid w:val="00972203"/>
    <w:rsid w:val="00A059B3"/>
    <w:rsid w:val="00A83751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76FFC"/>
    <w:rsid w:val="00C919A4"/>
    <w:rsid w:val="00CA4392"/>
    <w:rsid w:val="00CC393F"/>
    <w:rsid w:val="00D13749"/>
    <w:rsid w:val="00D2176E"/>
    <w:rsid w:val="00D632BE"/>
    <w:rsid w:val="00D72D06"/>
    <w:rsid w:val="00D7522C"/>
    <w:rsid w:val="00D7536F"/>
    <w:rsid w:val="00D76668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96569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38F91EC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2151</Words>
  <Characters>12261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Young, Sherri</cp:lastModifiedBy>
  <cp:revision>3</cp:revision>
  <dcterms:created xsi:type="dcterms:W3CDTF">2019-01-08T18:42:00Z</dcterms:created>
  <dcterms:modified xsi:type="dcterms:W3CDTF">2019-01-08T20:17:00Z</dcterms:modified>
</cp:coreProperties>
</file>