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70E30">
      <w:pPr>
        <w:spacing w:before="3600"/>
        <w:jc w:val="center"/>
      </w:pPr>
      <w:bookmarkStart w:id="0" w:name="_GoBack"/>
      <w:bookmarkEnd w:id="0"/>
    </w:p>
    <w:p w14:paraId="74084E01">
      <w:pPr>
        <w:pBdr>
          <w:bottom w:val="single" w:color="2E75B6" w:sz="12" w:space="1"/>
        </w:pBdr>
        <w:spacing w:after="400"/>
        <w:jc w:val="center"/>
      </w:pPr>
      <w:r>
        <w:rPr>
          <w:rFonts w:ascii="Arial" w:hAnsi="Arial" w:eastAsia="Arial" w:cs="Arial"/>
          <w:b/>
          <w:bCs/>
          <w:color w:val="2E75B6"/>
          <w:sz w:val="44"/>
          <w:szCs w:val="44"/>
        </w:rPr>
        <w:t>星云科技股份有限公司</w:t>
      </w:r>
    </w:p>
    <w:p w14:paraId="49E25DFF">
      <w:pPr>
        <w:spacing w:before="200" w:after="200"/>
        <w:jc w:val="center"/>
      </w:pPr>
    </w:p>
    <w:p w14:paraId="6504C9A8">
      <w:pPr>
        <w:jc w:val="center"/>
      </w:pPr>
      <w:r>
        <w:rPr>
          <w:rFonts w:ascii="Arial" w:hAnsi="Arial" w:eastAsia="Arial" w:cs="Arial"/>
          <w:b/>
          <w:bCs/>
          <w:color w:val="333333"/>
          <w:sz w:val="36"/>
          <w:szCs w:val="36"/>
        </w:rPr>
        <w:t>2025年第三季度业绩报告</w:t>
      </w:r>
    </w:p>
    <w:p w14:paraId="3C91CC34">
      <w:pPr>
        <w:spacing w:before="600"/>
        <w:jc w:val="center"/>
      </w:pPr>
    </w:p>
    <w:p w14:paraId="663DCE35">
      <w:pPr>
        <w:jc w:val="center"/>
      </w:pPr>
      <w:r>
        <w:rPr>
          <w:rFonts w:ascii="Arial" w:hAnsi="Arial" w:eastAsia="Arial" w:cs="Arial"/>
          <w:color w:val="555555"/>
          <w:sz w:val="24"/>
          <w:szCs w:val="24"/>
        </w:rPr>
        <w:t>报告期间：2025年7月1日 — 2025年9月30日</w:t>
      </w:r>
    </w:p>
    <w:p w14:paraId="57D76733">
      <w:pPr>
        <w:spacing w:before="120"/>
        <w:jc w:val="center"/>
      </w:pPr>
    </w:p>
    <w:p w14:paraId="0A0D1F64">
      <w:pPr>
        <w:jc w:val="center"/>
      </w:pPr>
      <w:r>
        <w:rPr>
          <w:rFonts w:ascii="Arial" w:hAnsi="Arial" w:eastAsia="Arial" w:cs="Arial"/>
          <w:color w:val="555555"/>
          <w:sz w:val="24"/>
          <w:szCs w:val="24"/>
        </w:rPr>
        <w:t>发布日期：2025年10月28日</w:t>
      </w:r>
    </w:p>
    <w:p w14:paraId="71ED767E">
      <w:pPr>
        <w:spacing w:before="600"/>
        <w:jc w:val="center"/>
      </w:pPr>
    </w:p>
    <w:p w14:paraId="35CABB9C">
      <w:pPr>
        <w:jc w:val="center"/>
      </w:pPr>
      <w:r>
        <w:rPr>
          <w:rFonts w:ascii="Arial" w:hAnsi="Arial" w:eastAsia="Arial" w:cs="Arial"/>
          <w:b/>
          <w:bCs/>
          <w:color w:val="C00000"/>
          <w:sz w:val="24"/>
          <w:szCs w:val="24"/>
        </w:rPr>
        <w:t>密级：内部使用</w:t>
      </w:r>
    </w:p>
    <w:p w14:paraId="0F37F27A">
      <w:pPr>
        <w:spacing w:before="2400"/>
        <w:jc w:val="center"/>
      </w:pPr>
    </w:p>
    <w:p w14:paraId="7A6EE9EF">
      <w:pPr>
        <w:jc w:val="center"/>
      </w:pPr>
      <w:r>
        <w:rPr>
          <w:rFonts w:ascii="Arial" w:hAnsi="Arial" w:eastAsia="Arial" w:cs="Arial"/>
          <w:color w:val="999999"/>
          <w:sz w:val="18"/>
          <w:szCs w:val="18"/>
        </w:rPr>
        <w:t>本报告仅供公司内部使用，请妥善保管</w:t>
      </w:r>
    </w:p>
    <w:p w14:paraId="7763B5AF">
      <w:r>
        <w:br w:type="page"/>
      </w:r>
    </w:p>
    <w:p w14:paraId="25E5C4EB">
      <w:pPr>
        <w:pStyle w:val="2"/>
      </w:pPr>
      <w:r>
        <w:rPr>
          <w:rFonts w:ascii="Arial" w:hAnsi="Arial" w:eastAsia="Arial" w:cs="Arial"/>
        </w:rPr>
        <w:t>一、执行摘要</w:t>
      </w:r>
    </w:p>
    <w:p w14:paraId="22C78401">
      <w:pPr>
        <w:pStyle w:val="3"/>
      </w:pPr>
      <w:r>
        <w:rPr>
          <w:rFonts w:ascii="Arial" w:hAnsi="Arial" w:eastAsia="Arial" w:cs="Arial"/>
        </w:rPr>
        <w:t>1.1 营收概览</w:t>
      </w:r>
    </w:p>
    <w:p w14:paraId="58A051A2">
      <w:pPr>
        <w:spacing w:before="0" w:after="120"/>
        <w:jc w:val="left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Q3 2025营收达 </w:t>
      </w:r>
      <w:r>
        <w:rPr>
          <w:rFonts w:ascii="Arial" w:hAnsi="Arial" w:eastAsia="Arial" w:cs="Arial"/>
          <w:b/>
          <w:bCs/>
          <w:color w:val="2E75B6"/>
          <w:sz w:val="22"/>
          <w:szCs w:val="22"/>
        </w:rPr>
        <w:t>42.7亿元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，同比增长 </w:t>
      </w:r>
      <w:r>
        <w:rPr>
          <w:rFonts w:ascii="Arial" w:hAnsi="Arial" w:eastAsia="Arial" w:cs="Arial"/>
          <w:b/>
          <w:bCs/>
          <w:color w:val="00B050"/>
          <w:sz w:val="22"/>
          <w:szCs w:val="22"/>
        </w:rPr>
        <w:t>23.4%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，环比增镹 </w:t>
      </w:r>
      <w:r>
        <w:rPr>
          <w:rFonts w:ascii="Arial" w:hAnsi="Arial" w:eastAsia="Arial" w:cs="Arial"/>
          <w:b/>
          <w:bCs/>
          <w:color w:val="00B050"/>
          <w:sz w:val="22"/>
          <w:szCs w:val="22"/>
        </w:rPr>
        <w:t>8.1%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，超出市场预期 </w:t>
      </w:r>
      <w:r>
        <w:rPr>
          <w:rFonts w:ascii="Arial" w:hAnsi="Arial" w:eastAsia="Arial" w:cs="Arial"/>
          <w:b/>
          <w:bCs/>
          <w:color w:val="00B050"/>
          <w:sz w:val="22"/>
          <w:szCs w:val="22"/>
        </w:rPr>
        <w:t>5.2个百分点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。</w:t>
      </w:r>
    </w:p>
    <w:p w14:paraId="75050938">
      <w:pPr>
        <w:pStyle w:val="3"/>
      </w:pPr>
      <w:r>
        <w:rPr>
          <w:rFonts w:ascii="Arial" w:hAnsi="Arial" w:eastAsia="Arial" w:cs="Arial"/>
        </w:rPr>
        <w:t>1.2 净利润概览</w:t>
      </w:r>
    </w:p>
    <w:p w14:paraId="7829111B">
      <w:pPr>
        <w:spacing w:before="0" w:after="120"/>
        <w:jc w:val="left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Q3 2025净利润达 </w:t>
      </w:r>
      <w:r>
        <w:rPr>
          <w:rFonts w:ascii="Arial" w:hAnsi="Arial" w:eastAsia="Arial" w:cs="Arial"/>
          <w:b/>
          <w:bCs/>
          <w:color w:val="2E75B6"/>
          <w:sz w:val="22"/>
          <w:szCs w:val="22"/>
        </w:rPr>
        <w:t>6.3亿元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，净利率为 </w:t>
      </w:r>
      <w:r>
        <w:rPr>
          <w:rFonts w:ascii="Arial" w:hAnsi="Arial" w:eastAsia="Arial" w:cs="Arial"/>
          <w:b/>
          <w:bCs/>
          <w:color w:val="00B050"/>
          <w:sz w:val="22"/>
          <w:szCs w:val="22"/>
        </w:rPr>
        <w:t>14.8%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，同比提升 </w:t>
      </w:r>
      <w:r>
        <w:rPr>
          <w:rFonts w:ascii="Arial" w:hAnsi="Arial" w:eastAsia="Arial" w:cs="Arial"/>
          <w:b/>
          <w:bCs/>
          <w:color w:val="00B050"/>
          <w:sz w:val="22"/>
          <w:szCs w:val="22"/>
        </w:rPr>
        <w:t>2.1个百分点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。</w:t>
      </w:r>
    </w:p>
    <w:p w14:paraId="592BAA90">
      <w:pPr>
        <w:pStyle w:val="3"/>
      </w:pPr>
      <w:r>
        <w:rPr>
          <w:rFonts w:ascii="Arial" w:hAnsi="Arial" w:eastAsia="Arial" w:cs="Arial"/>
        </w:rPr>
        <w:t>1.3 关键里程碑</w:t>
      </w:r>
    </w:p>
    <w:p w14:paraId="5C4DF17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云计算业务首次突破百亿年化营收里程碑</w:t>
      </w:r>
    </w:p>
    <w:p w14:paraId="7C83DCF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AI 大模型 API 调用量环比增镹 156%</w:t>
      </w:r>
    </w:p>
    <w:p w14:paraId="191E5C5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企业客户数量达到 12,847 家，较上季度净增 1,203 家</w:t>
      </w:r>
    </w:p>
    <w:p w14:paraId="2DD2A4E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海外市场收入占比提升至 18.3%</w:t>
      </w:r>
    </w:p>
    <w:p w14:paraId="6537073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东南亚区域增速达 67%</w:t>
      </w:r>
    </w:p>
    <w:p w14:paraId="31024F23">
      <w:pPr>
        <w:pStyle w:val="3"/>
      </w:pPr>
      <w:r>
        <w:rPr>
          <w:rFonts w:ascii="Arial" w:hAnsi="Arial" w:eastAsia="Arial" w:cs="Arial"/>
        </w:rPr>
        <w:t>1.4 董事会决议</w:t>
      </w:r>
    </w:p>
    <w:p w14:paraId="604DAD6D">
      <w:pPr>
        <w:spacing w:before="0" w:after="120"/>
        <w:jc w:val="left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本季度不派发中期股息，利润留存用于 AI 基础设施建设。全年计划资本支出 </w:t>
      </w:r>
      <w:r>
        <w:rPr>
          <w:rFonts w:ascii="Arial" w:hAnsi="Arial" w:eastAsia="Arial" w:cs="Arial"/>
          <w:b/>
          <w:bCs/>
          <w:color w:val="2E75B6"/>
          <w:sz w:val="22"/>
          <w:szCs w:val="22"/>
        </w:rPr>
        <w:t>28亿元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，同比增镹 </w:t>
      </w:r>
      <w:r>
        <w:rPr>
          <w:rFonts w:ascii="Arial" w:hAnsi="Arial" w:eastAsia="Arial" w:cs="Arial"/>
          <w:b/>
          <w:bCs/>
          <w:color w:val="00B050"/>
          <w:sz w:val="22"/>
          <w:szCs w:val="22"/>
        </w:rPr>
        <w:t>40%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。</w:t>
      </w:r>
    </w:p>
    <w:p w14:paraId="7E7F98F0">
      <w:r>
        <w:br w:type="page"/>
      </w:r>
    </w:p>
    <w:p w14:paraId="34D20328">
      <w:pPr>
        <w:pStyle w:val="2"/>
      </w:pPr>
      <w:r>
        <w:rPr>
          <w:rFonts w:ascii="Arial" w:hAnsi="Arial" w:eastAsia="Arial" w:cs="Arial"/>
        </w:rPr>
        <w:t>二、核心财务数据</w:t>
      </w:r>
    </w:p>
    <w:p w14:paraId="4E7E4BF3">
      <w:pPr>
        <w:pStyle w:val="3"/>
      </w:pPr>
      <w:r>
        <w:rPr>
          <w:rFonts w:ascii="Arial" w:hAnsi="Arial" w:eastAsia="Arial" w:cs="Arial"/>
        </w:rPr>
        <w:t>2.1 季度对比分析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200"/>
        <w:gridCol w:w="1200"/>
        <w:gridCol w:w="1200"/>
        <w:gridCol w:w="1200"/>
        <w:gridCol w:w="1200"/>
        <w:gridCol w:w="1160"/>
      </w:tblGrid>
      <w:tr w14:paraId="4AFFE590"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F747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1A5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单位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5588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Q3 2025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186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Q2 2025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B95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Q3 2024</w:t>
            </w:r>
          </w:p>
        </w:tc>
        <w:tc>
          <w:tcPr>
            <w:tcW w:w="1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4A9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同比变化</w:t>
            </w:r>
          </w:p>
        </w:tc>
        <w:tc>
          <w:tcPr>
            <w:tcW w:w="11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D62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环比变化</w:t>
            </w:r>
          </w:p>
        </w:tc>
      </w:tr>
      <w:tr w14:paraId="5DB2BAB2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CBFA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营业收入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4F88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亿元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653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42.7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82DB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39.5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6FFF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34.6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7D0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+23.4%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833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+8.1%</w:t>
            </w:r>
          </w:p>
        </w:tc>
      </w:tr>
      <w:tr w14:paraId="1EC728DA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8E8D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毛利润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1DA7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亿元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755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19.8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EF9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18.1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2C4F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15.4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C2E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+28.6%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0C2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+9.4%</w:t>
            </w:r>
          </w:p>
        </w:tc>
      </w:tr>
      <w:tr w14:paraId="091D32D1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A37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毛利率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D53C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31A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46.4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CB2E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45.8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3C1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44.5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0BB2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+1.9pp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C32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+0.6pp</w:t>
            </w:r>
          </w:p>
        </w:tc>
      </w:tr>
      <w:tr w14:paraId="7A265FCD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28C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净利润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8E30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亿元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A74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6.3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2132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5.7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67E2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4.8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BAE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+31.3%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A269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+10.5%</w:t>
            </w:r>
          </w:p>
        </w:tc>
      </w:tr>
      <w:tr w14:paraId="22502EB4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528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净利率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5AC1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253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14.8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4B25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14.4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C0B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13.9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FE4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+0.9pp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514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+0.4pp</w:t>
            </w:r>
          </w:p>
        </w:tc>
      </w:tr>
      <w:tr w14:paraId="670C05EC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F94D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经营现金流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2645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亿元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C2F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8.1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83D5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7.4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9763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6.2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A527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+30.6%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3DD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+9.5%</w:t>
            </w:r>
          </w:p>
        </w:tc>
      </w:tr>
      <w:tr w14:paraId="6A935918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39D5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研发投入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83BF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亿元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5ADF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5.4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0AD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5.1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CEEB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4.0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3FF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+35.0%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A4F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+5.9%</w:t>
            </w:r>
          </w:p>
        </w:tc>
      </w:tr>
      <w:tr w14:paraId="01FCA019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EC3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研发投入占收入比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758B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79F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12.6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9F41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12.9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5B7D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11.6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3457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+1.0pp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8A6F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-0.3pp</w:t>
            </w:r>
          </w:p>
        </w:tc>
      </w:tr>
    </w:tbl>
    <w:p w14:paraId="78886239">
      <w:r>
        <w:br w:type="page"/>
      </w:r>
    </w:p>
    <w:p w14:paraId="13FF840C">
      <w:pPr>
        <w:pStyle w:val="2"/>
      </w:pPr>
      <w:r>
        <w:rPr>
          <w:rFonts w:ascii="Arial" w:hAnsi="Arial" w:eastAsia="Arial" w:cs="Arial"/>
        </w:rPr>
        <w:t>三、业务板块分析</w:t>
      </w:r>
    </w:p>
    <w:p w14:paraId="6121980C">
      <w:pPr>
        <w:pStyle w:val="3"/>
      </w:pPr>
      <w:r>
        <w:rPr>
          <w:rFonts w:ascii="Arial" w:hAnsi="Arial" w:eastAsia="Arial" w:cs="Arial"/>
        </w:rPr>
        <w:t>3.1 四大业务板块收入构成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77"/>
        <w:gridCol w:w="1588"/>
        <w:gridCol w:w="1394"/>
        <w:gridCol w:w="1592"/>
        <w:gridCol w:w="1393"/>
        <w:gridCol w:w="816"/>
      </w:tblGrid>
      <w:tr w14:paraId="1252D475"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9FB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业务板块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F19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收入（亿元）</w:t>
            </w:r>
          </w:p>
        </w:tc>
        <w:tc>
          <w:tcPr>
            <w:tcW w:w="1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4A5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收入占比</w:t>
            </w:r>
          </w:p>
        </w:tc>
        <w:tc>
          <w:tcPr>
            <w:tcW w:w="1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ACC5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同比增长</w:t>
            </w:r>
          </w:p>
        </w:tc>
        <w:tc>
          <w:tcPr>
            <w:tcW w:w="14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2E65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毛利率</w:t>
            </w:r>
          </w:p>
        </w:tc>
        <w:tc>
          <w:tcPr>
            <w:tcW w:w="7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2F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环比增长</w:t>
            </w:r>
          </w:p>
        </w:tc>
      </w:tr>
      <w:tr w14:paraId="5BEAF3D0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8EB3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云计算与基础设施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A7D9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21.3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C39D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49.9%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AB5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+41.2%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4C4E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38.2%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A972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349FE3D7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5869F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AI 大模型与 API 服务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BF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9.8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A691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22.9%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4FB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+187.0%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A1EE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52.4%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3BC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+34.0%</w:t>
            </w:r>
          </w:p>
        </w:tc>
      </w:tr>
      <w:tr w14:paraId="5055F4C4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27CA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企业软件与 SaaS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7A8E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8.6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7B98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20.1%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E94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+12.3%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0BF1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61.7%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ACF5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43C99C24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BC8B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专业服务与咨询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231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3.0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7489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7.0%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38F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+8.7%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E8A0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35.2%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C86B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1FDB0296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90B98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2FA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42.7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DE59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100.0%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8A7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+23.4%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396A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46.4%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C14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+8.1%</w:t>
            </w:r>
          </w:p>
        </w:tc>
      </w:tr>
    </w:tbl>
    <w:p w14:paraId="6AACC196">
      <w:pPr>
        <w:spacing w:before="200"/>
      </w:pPr>
    </w:p>
    <w:p w14:paraId="4874168E">
      <w:pPr>
        <w:spacing w:before="0" w:after="12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>业务亮点：</w:t>
      </w:r>
      <w:r>
        <w:rPr>
          <w:rFonts w:ascii="Arial" w:hAnsi="Arial" w:eastAsia="Arial" w:cs="Arial"/>
          <w:sz w:val="22"/>
          <w:szCs w:val="22"/>
        </w:rPr>
        <w:t>云计算与基础设施首次成为最大收入来源（占比 49.9%），年化营收突破百亿。AI 大模型与 API 服务爆发式增长，同比增镹 187%，环比增镹 34%，已成为公司第二增长曲线。</w:t>
      </w:r>
    </w:p>
    <w:p w14:paraId="6DCF0E9E">
      <w:r>
        <w:br w:type="page"/>
      </w:r>
    </w:p>
    <w:p w14:paraId="42B53AE1">
      <w:pPr>
        <w:pStyle w:val="2"/>
      </w:pPr>
      <w:r>
        <w:rPr>
          <w:rFonts w:ascii="Arial" w:hAnsi="Arial" w:eastAsia="Arial" w:cs="Arial"/>
        </w:rPr>
        <w:t>四、风险因素</w:t>
      </w:r>
    </w:p>
    <w:p w14:paraId="50143EBA">
      <w:pPr>
        <w:pStyle w:val="3"/>
      </w:pPr>
      <w:r>
        <w:rPr>
          <w:rFonts w:ascii="Arial" w:hAnsi="Arial" w:eastAsia="Arial" w:cs="Arial"/>
        </w:rPr>
        <w:t>4.1 主要风险及预估影响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0"/>
        <w:gridCol w:w="3893"/>
        <w:gridCol w:w="2987"/>
      </w:tblGrid>
      <w:tr w14:paraId="22E17302">
        <w:tc>
          <w:tcPr>
            <w:tcW w:w="2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6FCB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风险类别</w:t>
            </w:r>
          </w:p>
        </w:tc>
        <w:tc>
          <w:tcPr>
            <w:tcW w:w="3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2AFB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风险描述</w:t>
            </w:r>
          </w:p>
        </w:tc>
        <w:tc>
          <w:tcPr>
            <w:tcW w:w="33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DC3A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预估影响</w:t>
            </w:r>
          </w:p>
        </w:tc>
      </w:tr>
      <w:tr w14:paraId="580BD740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CFD0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宏观经济压力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39C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全球经济增速放缓，企业 IT 支出可能承压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D1BE8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Q4 收入影响约 1.5 亿元</w:t>
            </w:r>
          </w:p>
        </w:tc>
      </w:tr>
      <w:tr w14:paraId="3F47935F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0C39F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竞争加剧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A00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AI 赛道竞争者增多，API 单价面临下降压力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B92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毛利率可能压缩 1-2pp</w:t>
            </w:r>
          </w:p>
        </w:tc>
      </w:tr>
      <w:tr w14:paraId="3E5D632E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9864D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人才成本上升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777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高端技术人才争夺激烈，薪酬水平持续上涨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334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Q3 人力成本同比增镹 38%</w:t>
            </w:r>
          </w:p>
        </w:tc>
      </w:tr>
      <w:tr w14:paraId="4E6E8B91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732A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海外合规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C52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各国数据合规要求日趋严格，合规成本持续增加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AB062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额外合规成本约 0.8 亿元</w:t>
            </w:r>
          </w:p>
        </w:tc>
      </w:tr>
    </w:tbl>
    <w:p w14:paraId="255577F6">
      <w:r>
        <w:br w:type="page"/>
      </w:r>
    </w:p>
    <w:p w14:paraId="388F7E6D">
      <w:pPr>
        <w:pStyle w:val="2"/>
      </w:pPr>
      <w:r>
        <w:rPr>
          <w:rFonts w:ascii="Arial" w:hAnsi="Arial" w:eastAsia="Arial" w:cs="Arial"/>
        </w:rPr>
        <w:t>五、Q4 及全年指引</w:t>
      </w:r>
    </w:p>
    <w:p w14:paraId="4BA867DC">
      <w:pPr>
        <w:pStyle w:val="3"/>
      </w:pPr>
      <w:r>
        <w:rPr>
          <w:rFonts w:ascii="Arial" w:hAnsi="Arial" w:eastAsia="Arial" w:cs="Arial"/>
        </w:rPr>
        <w:t>5.1 Q4 2025 营收指引</w:t>
      </w:r>
    </w:p>
    <w:p w14:paraId="6752596C">
      <w:pPr>
        <w:spacing w:before="0" w:after="120"/>
        <w:jc w:val="left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Q4 2025营收预计区间为 </w:t>
      </w:r>
      <w:r>
        <w:rPr>
          <w:rFonts w:ascii="Arial" w:hAnsi="Arial" w:eastAsia="Arial" w:cs="Arial"/>
          <w:b/>
          <w:bCs/>
          <w:color w:val="2E75B6"/>
          <w:sz w:val="22"/>
          <w:szCs w:val="22"/>
        </w:rPr>
        <w:t>45.0 — 47.5 亿元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，同比增镹范围为 </w:t>
      </w:r>
      <w:r>
        <w:rPr>
          <w:rFonts w:ascii="Arial" w:hAnsi="Arial" w:eastAsia="Arial" w:cs="Arial"/>
          <w:b/>
          <w:bCs/>
          <w:color w:val="00B050"/>
          <w:sz w:val="22"/>
          <w:szCs w:val="22"/>
        </w:rPr>
        <w:t>19% — 26%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。</w:t>
      </w:r>
    </w:p>
    <w:p w14:paraId="07DFCA83">
      <w:pPr>
        <w:pStyle w:val="3"/>
      </w:pPr>
      <w:r>
        <w:rPr>
          <w:rFonts w:ascii="Arial" w:hAnsi="Arial" w:eastAsia="Arial" w:cs="Arial"/>
        </w:rPr>
        <w:t>5.2 Q4 2025 净利润指引</w:t>
      </w:r>
    </w:p>
    <w:p w14:paraId="5A276A1F">
      <w:pPr>
        <w:spacing w:before="0" w:after="120"/>
        <w:jc w:val="left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Q4 2025净利润预计区间为 </w:t>
      </w:r>
      <w:r>
        <w:rPr>
          <w:rFonts w:ascii="Arial" w:hAnsi="Arial" w:eastAsia="Arial" w:cs="Arial"/>
          <w:b/>
          <w:bCs/>
          <w:color w:val="2E75B6"/>
          <w:sz w:val="22"/>
          <w:szCs w:val="22"/>
        </w:rPr>
        <w:t>6.5 — 7.2 亿元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。</w:t>
      </w:r>
    </w:p>
    <w:p w14:paraId="3492093F">
      <w:pPr>
        <w:pStyle w:val="3"/>
      </w:pPr>
      <w:r>
        <w:rPr>
          <w:rFonts w:ascii="Arial" w:hAnsi="Arial" w:eastAsia="Arial" w:cs="Arial"/>
        </w:rPr>
        <w:t>5.3 全年收入指引</w:t>
      </w:r>
    </w:p>
    <w:p w14:paraId="56DA10F8">
      <w:pPr>
        <w:spacing w:before="0" w:after="120"/>
        <w:jc w:val="left"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2025全年收入指引范围为 </w:t>
      </w:r>
      <w:r>
        <w:rPr>
          <w:rFonts w:ascii="Arial" w:hAnsi="Arial" w:eastAsia="Arial" w:cs="Arial"/>
          <w:b/>
          <w:bCs/>
          <w:color w:val="2E75B6"/>
          <w:sz w:val="22"/>
          <w:szCs w:val="22"/>
        </w:rPr>
        <w:t>162 — 165 亿元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，较年初指引上调 </w:t>
      </w:r>
      <w:r>
        <w:rPr>
          <w:rFonts w:ascii="Arial" w:hAnsi="Arial" w:eastAsia="Arial" w:cs="Arial"/>
          <w:b/>
          <w:bCs/>
          <w:color w:val="00B050"/>
          <w:sz w:val="22"/>
          <w:szCs w:val="22"/>
        </w:rPr>
        <w:t>8%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，显示管理层对未来增长信心充足。</w:t>
      </w:r>
    </w:p>
    <w:p w14:paraId="3079DADD">
      <w:pPr>
        <w:pStyle w:val="3"/>
      </w:pPr>
      <w:r>
        <w:rPr>
          <w:rFonts w:ascii="Arial" w:hAnsi="Arial" w:eastAsia="Arial" w:cs="Arial"/>
        </w:rPr>
        <w:t>5.4 指引汇总表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75A359F">
        <w:tc>
          <w:tcPr>
            <w:tcW w:w="31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ADF0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指引项目</w:t>
            </w:r>
          </w:p>
        </w:tc>
        <w:tc>
          <w:tcPr>
            <w:tcW w:w="31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BCF5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指引范围</w:t>
            </w:r>
          </w:p>
        </w:tc>
        <w:tc>
          <w:tcPr>
            <w:tcW w:w="31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4081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62CE6A11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86F7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Q4 营收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A85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45.0 — 47.5 亿元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563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同比增镹 19% — 26%</w:t>
            </w:r>
          </w:p>
        </w:tc>
      </w:tr>
      <w:tr w14:paraId="52BC6B88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6207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Q4 净利润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146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6.5 — 7.2 亿元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4E94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继续保持盈利能力</w:t>
            </w:r>
          </w:p>
        </w:tc>
      </w:tr>
      <w:tr w14:paraId="57E3AF6D"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B62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全年收入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90D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162 — 165 亿元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284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较年初指引上调 8%</w:t>
            </w:r>
          </w:p>
        </w:tc>
      </w:tr>
    </w:tbl>
    <w:p w14:paraId="02D2663C">
      <w:r>
        <w:br w:type="page"/>
      </w:r>
    </w:p>
    <w:p w14:paraId="0574887C">
      <w:pPr>
        <w:pStyle w:val="2"/>
      </w:pPr>
      <w:r>
        <w:rPr>
          <w:rFonts w:ascii="Arial" w:hAnsi="Arial" w:eastAsia="Arial" w:cs="Arial"/>
        </w:rPr>
        <w:t>六、关键趋势与结论</w:t>
      </w:r>
    </w:p>
    <w:p w14:paraId="55D6AA5C">
      <w:pPr>
        <w:pStyle w:val="3"/>
      </w:pPr>
      <w:r>
        <w:rPr>
          <w:rFonts w:ascii="Arial" w:hAnsi="Arial" w:eastAsia="Arial" w:cs="Arial"/>
        </w:rPr>
        <w:t>6.1 积极趋势</w:t>
      </w:r>
    </w:p>
    <w:p w14:paraId="68DFC04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营收连续增长，Q3 同比增速 23.4%，超出市场预期</w:t>
      </w:r>
    </w:p>
    <w:p w14:paraId="0565F04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云计算业务首次成为最大收入来源（占比 49.9%），年化营收突破百亿</w:t>
      </w:r>
    </w:p>
    <w:p w14:paraId="65361B2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AI 业务爆发式增长（同比 +187%），成为第二增长曲线</w:t>
      </w:r>
    </w:p>
    <w:p w14:paraId="3AFCE4F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盈利能力持续改善：毛利率同比提升 1.9pp，净利率同比提升 0.9pp</w:t>
      </w:r>
    </w:p>
    <w:p w14:paraId="7AE5370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经营现金流强劲增镹 30.6%</w:t>
      </w:r>
    </w:p>
    <w:p w14:paraId="0EC634D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企业客户数持续扩张（净增 1,203 家）</w:t>
      </w:r>
    </w:p>
    <w:p w14:paraId="35E7FBA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海外市场快速拓展，东南亚增速达 67%</w:t>
      </w:r>
    </w:p>
    <w:p w14:paraId="0AC4F89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全年收入指引上调 8%</w:t>
      </w:r>
    </w:p>
    <w:p w14:paraId="3CE7E98E">
      <w:pPr>
        <w:pStyle w:val="3"/>
      </w:pPr>
      <w:r>
        <w:rPr>
          <w:rFonts w:ascii="Arial" w:hAnsi="Arial" w:eastAsia="Arial" w:cs="Arial"/>
        </w:rPr>
        <w:t>6.2 风险关注</w:t>
      </w:r>
    </w:p>
    <w:p w14:paraId="3B6B415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宏观经济压力可能影响 Q4 收入约 1.5 亿元</w:t>
      </w:r>
    </w:p>
    <w:p w14:paraId="4C42378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AI 赛道竞争加剧，API 单价下降压力可能压缩毛利率 1-2pp</w:t>
      </w:r>
    </w:p>
    <w:p w14:paraId="56CE2FE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人力成本快速上升（同比 +38%）</w:t>
      </w:r>
    </w:p>
    <w:p w14:paraId="0649168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海外合规成本增加（约 0.8 亿元）</w:t>
      </w:r>
    </w:p>
    <w:p w14:paraId="75832EC9">
      <w:pPr>
        <w:pStyle w:val="3"/>
      </w:pPr>
      <w:r>
        <w:rPr>
          <w:rFonts w:ascii="Arial" w:hAnsi="Arial" w:eastAsia="Arial" w:cs="Arial"/>
        </w:rPr>
        <w:t>6.3 总体评估</w:t>
      </w:r>
    </w:p>
    <w:p w14:paraId="618E1764">
      <w:pPr>
        <w:spacing w:before="0" w:after="120"/>
        <w:jc w:val="left"/>
      </w:pPr>
      <w:r>
        <w:rPr>
          <w:rFonts w:ascii="Arial" w:hAnsi="Arial" w:eastAsia="Arial" w:cs="Arial"/>
          <w:sz w:val="22"/>
          <w:szCs w:val="22"/>
        </w:rPr>
        <w:t>星云科技 Q3 2025 业绩表现强劲，营收和利润均实现双位数增长，云计算和 AI 业务成为核心增长引擎。公司上调全年收入指引，显示管理层对未来增长信心充足。</w:t>
      </w:r>
    </w:p>
    <w:p w14:paraId="5ECB853F">
      <w:pPr>
        <w:spacing w:before="600"/>
        <w:jc w:val="center"/>
      </w:pPr>
    </w:p>
    <w:p w14:paraId="54F8A29A">
      <w:pPr>
        <w:pBdr>
          <w:top w:val="single" w:color="2E75B6" w:sz="6" w:space="1"/>
        </w:pBdr>
        <w:spacing w:before="200" w:after="200"/>
        <w:jc w:val="center"/>
      </w:pPr>
      <w:r>
        <w:rPr>
          <w:rFonts w:ascii="Arial" w:hAnsi="Arial" w:eastAsia="Arial" w:cs="Arial"/>
          <w:b/>
          <w:bCs/>
          <w:color w:val="808080"/>
          <w:sz w:val="20"/>
          <w:szCs w:val="20"/>
        </w:rPr>
        <w:t>— 报告结束 —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04E61">
    <w:pPr>
      <w:jc w:val="center"/>
    </w:pPr>
    <w:r>
      <w:rPr>
        <w:rFonts w:ascii="Arial" w:hAnsi="Arial" w:eastAsia="Arial" w:cs="Arial"/>
        <w:color w:val="808080"/>
        <w:sz w:val="18"/>
        <w:szCs w:val="18"/>
      </w:rPr>
      <w:t xml:space="preserve">内部使用  |  页码 </w:t>
    </w:r>
    <w:r>
      <w:rPr>
        <w:rFonts w:ascii="Arial" w:hAnsi="Arial" w:eastAsia="Arial" w:cs="Arial"/>
        <w:color w:val="808080"/>
        <w:sz w:val="18"/>
        <w:szCs w:val="18"/>
      </w:rPr>
      <w:fldChar w:fldCharType="begin"/>
    </w:r>
    <w:r>
      <w:rPr>
        <w:rFonts w:ascii="Arial" w:hAnsi="Arial" w:eastAsia="Arial" w:cs="Arial"/>
        <w:color w:val="808080"/>
        <w:sz w:val="18"/>
        <w:szCs w:val="18"/>
      </w:rPr>
      <w:instrText xml:space="preserve">PAGE</w:instrText>
    </w:r>
    <w:r>
      <w:rPr>
        <w:rFonts w:ascii="Arial" w:hAnsi="Arial" w:eastAsia="Arial" w:cs="Arial"/>
        <w:color w:val="808080"/>
        <w:sz w:val="18"/>
        <w:szCs w:val="18"/>
      </w:rPr>
      <w:fldChar w:fldCharType="separate"/>
    </w:r>
    <w:r>
      <w:rPr>
        <w:rFonts w:ascii="Arial" w:hAnsi="Arial" w:eastAsia="Arial" w:cs="Arial"/>
        <w:color w:val="80808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4BEE7">
    <w:pPr>
      <w:jc w:val="right"/>
    </w:pPr>
    <w:r>
      <w:rPr>
        <w:rFonts w:ascii="Arial" w:hAnsi="Arial" w:eastAsia="Arial" w:cs="Arial"/>
        <w:color w:val="808080"/>
        <w:sz w:val="18"/>
        <w:szCs w:val="18"/>
      </w:rPr>
      <w:t>星云科技股份有限公司  |  2025年第三季度业绩报告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7987E9"/>
    <w:multiLevelType w:val="singleLevel"/>
    <w:tmpl w:val="F77987E9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BBFF96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00" w:after="200"/>
      <w:outlineLvl w:val="0"/>
    </w:pPr>
    <w:rPr>
      <w:rFonts w:ascii="Arial" w:hAnsi="Arial" w:eastAsia="Arial" w:cs="Arial"/>
      <w:b/>
      <w:bCs/>
      <w:color w:val="2E75B6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120"/>
      <w:outlineLvl w:val="2"/>
    </w:pPr>
    <w:rPr>
      <w:rFonts w:ascii="Arial" w:hAnsi="Arial" w:eastAsia="Arial" w:cs="Arial"/>
      <w:b/>
      <w:bCs/>
      <w:color w:val="4472C4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Bernice.seven</cp:lastModifiedBy>
  <dcterms:modified xsi:type="dcterms:W3CDTF">2026-06-16T11:22:22Z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4915E5640B789C246EC1306AF44BEC70_42</vt:lpwstr>
  </property>
</Properties>
</file>