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屏幕和浏览器对象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编写程序，使用户可以定制窗口的背景色，窗口大小和字体颜色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【提示】使用window对象的resizeTo方法操作窗口的尺寸，通过修改document对象的bgColor和fgColor属性来更改网页背景色和字体颜色，参考代码如下：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Apply()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</w:t>
      </w:r>
      <w:r>
        <w:rPr>
          <w:rFonts w:hint="eastAsia"/>
          <w:u w:val="thick" w:color="C00000"/>
          <w:lang w:val="en-US" w:eastAsia="zh-CN"/>
        </w:rPr>
        <w:t>bgColor</w:t>
      </w:r>
      <w:r>
        <w:rPr>
          <w:rFonts w:hint="eastAsia"/>
          <w:lang w:val="en-US" w:eastAsia="zh-CN"/>
        </w:rPr>
        <w:t>=BGCLR.value;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</w:t>
      </w:r>
      <w:r>
        <w:rPr>
          <w:rFonts w:hint="eastAsia"/>
          <w:u w:val="thick" w:color="C00000"/>
          <w:lang w:val="en-US" w:eastAsia="zh-CN"/>
        </w:rPr>
        <w:t>fgColor</w:t>
      </w:r>
      <w:r>
        <w:rPr>
          <w:rFonts w:hint="eastAsia"/>
          <w:lang w:val="en-US" w:eastAsia="zh-CN"/>
        </w:rPr>
        <w:t>=FTCLR.value;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</w:t>
      </w:r>
      <w:r>
        <w:rPr>
          <w:rFonts w:hint="eastAsia"/>
          <w:u w:val="thick" w:color="C00000"/>
          <w:lang w:val="en-US" w:eastAsia="zh-CN"/>
        </w:rPr>
        <w:t>resizeTo</w:t>
      </w:r>
      <w:r>
        <w:rPr>
          <w:rFonts w:hint="eastAsia"/>
          <w:lang w:val="en-US" w:eastAsia="zh-CN"/>
        </w:rPr>
        <w:t>(parseInt(WIDTH.value),parseInt(HEIGHT.value));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333333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BGCLR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FTCLR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窗口宽度：&lt;input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窗口高度：&lt;input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应用更改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u w:val="thick" w:color="C00000"/>
          <w:lang w:val="en-US" w:eastAsia="zh-CN"/>
        </w:rPr>
        <w:t>Apply()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5F38"/>
    <w:rsid w:val="41C15165"/>
    <w:rsid w:val="61BD0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2019-01-21T07:03:34Z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