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60"/>
      </w:pPr>
      <w:r>
        <w:rPr>
          <w:rFonts w:ascii="Arial" w:cs="Arial" w:eastAsia="Arial" w:hAnsi="Arial"/>
          <w:b w:val="false"/>
          <w:bCs w:val="false"/>
          <w:color w:val="1A1A1A"/>
          <w:sz w:val="22"/>
          <w:szCs w:val="22"/>
        </w:rPr>
        <w:t xml:space="preserve"/>
      </w:r>
    </w:p>
    <w:p>
      <w:pPr>
        <w:spacing w:after="60" w:before="60"/>
        <w:jc w:val="center"/>
      </w:pPr>
      <w:r>
        <w:rPr>
          <w:rFonts w:ascii="Arial" w:cs="Arial" w:eastAsia="Arial" w:hAnsi="Arial"/>
          <w:b/>
          <w:bCs/>
          <w:color w:val="0F6E56"/>
          <w:sz w:val="56"/>
          <w:szCs w:val="56"/>
        </w:rPr>
        <w:t xml:space="preserve">AGING GRACEFULLY</w:t>
      </w:r>
    </w:p>
    <w:p>
      <w:pPr>
        <w:spacing w:after="60" w:before="60"/>
        <w:jc w:val="center"/>
      </w:pPr>
      <w:r>
        <w:rPr>
          <w:rFonts w:ascii="Arial" w:cs="Arial" w:eastAsia="Arial" w:hAnsi="Arial"/>
          <w:b w:val="false"/>
          <w:bCs w:val="false"/>
          <w:color w:val="1A1A1A"/>
          <w:sz w:val="30"/>
          <w:szCs w:val="30"/>
        </w:rPr>
        <w:t xml:space="preserve">Technical Architecture Specification</w:t>
      </w:r>
    </w:p>
    <w:p>
      <w:pPr>
        <w:spacing w:after="400" w:before="60"/>
        <w:jc w:val="center"/>
      </w:pPr>
      <w:r>
        <w:rPr>
          <w:rFonts w:ascii="Arial" w:cs="Arial" w:eastAsia="Arial" w:hAnsi="Arial"/>
          <w:b w:val="false"/>
          <w:bCs w:val="false"/>
          <w:color w:val="5F5E5A"/>
          <w:sz w:val="22"/>
          <w:szCs w:val="22"/>
        </w:rPr>
        <w:t xml:space="preserve">Version 1.0  ·  2025  ·  Confidential Draft</w:t>
      </w:r>
    </w:p>
    <w:p>
      <w:pPr>
        <w:pBdr>
          <w:bottom w:val="single" w:color="0F6E56" w:sz="2" w:space="4"/>
        </w:pBdr>
        <w:spacing w:after="120" w:before="0"/>
      </w:pPr>
      <w:r>
        <w:rPr>
          <w:rFonts w:ascii="Arial" w:cs="Arial" w:eastAsia="Arial" w:hAnsi="Arial"/>
          <w:b w:val="false"/>
          <w:bCs w:val="false"/>
          <w:color w:val="1A1A1A"/>
          <w:sz w:val="22"/>
          <w:szCs w:val="22"/>
        </w:rPr>
        <w:t xml:space="preserve"/>
      </w:r>
    </w:p>
    <w:p>
      <w:pPr>
        <w:spacing w:after="0" w:before="100"/>
      </w:pPr>
      <w:r>
        <w:rPr>
          <w:rFonts w:ascii="Arial" w:cs="Arial" w:eastAsia="Arial" w:hAnsi="Arial"/>
          <w:b w:val="false"/>
          <w:bCs w:val="false"/>
          <w:color w:val="1A1A1A"/>
          <w:sz w:val="22"/>
          <w:szCs w:val="22"/>
        </w:rPr>
        <w:t xml:space="preserve"/>
      </w:r>
    </w:p>
    <w:p>
      <w:pPr>
        <w:spacing w:after="60" w:before="60"/>
        <w:jc w:val="center"/>
      </w:pPr>
      <w:r>
        <w:rPr>
          <w:rFonts w:ascii="Arial" w:cs="Arial" w:eastAsia="Arial" w:hAnsi="Arial"/>
          <w:b w:val="false"/>
          <w:bCs w:val="false"/>
          <w:color w:val="1A1A1A"/>
          <w:sz w:val="22"/>
          <w:szCs w:val="22"/>
        </w:rPr>
        <w:t xml:space="preserve">Usability  ·  Accessibility  ·  System Design  ·  Security</w:t>
      </w:r>
    </w:p>
    <w:p>
      <w:pPr>
        <w:spacing w:after="0" w:before="56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40"/>
              <w:bottom w:type="dxa" w:w="160"/>
              <w:right w:type="dxa" w:w="240"/>
            </w:tcMar>
          </w:tcPr>
          <w:p>
            <w:pPr>
              <w:spacing w:after="60" w:before="60"/>
              <w:jc w:val="left"/>
            </w:pPr>
            <w:r>
              <w:rPr>
                <w:rFonts w:ascii="Arial" w:cs="Arial" w:eastAsia="Arial" w:hAnsi="Arial"/>
                <w:b/>
                <w:bCs/>
                <w:color w:val="0F6E56"/>
                <w:sz w:val="22"/>
                <w:szCs w:val="22"/>
              </w:rPr>
              <w:t xml:space="preserve">Document scope</w:t>
            </w:r>
          </w:p>
          <w:p>
            <w:pPr>
              <w:spacing w:after="60" w:before="60"/>
              <w:jc w:val="left"/>
            </w:pPr>
            <w:r>
              <w:rPr>
                <w:rFonts w:ascii="Arial" w:cs="Arial" w:eastAsia="Arial" w:hAnsi="Arial"/>
                <w:b w:val="false"/>
                <w:bCs w:val="false"/>
                <w:color w:val="085041"/>
                <w:sz w:val="21"/>
                <w:szCs w:val="21"/>
              </w:rPr>
              <w:t xml:space="preserve">This document defines the technical architecture for the Aging Gracefully platform. It covers: frontend and backend system design, data architecture, API design, AI/ML integration, usability and UX standards, WCAG 2.2 accessibility requirements, and a comprehensive security and compliance framework (HIPAA, SOC 2, CCPA).</w:t>
            </w:r>
          </w:p>
          <w:p>
            <w:pPr>
              <w:spacing w:after="60" w:before="60"/>
              <w:jc w:val="left"/>
            </w:pPr>
            <w:r>
              <w:rPr>
                <w:rFonts w:ascii="Arial" w:cs="Arial" w:eastAsia="Arial" w:hAnsi="Arial"/>
                <w:b w:val="false"/>
                <w:bCs w:val="false"/>
                <w:color w:val="0F6E56"/>
                <w:sz w:val="21"/>
                <w:szCs w:val="21"/>
              </w:rPr>
              <w:t xml:space="preserve">Intended audience: Engineering leads, product management, security team, accessibility reviewers, external auditors.</w:t>
            </w:r>
          </w:p>
        </w:tc>
      </w:tr>
    </w:tbl>
    <w:p>
      <w:r>
        <w:br w:type="page"/>
      </w:r>
    </w:p>
    <w:p>
      <w:pPr>
        <w:pStyle w:val="Heading1"/>
        <w:pBdr>
          <w:bottom w:val="single" w:color="0F6E56" w:sz="6" w:space="8"/>
        </w:pBdr>
        <w:spacing w:after="120" w:before="400"/>
      </w:pPr>
      <w:r>
        <w:rPr>
          <w:rFonts w:ascii="Arial" w:cs="Arial" w:eastAsia="Arial" w:hAnsi="Arial"/>
          <w:b/>
          <w:bCs/>
          <w:color w:val="0F6E56"/>
          <w:sz w:val="34"/>
          <w:szCs w:val="34"/>
        </w:rPr>
        <w:t xml:space="preserve">1.  System overview &amp; architecture principles</w:t>
      </w:r>
    </w:p>
    <w:p>
      <w:pPr>
        <w:spacing w:after="80" w:before="60"/>
        <w:jc w:val="left"/>
      </w:pPr>
      <w:r>
        <w:rPr>
          <w:rFonts w:ascii="Arial" w:cs="Arial" w:eastAsia="Arial" w:hAnsi="Arial"/>
          <w:b w:val="false"/>
          <w:bCs w:val="false"/>
          <w:color w:val="1A1A1A"/>
          <w:sz w:val="22"/>
          <w:szCs w:val="22"/>
        </w:rPr>
        <w:t xml:space="preserve">Aging Gracefully is built on a modern, cloud-native architecture designed for high availability, horizontal scalability, and strict data privacy. The system serves three distinct user roles — primary caregivers, secondary family members, and care recipients (to a limited degree) — across web and native mobile surfaces, with an AI layer that operates across all modules.</w:t>
      </w:r>
    </w:p>
    <w:p>
      <w:pPr>
        <w:spacing w:after="0" w:before="8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1.1  Core architecture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Principle</w:t>
            </w:r>
          </w:p>
        </w:tc>
        <w:tc>
          <w:tcPr>
            <w:tcW w:type="dxa" w:w="3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Description</w:t>
            </w:r>
          </w:p>
        </w:tc>
        <w:tc>
          <w:tcPr>
            <w:tcW w:type="dxa" w:w="35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Implementation implication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bCs/>
                <w:color w:val="0F6E56"/>
                <w:sz w:val="20"/>
                <w:szCs w:val="20"/>
              </w:rPr>
              <w:t xml:space="preserve">Privacy by design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User data — especially health data — is treated as sensitive by default, not by exception.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Field-level encryption, minimal data collection, explicit consent flows, no default data sharing</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bCs/>
                <w:color w:val="0F6E56"/>
                <w:sz w:val="20"/>
                <w:szCs w:val="20"/>
              </w:rPr>
              <w:t xml:space="preserve">Zero-trust security</w:t>
            </w:r>
          </w:p>
        </w:tc>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No component is trusted by default. Every request is authenticated and authorized regardless of origin.</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JWT + RBAC on every API call, service mesh mTLS, no VPN-based perimeter security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bCs/>
                <w:color w:val="0F6E56"/>
                <w:sz w:val="20"/>
                <w:szCs w:val="20"/>
              </w:rPr>
              <w:t xml:space="preserve">Accessibility-first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WCAG 2.2 AA is a baseline requirement, not a retrofit. Every UI component is built with accessibility as the primary constraint.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Design tokens enforce contrast, all components tested with screen readers before shipping</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bCs/>
                <w:color w:val="0F6E56"/>
                <w:sz w:val="20"/>
                <w:szCs w:val="20"/>
              </w:rPr>
              <w:t xml:space="preserve">Progressive enhancement</w:t>
            </w:r>
          </w:p>
        </w:tc>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Core functionality works without JavaScript, on slow connections, and on older devices used by elderly users.</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Server-side rendering by default; JS enhances, never gates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bCs/>
                <w:color w:val="0F6E56"/>
                <w:sz w:val="20"/>
                <w:szCs w:val="20"/>
              </w:rPr>
              <w:t xml:space="preserve">Resilience over speed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For a health-adjacent platform, data integrity and availability outweigh performance optimization.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Multi-region active-passive, 99.9% SLA, automated failover, graceful degradation</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bCs/>
                <w:color w:val="0F6E56"/>
                <w:sz w:val="20"/>
                <w:szCs w:val="20"/>
              </w:rPr>
              <w:t xml:space="preserve">Audit everything</w:t>
            </w:r>
          </w:p>
        </w:tc>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Every data access, modification, and permission change is logged immutably.</w:t>
            </w:r>
          </w:p>
        </w:tc>
        <w:tc>
          <w:tcPr>
            <w:tcW w:type="dxa" w:w="3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Append-only audit log, tamper-evident storage, 7-year retention for health data</w:t>
            </w:r>
          </w:p>
        </w:tc>
      </w:tr>
    </w:tbl>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1.2  High-level system architecture</w:t>
      </w:r>
    </w:p>
    <w:p>
      <w:pPr>
        <w:spacing w:after="80" w:before="60"/>
        <w:jc w:val="left"/>
      </w:pPr>
      <w:r>
        <w:rPr>
          <w:rFonts w:ascii="Arial" w:cs="Arial" w:eastAsia="Arial" w:hAnsi="Arial"/>
          <w:b w:val="false"/>
          <w:bCs w:val="false"/>
          <w:color w:val="1A1A1A"/>
          <w:sz w:val="22"/>
          <w:szCs w:val="22"/>
        </w:rPr>
        <w:t xml:space="preserve">The platform uses a layered architecture with clear separation between presentation, application logic, data, and AI services. All layers communicate through well-defined APIs with strict authentication at every boundary.</w:t>
      </w:r>
    </w:p>
    <w:p>
      <w:pPr>
        <w:spacing w:after="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1"/>
              <w:left w:val="single" w:color="888780" w:sz="1"/>
              <w:bottom w:val="single" w:color="888780" w:sz="1"/>
              <w:right w:val="single" w:color="888780" w:sz="1"/>
            </w:tcBorders>
            <w:shd w:fill="F1EFE8" w:val="clear"/>
            <w:tcMar>
              <w:top w:type="dxa" w:w="120"/>
              <w:left w:type="dxa" w:w="200"/>
              <w:bottom w:type="dxa" w:w="120"/>
              <w:right w:type="dxa" w:w="200"/>
            </w:tcMar>
          </w:tcPr>
          <w:p>
            <w:pPr>
              <w:spacing w:after="20" w:before="20"/>
              <w:jc w:val="left"/>
            </w:pPr>
            <w:r>
              <w:rPr>
                <w:rFonts w:ascii="Arial" w:cs="Arial" w:eastAsia="Arial" w:hAnsi="Arial"/>
                <w:b w:val="false"/>
                <w:bCs w:val="false"/>
                <w:color w:val="2C2C2A"/>
                <w:sz w:val="19"/>
                <w:szCs w:val="19"/>
              </w:rPr>
              <w:t xml:space="preserve">┌─────────────────────────────────────────────────────────────────────┐</w:t>
            </w:r>
          </w:p>
          <w:p>
            <w:pPr>
              <w:spacing w:after="20" w:before="20"/>
              <w:jc w:val="left"/>
            </w:pPr>
            <w:r>
              <w:rPr>
                <w:rFonts w:ascii="Arial" w:cs="Arial" w:eastAsia="Arial" w:hAnsi="Arial"/>
                <w:b w:val="false"/>
                <w:bCs w:val="false"/>
                <w:color w:val="2C2C2A"/>
                <w:sz w:val="19"/>
                <w:szCs w:val="19"/>
              </w:rPr>
              <w:t xml:space="preserve">│                        CLIENT LAYER                                │</w:t>
            </w:r>
          </w:p>
          <w:p>
            <w:pPr>
              <w:spacing w:after="20" w:before="20"/>
              <w:jc w:val="left"/>
            </w:pPr>
            <w:r>
              <w:rPr>
                <w:rFonts w:ascii="Arial" w:cs="Arial" w:eastAsia="Arial" w:hAnsi="Arial"/>
                <w:b w:val="false"/>
                <w:bCs w:val="false"/>
                <w:color w:val="2C2C2A"/>
                <w:sz w:val="19"/>
                <w:szCs w:val="19"/>
              </w:rPr>
              <w:t xml:space="preserve">│  Web App (Next.js / React)     iOS App (Swift)    Android (Kotlin) │</w:t>
            </w:r>
          </w:p>
          <w:p>
            <w:pPr>
              <w:spacing w:after="20" w:before="20"/>
              <w:jc w:val="left"/>
            </w:pPr>
            <w:r>
              <w:rPr>
                <w:rFonts w:ascii="Arial" w:cs="Arial" w:eastAsia="Arial" w:hAnsi="Arial"/>
                <w:b w:val="false"/>
                <w:bCs w:val="false"/>
                <w:color w:val="2C2C2A"/>
                <w:sz w:val="19"/>
                <w:szCs w:val="19"/>
              </w:rPr>
              <w:t xml:space="preserve">│  Server-side rendered · PWA    Offline-capable    Offline-capable  │</w:t>
            </w:r>
          </w:p>
          <w:p>
            <w:pPr>
              <w:spacing w:after="20" w:before="20"/>
              <w:jc w:val="left"/>
            </w:pPr>
            <w:r>
              <w:rPr>
                <w:rFonts w:ascii="Arial" w:cs="Arial" w:eastAsia="Arial" w:hAnsi="Arial"/>
                <w:b w:val="false"/>
                <w:bCs w:val="false"/>
                <w:color w:val="2C2C2A"/>
                <w:sz w:val="19"/>
                <w:szCs w:val="19"/>
              </w:rPr>
              <w:t xml:space="preserve">└──────────────────────────┬──────────────────────────────────────────┘</w:t>
            </w:r>
          </w:p>
          <w:p>
            <w:pPr>
              <w:spacing w:after="20" w:before="20"/>
              <w:jc w:val="left"/>
            </w:pPr>
            <w:r>
              <w:rPr>
                <w:rFonts w:ascii="Arial" w:cs="Arial" w:eastAsia="Arial" w:hAnsi="Arial"/>
                <w:b w:val="false"/>
                <w:bCs w:val="false"/>
                <w:color w:val="2C2C2A"/>
                <w:sz w:val="19"/>
                <w:szCs w:val="19"/>
              </w:rPr>
              <w:t xml:space="preserve">                           │  HTTPS / TLS 1.3 only</w:t>
            </w:r>
          </w:p>
          <w:p>
            <w:pPr>
              <w:spacing w:after="20" w:before="20"/>
              <w:jc w:val="left"/>
            </w:pPr>
            <w:r>
              <w:rPr>
                <w:rFonts w:ascii="Arial" w:cs="Arial" w:eastAsia="Arial" w:hAnsi="Arial"/>
                <w:b w:val="false"/>
                <w:bCs w:val="false"/>
                <w:color w:val="2C2C2A"/>
                <w:sz w:val="19"/>
                <w:szCs w:val="19"/>
              </w:rPr>
              <w:t xml:space="preserve">┌──────────────────────────▼──────────────────────────────────────────┐</w:t>
            </w:r>
          </w:p>
          <w:p>
            <w:pPr>
              <w:spacing w:after="20" w:before="20"/>
              <w:jc w:val="left"/>
            </w:pPr>
            <w:r>
              <w:rPr>
                <w:rFonts w:ascii="Arial" w:cs="Arial" w:eastAsia="Arial" w:hAnsi="Arial"/>
                <w:b w:val="false"/>
                <w:bCs w:val="false"/>
                <w:color w:val="2C2C2A"/>
                <w:sz w:val="19"/>
                <w:szCs w:val="19"/>
              </w:rPr>
              <w:t xml:space="preserve">│                      API GATEWAY LAYER                             │</w:t>
            </w:r>
          </w:p>
          <w:p>
            <w:pPr>
              <w:spacing w:after="20" w:before="20"/>
              <w:jc w:val="left"/>
            </w:pPr>
            <w:r>
              <w:rPr>
                <w:rFonts w:ascii="Arial" w:cs="Arial" w:eastAsia="Arial" w:hAnsi="Arial"/>
                <w:b w:val="false"/>
                <w:bCs w:val="false"/>
                <w:color w:val="2C2C2A"/>
                <w:sz w:val="19"/>
                <w:szCs w:val="19"/>
              </w:rPr>
              <w:t xml:space="preserve">│   Rate limiting · Auth (JWT/OAuth2) · WAF · DDoS protection        │</w:t>
            </w:r>
          </w:p>
          <w:p>
            <w:pPr>
              <w:spacing w:after="20" w:before="20"/>
              <w:jc w:val="left"/>
            </w:pPr>
            <w:r>
              <w:rPr>
                <w:rFonts w:ascii="Arial" w:cs="Arial" w:eastAsia="Arial" w:hAnsi="Arial"/>
                <w:b w:val="false"/>
                <w:bCs w:val="false"/>
                <w:color w:val="2C2C2A"/>
                <w:sz w:val="19"/>
                <w:szCs w:val="19"/>
              </w:rPr>
              <w:t xml:space="preserve">│   GraphQL API  +  REST API  +  WebSocket (real-time updates)        │</w:t>
            </w:r>
          </w:p>
          <w:p>
            <w:pPr>
              <w:spacing w:after="20" w:before="20"/>
              <w:jc w:val="left"/>
            </w:pPr>
            <w:r>
              <w:rPr>
                <w:rFonts w:ascii="Arial" w:cs="Arial" w:eastAsia="Arial" w:hAnsi="Arial"/>
                <w:b w:val="false"/>
                <w:bCs w:val="false"/>
                <w:color w:val="2C2C2A"/>
                <w:sz w:val="19"/>
                <w:szCs w:val="19"/>
              </w:rPr>
              <w:t xml:space="preserve">└──────────────────────────┬──────────────────────────────────────────┘</w:t>
            </w:r>
          </w:p>
          <w:p>
            <w:pPr>
              <w:spacing w:after="20" w:before="20"/>
              <w:jc w:val="left"/>
            </w:pPr>
            <w:r>
              <w:rPr>
                <w:rFonts w:ascii="Arial" w:cs="Arial" w:eastAsia="Arial" w:hAnsi="Arial"/>
                <w:b w:val="false"/>
                <w:bCs w:val="false"/>
                <w:color w:val="2C2C2A"/>
                <w:sz w:val="19"/>
                <w:szCs w:val="19"/>
              </w:rPr>
              <w:t xml:space="preserve">                           │  mTLS (service mesh)</w:t>
            </w:r>
          </w:p>
          <w:p>
            <w:pPr>
              <w:spacing w:after="20" w:before="20"/>
              <w:jc w:val="left"/>
            </w:pPr>
            <w:r>
              <w:rPr>
                <w:rFonts w:ascii="Arial" w:cs="Arial" w:eastAsia="Arial" w:hAnsi="Arial"/>
                <w:b w:val="false"/>
                <w:bCs w:val="false"/>
                <w:color w:val="2C2C2A"/>
                <w:sz w:val="19"/>
                <w:szCs w:val="19"/>
              </w:rPr>
              <w:t xml:space="preserve">┌──────────────────────────▼──────────────────────────────────────────┐</w:t>
            </w:r>
          </w:p>
          <w:p>
            <w:pPr>
              <w:spacing w:after="20" w:before="20"/>
              <w:jc w:val="left"/>
            </w:pPr>
            <w:r>
              <w:rPr>
                <w:rFonts w:ascii="Arial" w:cs="Arial" w:eastAsia="Arial" w:hAnsi="Arial"/>
                <w:b w:val="false"/>
                <w:bCs w:val="false"/>
                <w:color w:val="2C2C2A"/>
                <w:sz w:val="19"/>
                <w:szCs w:val="19"/>
              </w:rPr>
              <w:t xml:space="preserve">│                   APPLICATION SERVICE LAYER                        │</w:t>
            </w:r>
          </w:p>
          <w:p>
            <w:pPr>
              <w:spacing w:after="20" w:before="20"/>
              <w:jc w:val="left"/>
            </w:pPr>
            <w:r>
              <w:rPr>
                <w:rFonts w:ascii="Arial" w:cs="Arial" w:eastAsia="Arial" w:hAnsi="Arial"/>
                <w:b w:val="false"/>
                <w:bCs w:val="false"/>
                <w:color w:val="2C2C2A"/>
                <w:sz w:val="19"/>
                <w:szCs w:val="19"/>
              </w:rPr>
              <w:t xml:space="preserve">│  Auth Service  │  Vault Service  │  Health Service │  Care Service  │</w:t>
            </w:r>
          </w:p>
          <w:p>
            <w:pPr>
              <w:spacing w:after="20" w:before="20"/>
              <w:jc w:val="left"/>
            </w:pPr>
            <w:r>
              <w:rPr>
                <w:rFonts w:ascii="Arial" w:cs="Arial" w:eastAsia="Arial" w:hAnsi="Arial"/>
                <w:b w:val="false"/>
                <w:bCs w:val="false"/>
                <w:color w:val="2C2C2A"/>
                <w:sz w:val="19"/>
                <w:szCs w:val="19"/>
              </w:rPr>
              <w:t xml:space="preserve">│  User Service  │  AI/ML Service  │  Notify Service │  Search Service│</w:t>
            </w:r>
          </w:p>
          <w:p>
            <w:pPr>
              <w:spacing w:after="20" w:before="20"/>
              <w:jc w:val="left"/>
            </w:pPr>
            <w:r>
              <w:rPr>
                <w:rFonts w:ascii="Arial" w:cs="Arial" w:eastAsia="Arial" w:hAnsi="Arial"/>
                <w:b w:val="false"/>
                <w:bCs w:val="false"/>
                <w:color w:val="2C2C2A"/>
                <w:sz w:val="19"/>
                <w:szCs w:val="19"/>
              </w:rPr>
              <w:t xml:space="preserve">│  Family Service│  Document Service│  Audit Service │  Media Service │</w:t>
            </w:r>
          </w:p>
          <w:p>
            <w:pPr>
              <w:spacing w:after="20" w:before="20"/>
              <w:jc w:val="left"/>
            </w:pPr>
            <w:r>
              <w:rPr>
                <w:rFonts w:ascii="Arial" w:cs="Arial" w:eastAsia="Arial" w:hAnsi="Arial"/>
                <w:b w:val="false"/>
                <w:bCs w:val="false"/>
                <w:color w:val="2C2C2A"/>
                <w:sz w:val="19"/>
                <w:szCs w:val="19"/>
              </w:rPr>
              <w:t xml:space="preserve">└──────────────────────────┬──────────────────────────────────────────┘</w:t>
            </w:r>
          </w:p>
          <w:p>
            <w:pPr>
              <w:spacing w:after="20" w:before="20"/>
              <w:jc w:val="left"/>
            </w:pPr>
            <w:r>
              <w:rPr>
                <w:rFonts w:ascii="Arial" w:cs="Arial" w:eastAsia="Arial" w:hAnsi="Arial"/>
                <w:b w:val="false"/>
                <w:bCs w:val="false"/>
                <w:color w:val="2C2C2A"/>
                <w:sz w:val="19"/>
                <w:szCs w:val="19"/>
              </w:rPr>
              <w:t xml:space="preserve">                           │</w:t>
            </w:r>
          </w:p>
          <w:p>
            <w:pPr>
              <w:spacing w:after="20" w:before="20"/>
              <w:jc w:val="left"/>
            </w:pPr>
            <w:r>
              <w:rPr>
                <w:rFonts w:ascii="Arial" w:cs="Arial" w:eastAsia="Arial" w:hAnsi="Arial"/>
                <w:b w:val="false"/>
                <w:bCs w:val="false"/>
                <w:color w:val="2C2C2A"/>
                <w:sz w:val="19"/>
                <w:szCs w:val="19"/>
              </w:rPr>
              <w:t xml:space="preserve">┌──────────────────────────▼──────────────────────────────────────────┐</w:t>
            </w:r>
          </w:p>
          <w:p>
            <w:pPr>
              <w:spacing w:after="20" w:before="20"/>
              <w:jc w:val="left"/>
            </w:pPr>
            <w:r>
              <w:rPr>
                <w:rFonts w:ascii="Arial" w:cs="Arial" w:eastAsia="Arial" w:hAnsi="Arial"/>
                <w:b w:val="false"/>
                <w:bCs w:val="false"/>
                <w:color w:val="2C2C2A"/>
                <w:sz w:val="19"/>
                <w:szCs w:val="19"/>
              </w:rPr>
              <w:t xml:space="preserve">│                       DATA LAYER                                   │</w:t>
            </w:r>
          </w:p>
          <w:p>
            <w:pPr>
              <w:spacing w:after="20" w:before="20"/>
              <w:jc w:val="left"/>
            </w:pPr>
            <w:r>
              <w:rPr>
                <w:rFonts w:ascii="Arial" w:cs="Arial" w:eastAsia="Arial" w:hAnsi="Arial"/>
                <w:b w:val="false"/>
                <w:bCs w:val="false"/>
                <w:color w:val="2C2C2A"/>
                <w:sz w:val="19"/>
                <w:szCs w:val="19"/>
              </w:rPr>
              <w:t xml:space="preserve">│  PostgreSQL (primary)  │  Redis (cache/sessions)  │  Elasticsearch  │</w:t>
            </w:r>
          </w:p>
          <w:p>
            <w:pPr>
              <w:spacing w:after="20" w:before="20"/>
              <w:jc w:val="left"/>
            </w:pPr>
            <w:r>
              <w:rPr>
                <w:rFonts w:ascii="Arial" w:cs="Arial" w:eastAsia="Arial" w:hAnsi="Arial"/>
                <w:b w:val="false"/>
                <w:bCs w:val="false"/>
                <w:color w:val="2C2C2A"/>
                <w:sz w:val="19"/>
                <w:szCs w:val="19"/>
              </w:rPr>
              <w:t xml:space="preserve">│  S3-compatible blob    │  Vector DB (AI context)  │  Audit log (S3) │</w:t>
            </w:r>
          </w:p>
          <w:p>
            <w:pPr>
              <w:spacing w:after="20" w:before="20"/>
              <w:jc w:val="left"/>
            </w:pPr>
            <w:r>
              <w:rPr>
                <w:rFonts w:ascii="Arial" w:cs="Arial" w:eastAsia="Arial" w:hAnsi="Arial"/>
                <w:b w:val="false"/>
                <w:bCs w:val="false"/>
                <w:color w:val="2C2C2A"/>
                <w:sz w:val="19"/>
                <w:szCs w:val="19"/>
              </w:rPr>
              <w:t xml:space="preserve">└─────────────────────────────────────────────────────────────────────┘</w:t>
            </w:r>
          </w:p>
          <w:p>
            <w:pPr>
              <w:spacing w:after="20" w:before="20"/>
              <w:jc w:val="left"/>
            </w:pPr>
            <w:r>
              <w:rPr>
                <w:rFonts w:ascii="Arial" w:cs="Arial" w:eastAsia="Arial" w:hAnsi="Arial"/>
                <w:b w:val="false"/>
                <w:bCs w:val="false"/>
                <w:color w:val="2C2C2A"/>
                <w:sz w:val="19"/>
                <w:szCs w:val="19"/>
              </w:rPr>
              <w:t xml:space="preserve">                           │</w:t>
            </w:r>
          </w:p>
          <w:p>
            <w:pPr>
              <w:spacing w:after="20" w:before="20"/>
              <w:jc w:val="left"/>
            </w:pPr>
            <w:r>
              <w:rPr>
                <w:rFonts w:ascii="Arial" w:cs="Arial" w:eastAsia="Arial" w:hAnsi="Arial"/>
                <w:b w:val="false"/>
                <w:bCs w:val="false"/>
                <w:color w:val="2C2C2A"/>
                <w:sz w:val="19"/>
                <w:szCs w:val="19"/>
              </w:rPr>
              <w:t xml:space="preserve">┌──────────────────────────▼──────────────────────────────────────────┐</w:t>
            </w:r>
          </w:p>
          <w:p>
            <w:pPr>
              <w:spacing w:after="20" w:before="20"/>
              <w:jc w:val="left"/>
            </w:pPr>
            <w:r>
              <w:rPr>
                <w:rFonts w:ascii="Arial" w:cs="Arial" w:eastAsia="Arial" w:hAnsi="Arial"/>
                <w:b w:val="false"/>
                <w:bCs w:val="false"/>
                <w:color w:val="2C2C2A"/>
                <w:sz w:val="19"/>
                <w:szCs w:val="19"/>
              </w:rPr>
              <w:t xml:space="preserve">│                    AI / ML SERVICE LAYER                           │</w:t>
            </w:r>
          </w:p>
          <w:p>
            <w:pPr>
              <w:spacing w:after="20" w:before="20"/>
              <w:jc w:val="left"/>
            </w:pPr>
            <w:r>
              <w:rPr>
                <w:rFonts w:ascii="Arial" w:cs="Arial" w:eastAsia="Arial" w:hAnsi="Arial"/>
                <w:b w:val="false"/>
                <w:bCs w:val="false"/>
                <w:color w:val="2C2C2A"/>
                <w:sz w:val="19"/>
                <w:szCs w:val="19"/>
              </w:rPr>
              <w:t xml:space="preserve">│  LLM gateway (Anthropic Claude)  │  Document OCR/parsing           │</w:t>
            </w:r>
          </w:p>
          <w:p>
            <w:pPr>
              <w:spacing w:after="20" w:before="20"/>
              <w:jc w:val="left"/>
            </w:pPr>
            <w:r>
              <w:rPr>
                <w:rFonts w:ascii="Arial" w:cs="Arial" w:eastAsia="Arial" w:hAnsi="Arial"/>
                <w:b w:val="false"/>
                <w:bCs w:val="false"/>
                <w:color w:val="2C2C2A"/>
                <w:sz w:val="19"/>
                <w:szCs w:val="19"/>
              </w:rPr>
              <w:t xml:space="preserve">│  Drug interaction DB connector   │  Personalization engine          │</w:t>
            </w:r>
          </w:p>
          <w:p>
            <w:pPr>
              <w:spacing w:after="20" w:before="20"/>
              <w:jc w:val="left"/>
            </w:pPr>
            <w:r>
              <w:rPr>
                <w:rFonts w:ascii="Arial" w:cs="Arial" w:eastAsia="Arial" w:hAnsi="Arial"/>
                <w:b w:val="false"/>
                <w:bCs w:val="false"/>
                <w:color w:val="2C2C2A"/>
                <w:sz w:val="19"/>
                <w:szCs w:val="19"/>
              </w:rPr>
              <w:t xml:space="preserve">│  Vector embedding service        │  Content recommendation          │</w:t>
            </w:r>
          </w:p>
          <w:p>
            <w:pPr>
              <w:spacing w:after="20" w:before="20"/>
              <w:jc w:val="left"/>
            </w:pPr>
            <w:r>
              <w:rPr>
                <w:rFonts w:ascii="Arial" w:cs="Arial" w:eastAsia="Arial" w:hAnsi="Arial"/>
                <w:b w:val="false"/>
                <w:bCs w:val="false"/>
                <w:color w:val="2C2C2A"/>
                <w:sz w:val="19"/>
                <w:szCs w:val="19"/>
              </w:rPr>
              <w:t xml:space="preserve">└─────────────────────────────────────────────────────────────────────┘</w:t>
            </w:r>
          </w:p>
        </w:tc>
      </w:tr>
    </w:tbl>
    <w:p>
      <w:pPr>
        <w:spacing w:after="0" w:before="20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Layer</w:t>
            </w:r>
          </w:p>
        </w:tc>
        <w:tc>
          <w:tcPr>
            <w:tcW w:type="dxa" w:w="3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Technology</w:t>
            </w:r>
          </w:p>
        </w:tc>
        <w:tc>
          <w:tcPr>
            <w:tcW w:type="dxa" w:w="41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Frontend web</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Next.js 14 (React), TypeScript, Tailwind CSS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SSR for accessibility &amp; SEO; type safety; rapid UI iteration</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Mobile — iOS</w:t>
            </w:r>
          </w:p>
        </w:tc>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Swift / SwiftUI, with React Native bridge for shared logic</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Native performance; accessibility APIs; biometric auth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Mobile — Android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Kotlin / Jetpack Compose, React Native bridge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Native accessibility; material design accessibility components</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API gateway</w:t>
            </w:r>
          </w:p>
        </w:tc>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AWS API Gateway + CloudFront CDN</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Managed scaling; WAF integration; DDoS protection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Backend services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Node.js (TypeScript) microservices on AWS ECS Fargate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Serverless-ready; stateless; easy horizontal scaling</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Primary database</w:t>
            </w:r>
          </w:p>
        </w:tc>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PostgreSQL (AWS RDS Aurora Serverless v2)</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ACID compliance; row-level security; proven reliability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Cache / sessions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Redis (AWS ElastiCache)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Sub-millisecond session lookups; pub/sub for real-time</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Document storage</w:t>
            </w:r>
          </w:p>
        </w:tc>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AWS S3 with server-side encryption (SSE-KMS)</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Durable; versioned; lifecycle policies; HIPAA-eligible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Search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Elasticsearch (AWS OpenSearch)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Full-text search across documents and content library</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AI / LLM</w:t>
            </w:r>
          </w:p>
        </w:tc>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Anthropic Claude API (claude-sonnet-4-20250514)</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Document analysis, Q&amp;A, conversation prep, summaries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Vector database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Pinecone (or pgvector for lower scale)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Semantic search; AI context retrieval; RAG pipeline</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Background jobs</w:t>
            </w:r>
          </w:p>
        </w:tc>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AWS SQS + Lambda (event-driven workers)</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Decoupled async processing; retry logic; dead letter queues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Notifications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AWS SNS + Firebase FCM + SendGrid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Push (mobile), email, and in-app notification routing</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Auth</w:t>
            </w:r>
          </w:p>
        </w:tc>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Auth0 (or AWS Cognito) + FIDO2/WebAuthn</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Battle-tested; MFA; social login; HIPAA-configurable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Infrastructure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AWS (primary) + Terraform IaC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Repeatability; drift detection; multi-environment parity</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Observability</w:t>
            </w:r>
          </w:p>
        </w:tc>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Datadog APM + structured logging (JSON) + PagerDuty</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Full-stack tracing; alerting; on-call escalation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CI/CD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GitHub Actions + ArgoCD (GitOps)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Automated testing gates; progressive rollouts; rollback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80"/>
              <w:left w:type="dxa" w:w="280"/>
              <w:bottom w:type="dxa" w:w="180"/>
              <w:right w:type="dxa" w:w="280"/>
            </w:tcMar>
          </w:tcPr>
          <w:p>
            <w:pPr>
              <w:spacing w:after="40" w:before="60"/>
              <w:jc w:val="left"/>
            </w:pPr>
            <w:r>
              <w:rPr>
                <w:rFonts w:ascii="Arial" w:cs="Arial" w:eastAsia="Arial" w:hAnsi="Arial"/>
                <w:b/>
                <w:bCs/>
                <w:color w:val="0C447C"/>
                <w:sz w:val="30"/>
                <w:szCs w:val="30"/>
              </w:rPr>
              <w:t xml:space="preserve">2.  Usability &amp; UX architecture</w:t>
            </w:r>
          </w:p>
          <w:p>
            <w:pPr>
              <w:spacing w:after="60" w:before="60"/>
              <w:jc w:val="left"/>
            </w:pPr>
            <w:r>
              <w:rPr>
                <w:rFonts w:ascii="Arial" w:cs="Arial" w:eastAsia="Arial" w:hAnsi="Arial"/>
                <w:b w:val="false"/>
                <w:bCs w:val="false"/>
                <w:color w:val="0C447C"/>
                <w:sz w:val="20"/>
                <w:szCs w:val="20"/>
              </w:rPr>
              <w:t xml:space="preserve">Designing for caregivers under stress, at 3am, on a phone</w:t>
            </w:r>
          </w:p>
        </w:tc>
      </w:tr>
    </w:tbl>
    <w:p>
      <w:pPr>
        <w:spacing w:after="0" w:before="120"/>
      </w:pPr>
      <w:r>
        <w:rPr>
          <w:rFonts w:ascii="Arial" w:cs="Arial" w:eastAsia="Arial" w:hAnsi="Arial"/>
          <w:b w:val="false"/>
          <w:bCs w:val="false"/>
          <w:color w:val="1A1A1A"/>
          <w:sz w:val="22"/>
          <w:szCs w:val="22"/>
        </w:rPr>
        <w:t xml:space="preserve"/>
      </w:r>
    </w:p>
    <w:p>
      <w:pPr>
        <w:spacing w:after="80" w:before="60"/>
        <w:jc w:val="left"/>
      </w:pPr>
      <w:r>
        <w:rPr>
          <w:rFonts w:ascii="Arial" w:cs="Arial" w:eastAsia="Arial" w:hAnsi="Arial"/>
          <w:b w:val="false"/>
          <w:bCs w:val="false"/>
          <w:color w:val="1A1A1A"/>
          <w:sz w:val="22"/>
          <w:szCs w:val="22"/>
        </w:rPr>
        <w:t xml:space="preserve">The Aging Gracefully user is typically a middle-aged adult who is overwhelmed, time-poor, and often using the platform during or immediately after a stressful event. Usability is not a polish layer — it is a core safety feature. The platform must be operable by someone who is emotionally distressed, sleep-deprived, and possibly on a slow mobile connection in a hospital waiting room.</w:t>
      </w:r>
    </w:p>
    <w:p>
      <w:pPr>
        <w:spacing w:after="0" w:before="12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2.1  Usability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Principle</w:t>
            </w:r>
          </w:p>
        </w:tc>
        <w:tc>
          <w:tcPr>
            <w:tcW w:type="dxa" w:w="71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What it means in practice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bCs/>
                <w:color w:val="185FA5"/>
                <w:sz w:val="20"/>
                <w:szCs w:val="20"/>
              </w:rPr>
              <w:t xml:space="preserve">Stress-state design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Assume the user is in a high-stress state. Reduce cognitive load at every step. No hidden menus, no multi-step flows for critical actions, no jargon.</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bCs/>
                <w:color w:val="185FA5"/>
                <w:sz w:val="20"/>
                <w:szCs w:val="20"/>
              </w:rPr>
              <w:t xml:space="preserve">Progressive disclosure</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Show the minimum necessary information at each step. Detail is available on demand, never forced. Dashboards show status, not data dumps.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bCs/>
                <w:color w:val="185FA5"/>
                <w:sz w:val="20"/>
                <w:szCs w:val="20"/>
              </w:rPr>
              <w:t xml:space="preserve">Graceful error handling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Every error message tells the user exactly what went wrong and precisely what to do next. No technical error codes visible to end users.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bCs/>
                <w:color w:val="185FA5"/>
                <w:sz w:val="20"/>
                <w:szCs w:val="20"/>
              </w:rPr>
              <w:t xml:space="preserve">Confirmation over assumption</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Destructive actions (delete, revoke access, archive) require explicit confirmation with a plain-English description of consequences.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bCs/>
                <w:color w:val="185FA5"/>
                <w:sz w:val="20"/>
                <w:szCs w:val="20"/>
              </w:rPr>
              <w:t xml:space="preserve">Consistent navigation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Navigation structure is identical across web and mobile. Users who know the web app can immediately orient themselves on mobile.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bCs/>
                <w:color w:val="185FA5"/>
                <w:sz w:val="20"/>
                <w:szCs w:val="20"/>
              </w:rPr>
              <w:t xml:space="preserve">Offline-tolerant</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Core document access, medication lists, and emergency contacts are cached locally. The app never presents a blank screen when offline.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bCs/>
                <w:color w:val="185FA5"/>
                <w:sz w:val="20"/>
                <w:szCs w:val="20"/>
              </w:rPr>
              <w:t xml:space="preserve">No dead ends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Every screen has a visible path forward or backward. No screen should leave the user stranded with no clear next action.</w:t>
            </w:r>
          </w:p>
        </w:tc>
      </w:tr>
    </w:tbl>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2.2  Information architecture</w:t>
      </w:r>
    </w:p>
    <w:p>
      <w:pPr>
        <w:spacing w:after="80" w:before="60"/>
        <w:jc w:val="left"/>
      </w:pPr>
      <w:r>
        <w:rPr>
          <w:rFonts w:ascii="Arial" w:cs="Arial" w:eastAsia="Arial" w:hAnsi="Arial"/>
          <w:b w:val="false"/>
          <w:bCs w:val="false"/>
          <w:color w:val="1A1A1A"/>
          <w:sz w:val="22"/>
          <w:szCs w:val="22"/>
        </w:rPr>
        <w:t xml:space="preserve">The platform is organized around people (profiles), not features. Users navigate to 'Mom's profile' and find everything related to her — documents, health data, care research, tasks — rather than navigating to 'documents' and filtering by person.</w:t>
      </w:r>
    </w:p>
    <w:p>
      <w:pPr>
        <w:spacing w:after="0" w:before="80"/>
      </w:pPr>
      <w:r>
        <w:rPr>
          <w:rFonts w:ascii="Arial" w:cs="Arial" w:eastAsia="Arial" w:hAnsi="Arial"/>
          <w:b w:val="false"/>
          <w:bCs w:val="false"/>
          <w:color w:val="1A1A1A"/>
          <w:sz w:val="22"/>
          <w:szCs w:val="22"/>
        </w:rPr>
        <w:t xml:space="preserve"/>
      </w:r>
    </w:p>
    <w:p>
      <w:pPr>
        <w:pStyle w:val="Heading3"/>
        <w:spacing w:after="60" w:before="200"/>
      </w:pPr>
      <w:r>
        <w:rPr>
          <w:rFonts w:ascii="Arial" w:cs="Arial" w:eastAsia="Arial" w:hAnsi="Arial"/>
          <w:b/>
          <w:bCs/>
          <w:color w:val="1A1A1A"/>
          <w:sz w:val="23"/>
          <w:szCs w:val="23"/>
        </w:rPr>
        <w:t xml:space="preserve">Primary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rPr>
          <w:tblHeader/>
        </w:trPr>
        <w:tc>
          <w:tcPr>
            <w:tcW w:type="dxa" w:w="1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Nav item</w:t>
            </w:r>
          </w:p>
        </w:tc>
        <w:tc>
          <w:tcPr>
            <w:tcW w:type="dxa" w:w="47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What it contains</w:t>
            </w:r>
          </w:p>
        </w:tc>
        <w:tc>
          <w:tcPr>
            <w:tcW w:type="dxa" w:w="2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Entry point for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Home / Dashboard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Personalized feed: upcoming tasks, alerts, recent updates, AI nudges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Daily return visits; situation awareness</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Family profiles</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Each care recipient's hub: documents, health, care plan, care log</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All care recipient-specific work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My plan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User's own aging plan, documents, advance directives, preferences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Self-planning module</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Research</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Care Finder, insurance guides, stage navigator content library</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Decision-making and research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Family workspace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Shared tasks, care log, family messaging, sibling coordination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Coordination and delegation</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AI assistant</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Persistent chat interface; accessible from any screen via floating action button</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Q&amp;A, document queries, prep help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Vault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Cross-profile document view; bulk operations; storage management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Document-centric workflows</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Settings</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Account, notifications, permissions, billing, security, integrations</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Configuration; infrequent use</w:t>
            </w:r>
          </w:p>
        </w:tc>
      </w:tr>
    </w:tbl>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2.3  Onboarding flow design</w:t>
      </w:r>
    </w:p>
    <w:p>
      <w:pPr>
        <w:spacing w:after="80" w:before="60"/>
        <w:jc w:val="left"/>
      </w:pPr>
      <w:r>
        <w:rPr>
          <w:rFonts w:ascii="Arial" w:cs="Arial" w:eastAsia="Arial" w:hAnsi="Arial"/>
          <w:b w:val="false"/>
          <w:bCs w:val="false"/>
          <w:color w:val="1A1A1A"/>
          <w:sz w:val="22"/>
          <w:szCs w:val="22"/>
        </w:rPr>
        <w:t xml:space="preserve">Onboarding is the most critical UX moment. Users arrive in one of three states: (a) acute crisis — a parent just had a health event; (b) anticipatory — things are fine but getting harder; (c) self-planning — no parent situation, thinking about their own future. The onboarding flow must detect and branch for each.</w:t>
      </w:r>
    </w:p>
    <w:p>
      <w:pPr>
        <w:spacing w:after="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5060"/>
      </w:tblGrid>
      <w:tr>
        <w:trPr>
          <w:tblHeader/>
        </w:trPr>
        <w:tc>
          <w:tcPr>
            <w:tcW w:type="dxa" w:w="5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Step</w:t>
            </w:r>
          </w:p>
        </w:tc>
        <w:tc>
          <w:tcPr>
            <w:tcW w:type="dxa" w:w="3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Screen / interaction</w:t>
            </w:r>
          </w:p>
        </w:tc>
        <w:tc>
          <w:tcPr>
            <w:tcW w:type="dxa" w:w="50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Design rationale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Why are you here today? (3 options: I'm helping a parent, I'm planning for myself, Both)</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Route to appropriate first experience; don't force one path</w:t>
            </w:r>
          </w:p>
        </w:tc>
      </w:tr>
      <w:tr>
        <w:tc>
          <w:tcPr>
            <w:tcW w:type="dxa" w:w="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2</w:t>
            </w:r>
          </w:p>
        </w:tc>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Who are you caring for? Name + relationship only — no medical data yet</w:t>
            </w:r>
          </w:p>
        </w:tc>
        <w:tc>
          <w:tcPr>
            <w:tcW w:type="dxa" w:w="5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Low-friction start; build trust before asking for sensitive info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The document gap check: 5-question checklist ('Do you have a POA? A will? Insurance info?')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Immediate value demonstration; users see gaps they didn't know existed</w:t>
            </w:r>
          </w:p>
        </w:tc>
      </w:tr>
      <w:tr>
        <w:tc>
          <w:tcPr>
            <w:tcW w:type="dxa" w:w="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4</w:t>
            </w:r>
          </w:p>
        </w:tc>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Upload your first document (pre-labeled suggestions based on gap check)</w:t>
            </w:r>
          </w:p>
        </w:tc>
        <w:tc>
          <w:tcPr>
            <w:tcW w:type="dxa" w:w="5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First tangible vault action; momentum toward completion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Invite a family member (optional but encouraged)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Network effect; increases retention; surfaces collaboration value</w:t>
            </w:r>
          </w:p>
        </w:tc>
      </w:tr>
      <w:tr>
        <w:tc>
          <w:tcPr>
            <w:tcW w:type="dxa" w:w="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6</w:t>
            </w:r>
          </w:p>
        </w:tc>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Set your first reminder (medication, appointment, or document renewal)</w:t>
            </w:r>
          </w:p>
        </w:tc>
        <w:tc>
          <w:tcPr>
            <w:tcW w:type="dxa" w:w="5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Establishes notification permission and habitual return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Personalized home dashboard — showing gap checklist progress + AI greeting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Immediate orientation to the platform's ongoing value proposition</w:t>
            </w:r>
          </w:p>
        </w:tc>
      </w:tr>
    </w:tbl>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2.4  Mobile UX requirements</w:t>
      </w:r>
    </w:p>
    <w:p>
      <w:pPr>
        <w:pStyle w:val="ListParagraph"/>
        <w:numPr>
          <w:ilvl w:val="0"/>
          <w:numId w:val="2"/>
        </w:numPr>
        <w:spacing w:after="40" w:before="40"/>
      </w:pPr>
      <w:r>
        <w:rPr>
          <w:rFonts w:ascii="Arial" w:cs="Arial" w:eastAsia="Arial" w:hAnsi="Arial"/>
          <w:b w:val="false"/>
          <w:bCs w:val="false"/>
          <w:color w:val="1A1A1A"/>
          <w:sz w:val="21"/>
          <w:szCs w:val="21"/>
        </w:rPr>
        <w:t xml:space="preserve">Minimum touch target size: 44×44px on all interactive elements (Apple HIG standard)</w:t>
      </w:r>
    </w:p>
    <w:p>
      <w:pPr>
        <w:pStyle w:val="ListParagraph"/>
        <w:numPr>
          <w:ilvl w:val="0"/>
          <w:numId w:val="2"/>
        </w:numPr>
        <w:spacing w:after="40" w:before="40"/>
      </w:pPr>
      <w:r>
        <w:rPr>
          <w:rFonts w:ascii="Arial" w:cs="Arial" w:eastAsia="Arial" w:hAnsi="Arial"/>
          <w:b w:val="false"/>
          <w:bCs w:val="false"/>
          <w:color w:val="1A1A1A"/>
          <w:sz w:val="21"/>
          <w:szCs w:val="21"/>
        </w:rPr>
        <w:t xml:space="preserve">Primary actions reachable with one thumb — critical controls in bottom 60% of screen</w:t>
      </w:r>
    </w:p>
    <w:p>
      <w:pPr>
        <w:pStyle w:val="ListParagraph"/>
        <w:numPr>
          <w:ilvl w:val="0"/>
          <w:numId w:val="2"/>
        </w:numPr>
        <w:spacing w:after="40" w:before="40"/>
      </w:pPr>
      <w:r>
        <w:rPr>
          <w:rFonts w:ascii="Arial" w:cs="Arial" w:eastAsia="Arial" w:hAnsi="Arial"/>
          <w:b w:val="false"/>
          <w:bCs w:val="false"/>
          <w:color w:val="1A1A1A"/>
          <w:sz w:val="21"/>
          <w:szCs w:val="21"/>
        </w:rPr>
        <w:t xml:space="preserve">No horizontal scrolling on any primary content surface</w:t>
      </w:r>
    </w:p>
    <w:p>
      <w:pPr>
        <w:pStyle w:val="ListParagraph"/>
        <w:numPr>
          <w:ilvl w:val="0"/>
          <w:numId w:val="2"/>
        </w:numPr>
        <w:spacing w:after="40" w:before="40"/>
      </w:pPr>
      <w:r>
        <w:rPr>
          <w:rFonts w:ascii="Arial" w:cs="Arial" w:eastAsia="Arial" w:hAnsi="Arial"/>
          <w:b w:val="false"/>
          <w:bCs w:val="false"/>
          <w:color w:val="1A1A1A"/>
          <w:sz w:val="21"/>
          <w:szCs w:val="21"/>
        </w:rPr>
        <w:t xml:space="preserve">Form fields: large font (minimum 16px to prevent iOS zoom), generous tap targets, auto-fill support</w:t>
      </w:r>
    </w:p>
    <w:p>
      <w:pPr>
        <w:pStyle w:val="ListParagraph"/>
        <w:numPr>
          <w:ilvl w:val="0"/>
          <w:numId w:val="2"/>
        </w:numPr>
        <w:spacing w:after="40" w:before="40"/>
      </w:pPr>
      <w:r>
        <w:rPr>
          <w:rFonts w:ascii="Arial" w:cs="Arial" w:eastAsia="Arial" w:hAnsi="Arial"/>
          <w:b w:val="false"/>
          <w:bCs w:val="false"/>
          <w:color w:val="1A1A1A"/>
          <w:sz w:val="21"/>
          <w:szCs w:val="21"/>
        </w:rPr>
        <w:t xml:space="preserve">Emergency share packet accessible in maximum 3 taps from home screen</w:t>
      </w:r>
    </w:p>
    <w:p>
      <w:pPr>
        <w:pStyle w:val="ListParagraph"/>
        <w:numPr>
          <w:ilvl w:val="0"/>
          <w:numId w:val="2"/>
        </w:numPr>
        <w:spacing w:after="40" w:before="40"/>
      </w:pPr>
      <w:r>
        <w:rPr>
          <w:rFonts w:ascii="Arial" w:cs="Arial" w:eastAsia="Arial" w:hAnsi="Arial"/>
          <w:b w:val="false"/>
          <w:bCs w:val="false"/>
          <w:color w:val="1A1A1A"/>
          <w:sz w:val="21"/>
          <w:szCs w:val="21"/>
        </w:rPr>
        <w:t xml:space="preserve">Biometric authentication (Face ID / Touch ID / Fingerprint) as the default unlock method</w:t>
      </w:r>
    </w:p>
    <w:p>
      <w:pPr>
        <w:pStyle w:val="ListParagraph"/>
        <w:numPr>
          <w:ilvl w:val="0"/>
          <w:numId w:val="2"/>
        </w:numPr>
        <w:spacing w:after="40" w:before="40"/>
      </w:pPr>
      <w:r>
        <w:rPr>
          <w:rFonts w:ascii="Arial" w:cs="Arial" w:eastAsia="Arial" w:hAnsi="Arial"/>
          <w:b w:val="false"/>
          <w:bCs w:val="false"/>
          <w:color w:val="1A1A1A"/>
          <w:sz w:val="21"/>
          <w:szCs w:val="21"/>
        </w:rPr>
        <w:t xml:space="preserve">Haptic feedback on destructive actions and confirmation events</w:t>
      </w:r>
    </w:p>
    <w:p>
      <w:pPr>
        <w:pStyle w:val="ListParagraph"/>
        <w:numPr>
          <w:ilvl w:val="0"/>
          <w:numId w:val="2"/>
        </w:numPr>
        <w:spacing w:after="40" w:before="40"/>
      </w:pPr>
      <w:r>
        <w:rPr>
          <w:rFonts w:ascii="Arial" w:cs="Arial" w:eastAsia="Arial" w:hAnsi="Arial"/>
          <w:b w:val="false"/>
          <w:bCs w:val="false"/>
          <w:color w:val="1A1A1A"/>
          <w:sz w:val="21"/>
          <w:szCs w:val="21"/>
        </w:rPr>
        <w:t xml:space="preserve">Document scanning via device camera with auto-crop, perspective correction, and OCR</w:t>
      </w:r>
    </w:p>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2.5  Performance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Metric</w:t>
            </w:r>
          </w:p>
        </w:tc>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Target</w:t>
            </w:r>
          </w:p>
        </w:tc>
        <w:tc>
          <w:tcPr>
            <w:tcW w:type="dxa" w:w="43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First Contentful Paint (FCP)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&lt; 1.5s on 4G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User sees content quickly; critical for high-stress moments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Largest Contentful Paint (LCP)</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&lt; 2.5s on 4G</w:t>
            </w:r>
          </w:p>
        </w:tc>
        <w:tc>
          <w:tcPr>
            <w:tcW w:type="dxa" w:w="4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Core Web Vitals pass; search ranking; perceived completeness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Time to Interactive (TTI)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&lt; 3.5s on 4G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User can interact before full hydration completes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Cumulative Layout Shift (CLS)</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&lt; 0.1</w:t>
            </w:r>
          </w:p>
        </w:tc>
        <w:tc>
          <w:tcPr>
            <w:tcW w:type="dxa" w:w="4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No jarring layout shifts; important for older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Document upload throughput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100MB file in &lt; 30s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Supports scanned PDF packets; progress indicator required</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AI response latency (P95)</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&lt; 4s first token</w:t>
            </w:r>
          </w:p>
        </w:tc>
        <w:tc>
          <w:tcPr>
            <w:tcW w:type="dxa" w:w="4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Streaming response; skeleton loader while 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Offline cache size (mobile)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Up to 500MB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Sufficient for complete vault snapshot on most devices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App bundle size (initial load)</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&lt; 250KB JS (gzipped)</w:t>
            </w:r>
          </w:p>
        </w:tc>
        <w:tc>
          <w:tcPr>
            <w:tcW w:type="dxa" w:w="4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Fast first load on slow connections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80"/>
              <w:left w:type="dxa" w:w="280"/>
              <w:bottom w:type="dxa" w:w="180"/>
              <w:right w:type="dxa" w:w="280"/>
            </w:tcMar>
          </w:tcPr>
          <w:p>
            <w:pPr>
              <w:spacing w:after="40" w:before="60"/>
              <w:jc w:val="left"/>
            </w:pPr>
            <w:r>
              <w:rPr>
                <w:rFonts w:ascii="Arial" w:cs="Arial" w:eastAsia="Arial" w:hAnsi="Arial"/>
                <w:b/>
                <w:bCs/>
                <w:color w:val="27500A"/>
                <w:sz w:val="30"/>
                <w:szCs w:val="30"/>
              </w:rPr>
              <w:t xml:space="preserve">3.  Accessibility architecture</w:t>
            </w:r>
          </w:p>
          <w:p>
            <w:pPr>
              <w:spacing w:after="60" w:before="60"/>
              <w:jc w:val="left"/>
            </w:pPr>
            <w:r>
              <w:rPr>
                <w:rFonts w:ascii="Arial" w:cs="Arial" w:eastAsia="Arial" w:hAnsi="Arial"/>
                <w:b w:val="false"/>
                <w:bCs w:val="false"/>
                <w:color w:val="27500A"/>
                <w:sz w:val="20"/>
                <w:szCs w:val="20"/>
              </w:rPr>
              <w:t xml:space="preserve">WCAG 2.2 AA as a baseline — designing for aging users and diverse abilities</w:t>
            </w:r>
          </w:p>
        </w:tc>
      </w:tr>
    </w:tbl>
    <w:p>
      <w:pPr>
        <w:spacing w:after="0" w:before="120"/>
      </w:pPr>
      <w:r>
        <w:rPr>
          <w:rFonts w:ascii="Arial" w:cs="Arial" w:eastAsia="Arial" w:hAnsi="Arial"/>
          <w:b w:val="false"/>
          <w:bCs w:val="false"/>
          <w:color w:val="1A1A1A"/>
          <w:sz w:val="22"/>
          <w:szCs w:val="22"/>
        </w:rPr>
        <w:t xml:space="preserve"/>
      </w:r>
    </w:p>
    <w:p>
      <w:pPr>
        <w:spacing w:after="80" w:before="60"/>
        <w:jc w:val="left"/>
      </w:pPr>
      <w:r>
        <w:rPr>
          <w:rFonts w:ascii="Arial" w:cs="Arial" w:eastAsia="Arial" w:hAnsi="Arial"/>
          <w:b w:val="false"/>
          <w:bCs w:val="false"/>
          <w:color w:val="1A1A1A"/>
          <w:sz w:val="22"/>
          <w:szCs w:val="22"/>
        </w:rPr>
        <w:t xml:space="preserve">The primary users of this platform are middle-aged and older adults, many of whom may have age-related changes in vision, hearing, motor control, or cognitive processing. Their care recipients — the elderly parents — may also interact with parts of the platform. Accessibility is not an edge case; it is central to the product's mission.</w:t>
      </w:r>
    </w:p>
    <w:p>
      <w:pPr>
        <w:spacing w:after="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20"/>
              <w:left w:type="dxa" w:w="200"/>
              <w:bottom w:type="dxa" w:w="120"/>
              <w:right w:type="dxa" w:w="200"/>
            </w:tcMar>
          </w:tcPr>
          <w:p>
            <w:pPr>
              <w:spacing w:after="60" w:before="60"/>
              <w:jc w:val="left"/>
            </w:pPr>
            <w:r>
              <w:rPr>
                <w:rFonts w:ascii="Arial" w:cs="Arial" w:eastAsia="Arial" w:hAnsi="Arial"/>
                <w:b w:val="false"/>
                <w:bCs w:val="false"/>
                <w:color w:val="27500A"/>
                <w:sz w:val="21"/>
                <w:szCs w:val="21"/>
              </w:rPr>
              <w:t xml:space="preserve">Regulatory context: WCAG 2.2 Level AA compliance is required. The platform also targets Section 508 compliance for any federal benefits or healthcare integrations, and aligns with the European Accessibility Act (EAA) for future EU expansion. All accessibility decisions are auditable and documented.</w:t>
            </w:r>
          </w:p>
        </w:tc>
      </w:tr>
    </w:tbl>
    <w:p>
      <w:pPr>
        <w:spacing w:after="0" w:before="12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3.1  WCAG 2.2 AA requirements by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WCAG principle</w:t>
            </w:r>
          </w:p>
        </w:tc>
        <w:tc>
          <w:tcPr>
            <w:tcW w:type="dxa" w:w="3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Key requirements</w:t>
            </w:r>
          </w:p>
        </w:tc>
        <w:tc>
          <w:tcPr>
            <w:tcW w:type="dxa" w:w="41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Implementation specifics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bCs/>
                <w:color w:val="1A1A1A"/>
                <w:sz w:val="20"/>
                <w:szCs w:val="20"/>
              </w:rPr>
              <w:t xml:space="preserve">Perceivable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All non-text content has text alternatives. Color is never the sole means of conveying information. Audio/video has captions. Text can be resized to 200% without loss of functionality.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Alt text policy for all images/icons; color + icon + text for all status indicators; contrast ratio ≥ 4.5:1 for normal text, ≥ 3:1 for large text; no JPEG compression on document scans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bCs/>
                <w:color w:val="1A1A1A"/>
                <w:sz w:val="20"/>
                <w:szCs w:val="20"/>
              </w:rPr>
              <w:t xml:space="preserve">Operable</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All functionality available via keyboard. No keyboard traps. Users given sufficient time (session timeout warnings with extension option). No seizure-inducing content. Skip navigation links.</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Full keyboard navigation map; focus indicators visible (3px outline minimum); session warning at 5 min before timeout; 30-min default session with configurable extension; skip-to-main link on all pages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bCs/>
                <w:color w:val="1A1A1A"/>
                <w:sz w:val="20"/>
                <w:szCs w:val="20"/>
              </w:rPr>
              <w:t xml:space="preserve">Understandable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Language of page identified in HTML. Consistent navigation. Error identification is specific. Labels for all form inputs. Error suggestion provided when possible.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lang attribute on all pages; aria-labels on all form elements; inline error messages with specific correction guidance; no placeholder-only labels; autocomplete attributes on all personal data fields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bCs/>
                <w:color w:val="1A1A1A"/>
                <w:sz w:val="20"/>
                <w:szCs w:val="20"/>
              </w:rPr>
              <w:t xml:space="preserve">Robust</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Content parseable by assistive technologies. Name, role, value programmatically determinable for all UI components. Status messages programmatically determined.</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ARIA landmark roles on all page regions; live regions (aria-live) for dynamic content updates; custom components have full ARIA implementation; automated axe-core testing in CI pipeline</w:t>
            </w:r>
          </w:p>
        </w:tc>
      </w:tr>
    </w:tbl>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3.2  Aging-specific accessibility requirements</w:t>
      </w:r>
    </w:p>
    <w:p>
      <w:pPr>
        <w:spacing w:after="80" w:before="60"/>
        <w:jc w:val="left"/>
      </w:pPr>
      <w:r>
        <w:rPr>
          <w:rFonts w:ascii="Arial" w:cs="Arial" w:eastAsia="Arial" w:hAnsi="Arial"/>
          <w:b w:val="false"/>
          <w:bCs w:val="false"/>
          <w:color w:val="1A1A1A"/>
          <w:sz w:val="22"/>
          <w:szCs w:val="22"/>
        </w:rPr>
        <w:t xml:space="preserve">Beyond standard WCAG compliance, the platform incorporates design patterns specifically suited to older adults, informed by AARP and NIA research on digital usability for seniors.</w:t>
      </w:r>
    </w:p>
    <w:p>
      <w:pPr>
        <w:spacing w:after="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Concern</w:t>
            </w:r>
          </w:p>
        </w:tc>
        <w:tc>
          <w:tcPr>
            <w:tcW w:type="dxa" w:w="71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Design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bCs/>
                <w:color w:val="3B6D11"/>
                <w:sz w:val="20"/>
                <w:szCs w:val="20"/>
              </w:rPr>
              <w:t xml:space="preserve">Vision changes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Default font size 18px (not 16px). System font scaling respected up to 200% without layout breakage. High contrast mode that exceeds WCAG AA (targets AAA 7:1 ratio). No light gray text on white — minimum 5.5:1 on all body text.</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bCs/>
                <w:color w:val="3B6D11"/>
                <w:sz w:val="20"/>
                <w:szCs w:val="20"/>
              </w:rPr>
              <w:t xml:space="preserve">Reduced motor control</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All touch targets minimum 48×48px (exceeding WCAG 2.5.8 requirement of 24×24px). Drag-and-drop always has a keyboard/tap alternative. Form auto-save every 30 seconds — partial completion never lost. Click/tap areas extend to full card, not just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bCs/>
                <w:color w:val="3B6D11"/>
                <w:sz w:val="20"/>
                <w:szCs w:val="20"/>
              </w:rPr>
              <w:t xml:space="preserve">Cognitive load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Plain English readability target: Flesch-Kincaid Grade 8 or below for all UI text. Medical and legal terms always linked to plain-English glossary. Single primary action per screen. Confirmation dialogs use plain language ('Are you sure you want to delete this document? It cannot be recovered.'), never jargon.</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bCs/>
                <w:color w:val="3B6D11"/>
                <w:sz w:val="20"/>
                <w:szCs w:val="20"/>
              </w:rPr>
              <w:t xml:space="preserve">Hearing changes</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All audio notifications have visual equivalents. No information conveyed by sound alone. Video content (future) requires captions and transcript. Alert sounds respect device silent 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bCs/>
                <w:color w:val="3B6D11"/>
                <w:sz w:val="20"/>
                <w:szCs w:val="20"/>
              </w:rPr>
              <w:t xml:space="preserve">Cognitive diversity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Consistent layout across all screens — no surprise navigation changes. Breadcrumb navigation on all content pages. 'Undo' available for all destructive actions within 30 seconds. Step indicators on all multi-step forms showing total steps remaining.</w:t>
            </w:r>
          </w:p>
        </w:tc>
      </w:tr>
    </w:tbl>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3.3  Assistive technology support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960"/>
        <w:gridCol w:w="2600"/>
      </w:tblGrid>
      <w:tr>
        <w:trPr>
          <w:tblHeader/>
        </w:trPr>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Technology</w:t>
            </w:r>
          </w:p>
        </w:tc>
        <w:tc>
          <w:tcPr>
            <w:tcW w:type="dxa" w:w="1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Platform</w:t>
            </w:r>
          </w:p>
        </w:tc>
        <w:tc>
          <w:tcPr>
            <w:tcW w:type="dxa" w:w="29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Support level</w:t>
            </w:r>
          </w:p>
        </w:tc>
        <w:tc>
          <w:tcPr>
            <w:tcW w:type="dxa" w:w="2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Test frequency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NVDA + Chrome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Windows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Full — primary test target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Every release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JAWS + Chrome/Edge</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Windows</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Full — secondary test target</w:t>
            </w:r>
          </w:p>
        </w:tc>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Every release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VoiceOver + Safari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macOS/iOS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Full — primary mobile target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Every release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TalkBack</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Android</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Full — primary Android target</w:t>
            </w:r>
          </w:p>
        </w:tc>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Every release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Dragon NaturallySpeaking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Windows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Tested — voice navigation supported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Quarterly</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Switch Access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Android</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Supported — tested quarterly</w:t>
            </w:r>
          </w:p>
        </w:tc>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Quarterly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Magnification tools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All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Tested up to 400% magnification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Every release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High contrast modes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All</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OS high contrast respected</w:t>
            </w:r>
          </w:p>
        </w:tc>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Every release</w:t>
            </w:r>
          </w:p>
        </w:tc>
      </w:tr>
    </w:tbl>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3.4  Accessibility testing pipeline</w:t>
      </w:r>
    </w:p>
    <w:p>
      <w:pPr>
        <w:pStyle w:val="ListParagraph"/>
        <w:numPr>
          <w:ilvl w:val="0"/>
          <w:numId w:val="2"/>
        </w:numPr>
        <w:spacing w:after="40" w:before="40"/>
      </w:pPr>
      <w:r>
        <w:rPr>
          <w:rFonts w:ascii="Arial" w:cs="Arial" w:eastAsia="Arial" w:hAnsi="Arial"/>
          <w:b w:val="false"/>
          <w:bCs w:val="false"/>
          <w:color w:val="1A1A1A"/>
          <w:sz w:val="21"/>
          <w:szCs w:val="21"/>
        </w:rPr>
        <w:t xml:space="preserve">Automated: axe-core integrated into Jest test suite — zero new violations policy in CI</w:t>
      </w:r>
    </w:p>
    <w:p>
      <w:pPr>
        <w:pStyle w:val="ListParagraph"/>
        <w:numPr>
          <w:ilvl w:val="0"/>
          <w:numId w:val="2"/>
        </w:numPr>
        <w:spacing w:after="40" w:before="40"/>
      </w:pPr>
      <w:r>
        <w:rPr>
          <w:rFonts w:ascii="Arial" w:cs="Arial" w:eastAsia="Arial" w:hAnsi="Arial"/>
          <w:b w:val="false"/>
          <w:bCs w:val="false"/>
          <w:color w:val="1A1A1A"/>
          <w:sz w:val="21"/>
          <w:szCs w:val="21"/>
        </w:rPr>
        <w:t xml:space="preserve">Automated: Lighthouse accessibility audit in GitHub Actions on every PR — score must not decrease</w:t>
      </w:r>
    </w:p>
    <w:p>
      <w:pPr>
        <w:pStyle w:val="ListParagraph"/>
        <w:numPr>
          <w:ilvl w:val="0"/>
          <w:numId w:val="2"/>
        </w:numPr>
        <w:spacing w:after="40" w:before="40"/>
      </w:pPr>
      <w:r>
        <w:rPr>
          <w:rFonts w:ascii="Arial" w:cs="Arial" w:eastAsia="Arial" w:hAnsi="Arial"/>
          <w:b w:val="false"/>
          <w:bCs w:val="false"/>
          <w:color w:val="1A1A1A"/>
          <w:sz w:val="21"/>
          <w:szCs w:val="21"/>
        </w:rPr>
        <w:t xml:space="preserve">Manual: quarterly full audit by certified accessibility specialist (IAAP CPACC or WAS credential)</w:t>
      </w:r>
    </w:p>
    <w:p>
      <w:pPr>
        <w:pStyle w:val="ListParagraph"/>
        <w:numPr>
          <w:ilvl w:val="0"/>
          <w:numId w:val="2"/>
        </w:numPr>
        <w:spacing w:after="40" w:before="40"/>
      </w:pPr>
      <w:r>
        <w:rPr>
          <w:rFonts w:ascii="Arial" w:cs="Arial" w:eastAsia="Arial" w:hAnsi="Arial"/>
          <w:b w:val="false"/>
          <w:bCs w:val="false"/>
          <w:color w:val="1A1A1A"/>
          <w:sz w:val="21"/>
          <w:szCs w:val="21"/>
        </w:rPr>
        <w:t xml:space="preserve">Manual: semi-annual user testing sessions with participants who use assistive technology</w:t>
      </w:r>
    </w:p>
    <w:p>
      <w:pPr>
        <w:pStyle w:val="ListParagraph"/>
        <w:numPr>
          <w:ilvl w:val="0"/>
          <w:numId w:val="2"/>
        </w:numPr>
        <w:spacing w:after="40" w:before="40"/>
      </w:pPr>
      <w:r>
        <w:rPr>
          <w:rFonts w:ascii="Arial" w:cs="Arial" w:eastAsia="Arial" w:hAnsi="Arial"/>
          <w:b w:val="false"/>
          <w:bCs w:val="false"/>
          <w:color w:val="1A1A1A"/>
          <w:sz w:val="21"/>
          <w:szCs w:val="21"/>
        </w:rPr>
        <w:t xml:space="preserve">Manual: annual audit by third-party accessibility firm — results published in public accessibility statement</w:t>
      </w:r>
    </w:p>
    <w:p>
      <w:pPr>
        <w:pStyle w:val="ListParagraph"/>
        <w:numPr>
          <w:ilvl w:val="0"/>
          <w:numId w:val="2"/>
        </w:numPr>
        <w:spacing w:after="40" w:before="40"/>
      </w:pPr>
      <w:r>
        <w:rPr>
          <w:rFonts w:ascii="Arial" w:cs="Arial" w:eastAsia="Arial" w:hAnsi="Arial"/>
          <w:b w:val="false"/>
          <w:bCs w:val="false"/>
          <w:color w:val="1A1A1A"/>
          <w:sz w:val="21"/>
          <w:szCs w:val="21"/>
        </w:rPr>
        <w:t xml:space="preserve">Design review: every new component reviewed in Figma with contrast checker and ARIA annotation before engineering handoff</w:t>
      </w:r>
    </w:p>
    <w:p>
      <w:pPr>
        <w:pStyle w:val="ListParagraph"/>
        <w:numPr>
          <w:ilvl w:val="0"/>
          <w:numId w:val="2"/>
        </w:numPr>
        <w:spacing w:after="40" w:before="40"/>
      </w:pPr>
      <w:r>
        <w:rPr>
          <w:rFonts w:ascii="Arial" w:cs="Arial" w:eastAsia="Arial" w:hAnsi="Arial"/>
          <w:b w:val="false"/>
          <w:bCs w:val="false"/>
          <w:color w:val="1A1A1A"/>
          <w:sz w:val="21"/>
          <w:szCs w:val="21"/>
        </w:rPr>
        <w:t xml:space="preserve">Documentation: public Accessibility Conformance Report (ACR / VPAT 2.4) maintained and published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80"/>
              <w:left w:type="dxa" w:w="280"/>
              <w:bottom w:type="dxa" w:w="180"/>
              <w:right w:type="dxa" w:w="280"/>
            </w:tcMar>
          </w:tcPr>
          <w:p>
            <w:pPr>
              <w:spacing w:after="40" w:before="60"/>
              <w:jc w:val="left"/>
            </w:pPr>
            <w:r>
              <w:rPr>
                <w:rFonts w:ascii="Arial" w:cs="Arial" w:eastAsia="Arial" w:hAnsi="Arial"/>
                <w:b/>
                <w:bCs/>
                <w:color w:val="3C3489"/>
                <w:sz w:val="30"/>
                <w:szCs w:val="30"/>
              </w:rPr>
              <w:t xml:space="preserve">4.  Data architecture</w:t>
            </w:r>
          </w:p>
          <w:p>
            <w:pPr>
              <w:spacing w:after="60" w:before="60"/>
              <w:jc w:val="left"/>
            </w:pPr>
            <w:r>
              <w:rPr>
                <w:rFonts w:ascii="Arial" w:cs="Arial" w:eastAsia="Arial" w:hAnsi="Arial"/>
                <w:b w:val="false"/>
                <w:bCs w:val="false"/>
                <w:color w:val="3C3489"/>
                <w:sz w:val="20"/>
                <w:szCs w:val="20"/>
              </w:rPr>
              <w:t xml:space="preserve">Structured for privacy, integrity, and auditability at every layer</w:t>
            </w:r>
          </w:p>
        </w:tc>
      </w:tr>
    </w:tbl>
    <w:p>
      <w:pPr>
        <w:spacing w:after="0" w:before="120"/>
      </w:pPr>
      <w:r>
        <w:rPr>
          <w:rFonts w:ascii="Arial" w:cs="Arial" w:eastAsia="Arial" w:hAnsi="Arial"/>
          <w:b w:val="false"/>
          <w:bCs w:val="false"/>
          <w:color w:val="1A1A1A"/>
          <w:sz w:val="22"/>
          <w:szCs w:val="22"/>
        </w:rPr>
        <w:t xml:space="preserve"/>
      </w:r>
    </w:p>
    <w:p>
      <w:pPr>
        <w:spacing w:after="80" w:before="60"/>
        <w:jc w:val="left"/>
      </w:pPr>
      <w:r>
        <w:rPr>
          <w:rFonts w:ascii="Arial" w:cs="Arial" w:eastAsia="Arial" w:hAnsi="Arial"/>
          <w:b w:val="false"/>
          <w:bCs w:val="false"/>
          <w:color w:val="1A1A1A"/>
          <w:sz w:val="22"/>
          <w:szCs w:val="22"/>
        </w:rPr>
        <w:t xml:space="preserve">The data architecture is designed around two non-negotiable requirements: (1) data must be available to authorized users instantly in crisis situations, and (2) unauthorized access must be architecturally impossible, not just policy-prohibited. These two requirements are in tension, and the architecture resolves that tension through careful design.</w:t>
      </w:r>
    </w:p>
    <w:p>
      <w:pPr>
        <w:spacing w:after="0" w:before="12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4.1  Data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1760"/>
        <w:gridCol w:w="1200"/>
      </w:tblGrid>
      <w:tr>
        <w:trPr>
          <w:tblHeader/>
        </w:trPr>
        <w:tc>
          <w:tcPr>
            <w:tcW w:type="dxa" w:w="2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Class</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Examples</w:t>
            </w:r>
          </w:p>
        </w:tc>
        <w:tc>
          <w:tcPr>
            <w:tcW w:type="dxa" w:w="2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At rest</w:t>
            </w:r>
          </w:p>
        </w:tc>
        <w:tc>
          <w:tcPr>
            <w:tcW w:type="dxa" w:w="17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In transit</w:t>
            </w:r>
          </w:p>
        </w:tc>
        <w:tc>
          <w:tcPr>
            <w:tcW w:type="dxa" w:w="1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Retention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bCs/>
                <w:color w:val="A32D2D"/>
                <w:sz w:val="20"/>
                <w:szCs w:val="20"/>
              </w:rPr>
              <w:t xml:space="preserve">Class 1 — PHI/PII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Medical records, diagnoses, medication lists, SSN, financial account numbers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AES-256 field-level encryption; KMS-managed keys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TLS 1.3 minimum; end-to-end encrypted for AI processing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7 years post account closure (HIPAA); configurable purge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bCs/>
                <w:color w:val="854F0B"/>
                <w:sz w:val="20"/>
                <w:szCs w:val="20"/>
              </w:rPr>
              <w:t xml:space="preserve">Class 2 — Sensitive personal</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Name, DOB, address, relationship data, care preferences</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AES-256 at rest (RDS encryption); column-level for high-sensitivity fields</w:t>
            </w:r>
          </w:p>
        </w:tc>
        <w:tc>
          <w:tcPr>
            <w:tcW w:type="dxa" w:w="1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TLS 1.3 minimum</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Account lifetime + 3 years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bCs/>
                <w:color w:val="185FA5"/>
                <w:sz w:val="20"/>
                <w:szCs w:val="20"/>
              </w:rPr>
              <w:t xml:space="preserve">Class 3 — Platform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Task records, care log entries, notification preferences, usage analytics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Database-level encryption (RDS)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TLS 1.3 minimum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Account lifetime; analytics aggregated and anonymized after 90 days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bCs/>
                <w:color w:val="3B6D11"/>
                <w:sz w:val="20"/>
                <w:szCs w:val="20"/>
              </w:rPr>
              <w:t xml:space="preserve">Class 4 — Public / operational</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Content library, facility directory, drug interaction data, UI assets</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Standard storage</w:t>
            </w:r>
          </w:p>
        </w:tc>
        <w:tc>
          <w:tcPr>
            <w:tcW w:type="dxa" w:w="1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HTTPS</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Indefinite; version-controlled</w:t>
            </w:r>
          </w:p>
        </w:tc>
      </w:tr>
    </w:tbl>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4.2  Database schema — core entities</w:t>
      </w:r>
    </w:p>
    <w:p>
      <w:pPr>
        <w:spacing w:after="80" w:before="60"/>
        <w:jc w:val="left"/>
      </w:pPr>
      <w:r>
        <w:rPr>
          <w:rFonts w:ascii="Arial" w:cs="Arial" w:eastAsia="Arial" w:hAnsi="Arial"/>
          <w:b w:val="false"/>
          <w:bCs w:val="false"/>
          <w:color w:val="1A1A1A"/>
          <w:sz w:val="22"/>
          <w:szCs w:val="22"/>
        </w:rPr>
        <w:t xml:space="preserve">The schema follows a multi-tenant design with hard tenant isolation. Each user account is a tenant; family workspace members are granted explicit cross-tenant read access via the permissions model.</w:t>
      </w:r>
    </w:p>
    <w:p>
      <w:pPr>
        <w:spacing w:after="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1"/>
              <w:left w:val="single" w:color="888780" w:sz="1"/>
              <w:bottom w:val="single" w:color="888780" w:sz="1"/>
              <w:right w:val="single" w:color="888780" w:sz="1"/>
            </w:tcBorders>
            <w:shd w:fill="F1EFE8" w:val="clear"/>
            <w:tcMar>
              <w:top w:type="dxa" w:w="120"/>
              <w:left w:type="dxa" w:w="200"/>
              <w:bottom w:type="dxa" w:w="120"/>
              <w:right w:type="dxa" w:w="200"/>
            </w:tcMar>
          </w:tcPr>
          <w:p>
            <w:pPr>
              <w:spacing w:after="20" w:before="20"/>
              <w:jc w:val="left"/>
            </w:pPr>
            <w:r>
              <w:rPr>
                <w:rFonts w:ascii="Arial" w:cs="Arial" w:eastAsia="Arial" w:hAnsi="Arial"/>
                <w:b w:val="false"/>
                <w:bCs w:val="false"/>
                <w:color w:val="2C2C2A"/>
                <w:sz w:val="19"/>
                <w:szCs w:val="19"/>
              </w:rPr>
              <w:t xml:space="preserve">users              — id, email_hash, created_at, auth_provider, mfa_enabled, ...</w:t>
            </w:r>
          </w:p>
          <w:p>
            <w:pPr>
              <w:spacing w:after="20" w:before="20"/>
              <w:jc w:val="left"/>
            </w:pPr>
            <w:r>
              <w:rPr>
                <w:rFonts w:ascii="Arial" w:cs="Arial" w:eastAsia="Arial" w:hAnsi="Arial"/>
                <w:b w:val="false"/>
                <w:bCs w:val="false"/>
                <w:color w:val="2C2C2A"/>
                <w:sz w:val="19"/>
                <w:szCs w:val="19"/>
              </w:rPr>
              <w:t xml:space="preserve">profiles           — id, user_id (owner), relationship_type, display_name, date_of_birth, ...</w:t>
            </w:r>
          </w:p>
          <w:p>
            <w:pPr>
              <w:spacing w:after="20" w:before="20"/>
              <w:jc w:val="left"/>
            </w:pPr>
            <w:r>
              <w:rPr>
                <w:rFonts w:ascii="Arial" w:cs="Arial" w:eastAsia="Arial" w:hAnsi="Arial"/>
                <w:b w:val="false"/>
                <w:bCs w:val="false"/>
                <w:color w:val="2C2C2A"/>
                <w:sz w:val="19"/>
                <w:szCs w:val="19"/>
              </w:rPr>
              <w:t xml:space="preserve">  profile_health   — profile_id, condition[], medication[], allergy[], screening_history[]</w:t>
            </w:r>
          </w:p>
          <w:p>
            <w:pPr>
              <w:spacing w:after="20" w:before="20"/>
              <w:jc w:val="left"/>
            </w:pPr>
            <w:r>
              <w:rPr>
                <w:rFonts w:ascii="Arial" w:cs="Arial" w:eastAsia="Arial" w:hAnsi="Arial"/>
                <w:b w:val="false"/>
                <w:bCs w:val="false"/>
                <w:color w:val="2C2C2A"/>
                <w:sz w:val="19"/>
                <w:szCs w:val="19"/>
              </w:rPr>
              <w:t xml:space="preserve">  profile_documents— profile_id, document_id, category, tags, uploaded_by, ...</w:t>
            </w:r>
          </w:p>
          <w:p>
            <w:pPr>
              <w:spacing w:after="20" w:before="20"/>
              <w:jc w:val="left"/>
            </w:pPr>
            <w:r>
              <w:rPr>
                <w:rFonts w:ascii="Arial" w:cs="Arial" w:eastAsia="Arial" w:hAnsi="Arial"/>
                <w:b w:val="false"/>
                <w:bCs w:val="false"/>
                <w:color w:val="2C2C2A"/>
                <w:sz w:val="19"/>
                <w:szCs w:val="19"/>
              </w:rPr>
              <w:t xml:space="preserve">documents          — id, profile_id, s3_key (encrypted), file_hash, version, ocr_text_encrypted, ...</w:t>
            </w:r>
          </w:p>
          <w:p>
            <w:pPr>
              <w:spacing w:after="20" w:before="20"/>
              <w:jc w:val="left"/>
            </w:pPr>
            <w:r>
              <w:rPr>
                <w:rFonts w:ascii="Arial" w:cs="Arial" w:eastAsia="Arial" w:hAnsi="Arial"/>
                <w:b w:val="false"/>
                <w:bCs w:val="false"/>
                <w:color w:val="2C2C2A"/>
                <w:sz w:val="19"/>
                <w:szCs w:val="19"/>
              </w:rPr>
              <w:t xml:space="preserve">permissions        — id, grantor_user_id, grantee_user_id, profile_id, permission_level, expires_at</w:t>
            </w:r>
          </w:p>
          <w:p>
            <w:pPr>
              <w:spacing w:after="20" w:before="20"/>
              <w:jc w:val="left"/>
            </w:pPr>
            <w:r>
              <w:rPr>
                <w:rFonts w:ascii="Arial" w:cs="Arial" w:eastAsia="Arial" w:hAnsi="Arial"/>
                <w:b w:val="false"/>
                <w:bCs w:val="false"/>
                <w:color w:val="2C2C2A"/>
                <w:sz w:val="19"/>
                <w:szCs w:val="19"/>
              </w:rPr>
              <w:t xml:space="preserve">workspace          — id, created_by, name, members[] (→ workspace_members)</w:t>
            </w:r>
          </w:p>
          <w:p>
            <w:pPr>
              <w:spacing w:after="20" w:before="20"/>
              <w:jc w:val="left"/>
            </w:pPr>
            <w:r>
              <w:rPr>
                <w:rFonts w:ascii="Arial" w:cs="Arial" w:eastAsia="Arial" w:hAnsi="Arial"/>
                <w:b w:val="false"/>
                <w:bCs w:val="false"/>
                <w:color w:val="2C2C2A"/>
                <w:sz w:val="19"/>
                <w:szCs w:val="19"/>
              </w:rPr>
              <w:t xml:space="preserve">  workspace_tasks  — id, workspace_id, assigned_to, title, due_date, completed_at, ...</w:t>
            </w:r>
          </w:p>
          <w:p>
            <w:pPr>
              <w:spacing w:after="20" w:before="20"/>
              <w:jc w:val="left"/>
            </w:pPr>
            <w:r>
              <w:rPr>
                <w:rFonts w:ascii="Arial" w:cs="Arial" w:eastAsia="Arial" w:hAnsi="Arial"/>
                <w:b w:val="false"/>
                <w:bCs w:val="false"/>
                <w:color w:val="2C2C2A"/>
                <w:sz w:val="19"/>
                <w:szCs w:val="19"/>
              </w:rPr>
              <w:t xml:space="preserve">  workspace_log    — id, workspace_id, author_id, content_encrypted, category, created_at</w:t>
            </w:r>
          </w:p>
          <w:p>
            <w:pPr>
              <w:spacing w:after="20" w:before="20"/>
              <w:jc w:val="left"/>
            </w:pPr>
            <w:r>
              <w:rPr>
                <w:rFonts w:ascii="Arial" w:cs="Arial" w:eastAsia="Arial" w:hAnsi="Arial"/>
                <w:b w:val="false"/>
                <w:bCs w:val="false"/>
                <w:color w:val="2C2C2A"/>
                <w:sz w:val="19"/>
                <w:szCs w:val="19"/>
              </w:rPr>
              <w:t xml:space="preserve">medications        — id, profile_id, name, dose, frequency, prescriber, refill_date, active</w:t>
            </w:r>
          </w:p>
          <w:p>
            <w:pPr>
              <w:spacing w:after="20" w:before="20"/>
              <w:jc w:val="left"/>
            </w:pPr>
            <w:r>
              <w:rPr>
                <w:rFonts w:ascii="Arial" w:cs="Arial" w:eastAsia="Arial" w:hAnsi="Arial"/>
                <w:b w:val="false"/>
                <w:bCs w:val="false"/>
                <w:color w:val="2C2C2A"/>
                <w:sz w:val="19"/>
                <w:szCs w:val="19"/>
              </w:rPr>
              <w:t xml:space="preserve">screenings         — id, profile_id, type, last_completed, next_due, notes, provider</w:t>
            </w:r>
          </w:p>
          <w:p>
            <w:pPr>
              <w:spacing w:after="20" w:before="20"/>
              <w:jc w:val="left"/>
            </w:pPr>
            <w:r>
              <w:rPr>
                <w:rFonts w:ascii="Arial" w:cs="Arial" w:eastAsia="Arial" w:hAnsi="Arial"/>
                <w:b w:val="false"/>
                <w:bCs w:val="false"/>
                <w:color w:val="2C2C2A"/>
                <w:sz w:val="19"/>
                <w:szCs w:val="19"/>
              </w:rPr>
              <w:t xml:space="preserve">appointments       — id, profile_id, provider_id, date, specialty, notes_encrypted, ...</w:t>
            </w:r>
          </w:p>
          <w:p>
            <w:pPr>
              <w:spacing w:after="20" w:before="20"/>
              <w:jc w:val="left"/>
            </w:pPr>
            <w:r>
              <w:rPr>
                <w:rFonts w:ascii="Arial" w:cs="Arial" w:eastAsia="Arial" w:hAnsi="Arial"/>
                <w:b w:val="false"/>
                <w:bCs w:val="false"/>
                <w:color w:val="2C2C2A"/>
                <w:sz w:val="19"/>
                <w:szCs w:val="19"/>
              </w:rPr>
              <w:t xml:space="preserve">audit_log          — id, actor_id, action, resource_type, resource_id, ip_hash, timestamp</w:t>
            </w:r>
          </w:p>
          <w:p>
            <w:pPr>
              <w:spacing w:after="20" w:before="20"/>
              <w:jc w:val="left"/>
            </w:pPr>
            <w:r>
              <w:rPr>
                <w:rFonts w:ascii="Arial" w:cs="Arial" w:eastAsia="Arial" w:hAnsi="Arial"/>
                <w:b w:val="false"/>
                <w:bCs w:val="false"/>
                <w:color w:val="2C2C2A"/>
                <w:sz w:val="19"/>
                <w:szCs w:val="19"/>
              </w:rPr>
              <w:t xml:space="preserve">                     [append-only; no UPDATE or DELETE permissions on this table]</w:t>
            </w:r>
          </w:p>
          <w:p>
            <w:pPr>
              <w:spacing w:after="20" w:before="20"/>
              <w:jc w:val="left"/>
            </w:pPr>
            <w:r>
              <w:rPr>
                <w:rFonts w:ascii="Arial" w:cs="Arial" w:eastAsia="Arial" w:hAnsi="Arial"/>
                <w:b w:val="false"/>
                <w:bCs w:val="false"/>
                <w:color w:val="2C2C2A"/>
                <w:sz w:val="19"/>
                <w:szCs w:val="19"/>
              </w:rPr>
              <w:t xml:space="preserve">notifications      — id, user_id, type, payload_encrypted, sent_at, read_at, channel</w:t>
            </w:r>
          </w:p>
          <w:p>
            <w:pPr>
              <w:spacing w:after="20" w:before="20"/>
              <w:jc w:val="left"/>
            </w:pPr>
            <w:r>
              <w:rPr>
                <w:rFonts w:ascii="Arial" w:cs="Arial" w:eastAsia="Arial" w:hAnsi="Arial"/>
                <w:b w:val="false"/>
                <w:bCs w:val="false"/>
                <w:color w:val="2C2C2A"/>
                <w:sz w:val="19"/>
                <w:szCs w:val="19"/>
              </w:rPr>
              <w:t xml:space="preserve">ai_conversations   — id, user_id, session_id, role, content_encrypted, created_at</w:t>
            </w:r>
          </w:p>
          <w:p>
            <w:pPr>
              <w:spacing w:after="20" w:before="20"/>
              <w:jc w:val="left"/>
            </w:pPr>
            <w:r>
              <w:rPr>
                <w:rFonts w:ascii="Arial" w:cs="Arial" w:eastAsia="Arial" w:hAnsi="Arial"/>
                <w:b w:val="false"/>
                <w:bCs w:val="false"/>
                <w:color w:val="2C2C2A"/>
                <w:sz w:val="19"/>
                <w:szCs w:val="19"/>
              </w:rPr>
              <w:t xml:space="preserve">                     [AI conversation history stored encrypted; user-deletable on demand]</w:t>
            </w:r>
          </w:p>
        </w:tc>
      </w:tr>
    </w:tbl>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4.3  Key data design decisions</w:t>
      </w:r>
    </w:p>
    <w:p>
      <w:pPr>
        <w:pStyle w:val="ListParagraph"/>
        <w:numPr>
          <w:ilvl w:val="0"/>
          <w:numId w:val="2"/>
        </w:numPr>
        <w:spacing w:after="40" w:before="40"/>
      </w:pPr>
      <w:r>
        <w:rPr>
          <w:rFonts w:ascii="Arial" w:cs="Arial" w:eastAsia="Arial" w:hAnsi="Arial"/>
          <w:b w:val="false"/>
          <w:bCs w:val="false"/>
          <w:color w:val="1A1A1A"/>
          <w:sz w:val="21"/>
          <w:szCs w:val="21"/>
        </w:rPr>
        <w:t xml:space="preserve">No PHI in logs — all logging pipelines strip PII/PHI before writing. Log references use opaque IDs only.</w:t>
      </w:r>
    </w:p>
    <w:p>
      <w:pPr>
        <w:pStyle w:val="ListParagraph"/>
        <w:numPr>
          <w:ilvl w:val="0"/>
          <w:numId w:val="2"/>
        </w:numPr>
        <w:spacing w:after="40" w:before="40"/>
      </w:pPr>
      <w:r>
        <w:rPr>
          <w:rFonts w:ascii="Arial" w:cs="Arial" w:eastAsia="Arial" w:hAnsi="Arial"/>
          <w:b w:val="false"/>
          <w:bCs w:val="false"/>
          <w:color w:val="1A1A1A"/>
          <w:sz w:val="21"/>
          <w:szCs w:val="21"/>
        </w:rPr>
        <w:t xml:space="preserve">Document content is never stored in the database — only the S3 key, file hash, and encrypted OCR text. The database holds metadata; S3 holds the file.</w:t>
      </w:r>
    </w:p>
    <w:p>
      <w:pPr>
        <w:pStyle w:val="ListParagraph"/>
        <w:numPr>
          <w:ilvl w:val="0"/>
          <w:numId w:val="2"/>
        </w:numPr>
        <w:spacing w:after="40" w:before="40"/>
      </w:pPr>
      <w:r>
        <w:rPr>
          <w:rFonts w:ascii="Arial" w:cs="Arial" w:eastAsia="Arial" w:hAnsi="Arial"/>
          <w:b w:val="false"/>
          <w:bCs w:val="false"/>
          <w:color w:val="1A1A1A"/>
          <w:sz w:val="21"/>
          <w:szCs w:val="21"/>
        </w:rPr>
        <w:t xml:space="preserve">Email addresses are stored as salted hashes in the users table. The plaintext email is held only in the auth provider (Auth0/Cognito) and used only for notification delivery.</w:t>
      </w:r>
    </w:p>
    <w:p>
      <w:pPr>
        <w:pStyle w:val="ListParagraph"/>
        <w:numPr>
          <w:ilvl w:val="0"/>
          <w:numId w:val="2"/>
        </w:numPr>
        <w:spacing w:after="40" w:before="40"/>
      </w:pPr>
      <w:r>
        <w:rPr>
          <w:rFonts w:ascii="Arial" w:cs="Arial" w:eastAsia="Arial" w:hAnsi="Arial"/>
          <w:b w:val="false"/>
          <w:bCs w:val="false"/>
          <w:color w:val="1A1A1A"/>
          <w:sz w:val="21"/>
          <w:szCs w:val="21"/>
        </w:rPr>
        <w:t xml:space="preserve">Soft deletes only — no hard DELETE operations on user data in the primary database. Records are marked deleted and excluded from queries. Physical deletion runs on a 30-day delayed background job after explicit account closure request.</w:t>
      </w:r>
    </w:p>
    <w:p>
      <w:pPr>
        <w:pStyle w:val="ListParagraph"/>
        <w:numPr>
          <w:ilvl w:val="0"/>
          <w:numId w:val="2"/>
        </w:numPr>
        <w:spacing w:after="40" w:before="40"/>
      </w:pPr>
      <w:r>
        <w:rPr>
          <w:rFonts w:ascii="Arial" w:cs="Arial" w:eastAsia="Arial" w:hAnsi="Arial"/>
          <w:b w:val="false"/>
          <w:bCs w:val="false"/>
          <w:color w:val="1A1A1A"/>
          <w:sz w:val="21"/>
          <w:szCs w:val="21"/>
        </w:rPr>
        <w:t xml:space="preserve">The audit_log table has no UPDATE or DELETE grants at the application layer. Only an append-only service account can write to it. Periodic snapshots are written to immutable S3 (Object Lock, WORM mode).</w:t>
      </w:r>
    </w:p>
    <w:p>
      <w:pPr>
        <w:pStyle w:val="ListParagraph"/>
        <w:numPr>
          <w:ilvl w:val="0"/>
          <w:numId w:val="2"/>
        </w:numPr>
        <w:spacing w:after="40" w:before="40"/>
      </w:pPr>
      <w:r>
        <w:rPr>
          <w:rFonts w:ascii="Arial" w:cs="Arial" w:eastAsia="Arial" w:hAnsi="Arial"/>
          <w:b w:val="false"/>
          <w:bCs w:val="false"/>
          <w:color w:val="1A1A1A"/>
          <w:sz w:val="21"/>
          <w:szCs w:val="21"/>
        </w:rPr>
        <w:t xml:space="preserve">AI processing uses a dedicated data pipeline that strips all direct identifiers before sending context to the LLM. Profile references use pseudonymous IDs. AI conversation logs are stored encrypted and are user-deletable.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80"/>
              <w:left w:type="dxa" w:w="280"/>
              <w:bottom w:type="dxa" w:w="180"/>
              <w:right w:type="dxa" w:w="280"/>
            </w:tcMar>
          </w:tcPr>
          <w:p>
            <w:pPr>
              <w:spacing w:after="40" w:before="60"/>
              <w:jc w:val="left"/>
            </w:pPr>
            <w:r>
              <w:rPr>
                <w:rFonts w:ascii="Arial" w:cs="Arial" w:eastAsia="Arial" w:hAnsi="Arial"/>
                <w:b/>
                <w:bCs/>
                <w:color w:val="633806"/>
                <w:sz w:val="30"/>
                <w:szCs w:val="30"/>
              </w:rPr>
              <w:t xml:space="preserve">5.  API design</w:t>
            </w:r>
          </w:p>
          <w:p>
            <w:pPr>
              <w:spacing w:after="60" w:before="60"/>
              <w:jc w:val="left"/>
            </w:pPr>
            <w:r>
              <w:rPr>
                <w:rFonts w:ascii="Arial" w:cs="Arial" w:eastAsia="Arial" w:hAnsi="Arial"/>
                <w:b w:val="false"/>
                <w:bCs w:val="false"/>
                <w:color w:val="633806"/>
                <w:sz w:val="20"/>
                <w:szCs w:val="20"/>
              </w:rPr>
              <w:t xml:space="preserve">GraphQL-first with REST for file operations and webhooks</w:t>
            </w:r>
          </w:p>
        </w:tc>
      </w:tr>
    </w:tbl>
    <w:p>
      <w:pPr>
        <w:spacing w:after="0" w:before="120"/>
      </w:pPr>
      <w:r>
        <w:rPr>
          <w:rFonts w:ascii="Arial" w:cs="Arial" w:eastAsia="Arial" w:hAnsi="Arial"/>
          <w:b w:val="false"/>
          <w:bCs w:val="false"/>
          <w:color w:val="1A1A1A"/>
          <w:sz w:val="22"/>
          <w:szCs w:val="22"/>
        </w:rPr>
        <w:t xml:space="preserve"/>
      </w:r>
    </w:p>
    <w:p>
      <w:pPr>
        <w:spacing w:after="80" w:before="60"/>
        <w:jc w:val="left"/>
      </w:pPr>
      <w:r>
        <w:rPr>
          <w:rFonts w:ascii="Arial" w:cs="Arial" w:eastAsia="Arial" w:hAnsi="Arial"/>
          <w:b w:val="false"/>
          <w:bCs w:val="false"/>
          <w:color w:val="1A1A1A"/>
          <w:sz w:val="22"/>
          <w:szCs w:val="22"/>
        </w:rPr>
        <w:t xml:space="preserve">The platform uses GraphQL as the primary API layer for application data, enabling clients to request exactly the data they need and supporting efficient batching. File operations (upload, download) use REST for streaming efficiency. All APIs are versioned and fully documented via auto-generated schema.</w:t>
      </w:r>
    </w:p>
    <w:p>
      <w:pPr>
        <w:spacing w:after="0" w:before="12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5.1  API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400"/>
        <w:gridCol w:w="1560"/>
      </w:tblGrid>
      <w:tr>
        <w:trPr>
          <w:tblHeader/>
        </w:trPr>
        <w:tc>
          <w:tcPr>
            <w:tcW w:type="dxa" w:w="1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API type</w:t>
            </w:r>
          </w:p>
        </w:tc>
        <w:tc>
          <w:tcPr>
            <w:tcW w:type="dxa" w:w="3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Use case</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Auth mechanism</w:t>
            </w:r>
          </w:p>
        </w:tc>
        <w:tc>
          <w:tcPr>
            <w:tcW w:type="dxa" w:w="15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Rate limit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GraphQL (primary)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All CRUD operations for platform data; real-time subscriptions via WebSocket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JWT Bearer token; per-field authorization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1,000 req/min per user; complexity limit 1,000 per query</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REST — file ops</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Document upload (multipart), download (signed URL), bulk export</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JWT Bearer + signed S3 pre-signed URL (15 min TTL)</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50 uploads/hr; 200 downloads/hr per user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REST — webhooks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Outbound events to integrations (notification delivery receipts, calendar sync)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HMAC-SHA256 signature on payload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N/A (outbound)</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WebSocket</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Real-time: family workspace updates, AI streaming responses, notification delivery</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JWT on handshake; token refresh via ping/pong</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1 connection per user session; 100 messages/min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Internal service APIs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Microservice-to-microservice communication via service mesh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mTLS (SPIFFE/SPIRE identity)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Service-level SLAs enforced via circuit breakers</w:t>
            </w:r>
          </w:p>
        </w:tc>
      </w:tr>
    </w:tbl>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5.2  Authorization model</w:t>
      </w:r>
    </w:p>
    <w:p>
      <w:pPr>
        <w:spacing w:after="80" w:before="60"/>
        <w:jc w:val="left"/>
      </w:pPr>
      <w:r>
        <w:rPr>
          <w:rFonts w:ascii="Arial" w:cs="Arial" w:eastAsia="Arial" w:hAnsi="Arial"/>
          <w:b w:val="false"/>
          <w:bCs w:val="false"/>
          <w:color w:val="1A1A1A"/>
          <w:sz w:val="22"/>
          <w:szCs w:val="22"/>
        </w:rPr>
        <w:t xml:space="preserve">Every GraphQL field and every REST endpoint is individually authorized. The authorization model has four layers:</w:t>
      </w:r>
    </w:p>
    <w:p>
      <w:pPr>
        <w:spacing w:after="0" w:before="60"/>
      </w:pPr>
      <w:r>
        <w:rPr>
          <w:rFonts w:ascii="Arial" w:cs="Arial" w:eastAsia="Arial" w:hAnsi="Arial"/>
          <w:b w:val="false"/>
          <w:bCs w:val="false"/>
          <w:color w:val="1A1A1A"/>
          <w:sz w:val="22"/>
          <w:szCs w:val="22"/>
        </w:rPr>
        <w:t xml:space="preserve"/>
      </w:r>
    </w:p>
    <w:p>
      <w:pPr>
        <w:pStyle w:val="ListParagraph"/>
        <w:numPr>
          <w:ilvl w:val="0"/>
          <w:numId w:val="2"/>
        </w:numPr>
        <w:spacing w:after="40" w:before="40"/>
      </w:pPr>
      <w:r>
        <w:rPr>
          <w:rFonts w:ascii="Arial" w:cs="Arial" w:eastAsia="Arial" w:hAnsi="Arial"/>
          <w:b w:val="false"/>
          <w:bCs w:val="false"/>
          <w:color w:val="1A1A1A"/>
          <w:sz w:val="21"/>
          <w:szCs w:val="21"/>
        </w:rPr>
        <w:t xml:space="preserve">Layer 1 — Authentication: Is this request from a valid, authenticated user? JWT validation on every request.</w:t>
      </w:r>
    </w:p>
    <w:p>
      <w:pPr>
        <w:pStyle w:val="ListParagraph"/>
        <w:numPr>
          <w:ilvl w:val="0"/>
          <w:numId w:val="2"/>
        </w:numPr>
        <w:spacing w:after="40" w:before="40"/>
      </w:pPr>
      <w:r>
        <w:rPr>
          <w:rFonts w:ascii="Arial" w:cs="Arial" w:eastAsia="Arial" w:hAnsi="Arial"/>
          <w:b w:val="false"/>
          <w:bCs w:val="false"/>
          <w:color w:val="1A1A1A"/>
          <w:sz w:val="21"/>
          <w:szCs w:val="21"/>
        </w:rPr>
        <w:t xml:space="preserve">Layer 2 — Account status: Is the account active, not suspended, and within subscription tier?</w:t>
      </w:r>
    </w:p>
    <w:p>
      <w:pPr>
        <w:pStyle w:val="ListParagraph"/>
        <w:numPr>
          <w:ilvl w:val="0"/>
          <w:numId w:val="2"/>
        </w:numPr>
        <w:spacing w:after="40" w:before="40"/>
      </w:pPr>
      <w:r>
        <w:rPr>
          <w:rFonts w:ascii="Arial" w:cs="Arial" w:eastAsia="Arial" w:hAnsi="Arial"/>
          <w:b w:val="false"/>
          <w:bCs w:val="false"/>
          <w:color w:val="1A1A1A"/>
          <w:sz w:val="21"/>
          <w:szCs w:val="21"/>
        </w:rPr>
        <w:t xml:space="preserve">Layer 3 — Resource ownership: Does this user own or have explicit permission to access this specific resource (profile, document, workspace)?</w:t>
      </w:r>
    </w:p>
    <w:p>
      <w:pPr>
        <w:pStyle w:val="ListParagraph"/>
        <w:numPr>
          <w:ilvl w:val="0"/>
          <w:numId w:val="2"/>
        </w:numPr>
        <w:spacing w:after="40" w:before="40"/>
      </w:pPr>
      <w:r>
        <w:rPr>
          <w:rFonts w:ascii="Arial" w:cs="Arial" w:eastAsia="Arial" w:hAnsi="Arial"/>
          <w:b w:val="false"/>
          <w:bCs w:val="false"/>
          <w:color w:val="1A1A1A"/>
          <w:sz w:val="21"/>
          <w:szCs w:val="21"/>
        </w:rPr>
        <w:t xml:space="preserve">Layer 4 — Action authorization: Even with access, is this specific action (read / write / delete / share) permitted for this user on this resource?</w:t>
      </w:r>
    </w:p>
    <w:p>
      <w:pPr>
        <w:spacing w:after="0" w:before="80"/>
      </w:pPr>
      <w:r>
        <w:rPr>
          <w:rFonts w:ascii="Arial" w:cs="Arial" w:eastAsia="Arial" w:hAnsi="Arial"/>
          <w:b w:val="false"/>
          <w:bCs w:val="false"/>
          <w:color w:val="1A1A1A"/>
          <w:sz w:val="22"/>
          <w:szCs w:val="22"/>
        </w:rPr>
        <w:t xml:space="preserve"/>
      </w:r>
    </w:p>
    <w:p>
      <w:pPr>
        <w:spacing w:after="80" w:before="60"/>
        <w:jc w:val="left"/>
      </w:pPr>
      <w:r>
        <w:rPr>
          <w:rFonts w:ascii="Arial" w:cs="Arial" w:eastAsia="Arial" w:hAnsi="Arial"/>
          <w:b w:val="false"/>
          <w:bCs w:val="false"/>
          <w:color w:val="1A1A1A"/>
          <w:sz w:val="22"/>
          <w:szCs w:val="22"/>
        </w:rPr>
        <w:t xml:space="preserve">Permission levels (from lowest to highest): viewer (read-only), contributor (read + write), coordinator (read + write + invite others), admin (full access + delete + permission management).</w:t>
      </w:r>
    </w:p>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5.3  AI API integration design</w:t>
      </w:r>
    </w:p>
    <w:p>
      <w:pPr>
        <w:spacing w:after="80" w:before="60"/>
        <w:jc w:val="left"/>
      </w:pPr>
      <w:r>
        <w:rPr>
          <w:rFonts w:ascii="Arial" w:cs="Arial" w:eastAsia="Arial" w:hAnsi="Arial"/>
          <w:b w:val="false"/>
          <w:bCs w:val="false"/>
          <w:color w:val="1A1A1A"/>
          <w:sz w:val="22"/>
          <w:szCs w:val="22"/>
        </w:rPr>
        <w:t xml:space="preserve">All LLM calls are routed through an internal AI gateway service that handles context assembly, PII stripping, prompt management, response filtering, and cost tracking.</w:t>
      </w:r>
    </w:p>
    <w:p>
      <w:pPr>
        <w:spacing w:after="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Concern</w:t>
            </w:r>
          </w:p>
        </w:tc>
        <w:tc>
          <w:tcPr>
            <w:tcW w:type="dxa" w:w="71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bCs/>
                <w:color w:val="1A1A1A"/>
                <w:sz w:val="20"/>
                <w:szCs w:val="20"/>
              </w:rPr>
              <w:t xml:space="preserve">PII stripping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Before any data is sent to the LLM API, a PII detection layer replaces real names, dates of birth, SSNs, and account numbers with pseudonymous tokens. The detokenization map is held server-side and never sent to the LLM.</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bCs/>
                <w:color w:val="1A1A1A"/>
                <w:sz w:val="20"/>
                <w:szCs w:val="20"/>
              </w:rPr>
              <w:t xml:space="preserve">Context assembly</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The AI gateway uses RAG (Retrieval-Augmented Generation) to assemble relevant context from the user's profile, documents, and content library before constructing the prompt. Vector embeddings are generated for all user documents at upload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bCs/>
                <w:color w:val="1A1A1A"/>
                <w:sz w:val="20"/>
                <w:szCs w:val="20"/>
              </w:rPr>
              <w:t xml:space="preserve">System prompt governance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System prompts are version-controlled in source code, not editable at runtime. Prompt injection attacks are mitigated by strict input sanitization and output validation.</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bCs/>
                <w:color w:val="1A1A1A"/>
                <w:sz w:val="20"/>
                <w:szCs w:val="20"/>
              </w:rPr>
              <w:t xml:space="preserve">Response validation</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All LLM responses pass through a validation layer that checks for: hallucinated citations, off-topic content, sensitive information (PII in response), and safety categories before returning to the client.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bCs/>
                <w:color w:val="1A1A1A"/>
                <w:sz w:val="20"/>
                <w:szCs w:val="20"/>
              </w:rPr>
              <w:t xml:space="preserve">Cost controls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Per-user daily token budget enforced server-side. Requests above budget are queued or rate-limited with a graceful fallback to static content. Budget alerts at 80% consumption.</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bCs/>
                <w:color w:val="1A1A1A"/>
                <w:sz w:val="20"/>
                <w:szCs w:val="20"/>
              </w:rPr>
              <w:t xml:space="preserve">Data retention</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AI conversation logs are stored encrypted, attributed to the user, and deletable on demand. No conversation data is used for model training without explicit opt-in consent.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80"/>
              <w:left w:type="dxa" w:w="280"/>
              <w:bottom w:type="dxa" w:w="180"/>
              <w:right w:type="dxa" w:w="280"/>
            </w:tcMar>
          </w:tcPr>
          <w:p>
            <w:pPr>
              <w:spacing w:after="40" w:before="60"/>
              <w:jc w:val="left"/>
            </w:pPr>
            <w:r>
              <w:rPr>
                <w:rFonts w:ascii="Arial" w:cs="Arial" w:eastAsia="Arial" w:hAnsi="Arial"/>
                <w:b/>
                <w:bCs/>
                <w:color w:val="791F1F"/>
                <w:sz w:val="30"/>
                <w:szCs w:val="30"/>
              </w:rPr>
              <w:t xml:space="preserve">6.  Security architecture</w:t>
            </w:r>
          </w:p>
          <w:p>
            <w:pPr>
              <w:spacing w:after="60" w:before="60"/>
              <w:jc w:val="left"/>
            </w:pPr>
            <w:r>
              <w:rPr>
                <w:rFonts w:ascii="Arial" w:cs="Arial" w:eastAsia="Arial" w:hAnsi="Arial"/>
                <w:b w:val="false"/>
                <w:bCs w:val="false"/>
                <w:color w:val="791F1F"/>
                <w:sz w:val="20"/>
                <w:szCs w:val="20"/>
              </w:rPr>
              <w:t xml:space="preserve">HIPAA-aligned, SOC 2 Type II ready, zero-trust by design</w:t>
            </w:r>
          </w:p>
        </w:tc>
      </w:tr>
    </w:tbl>
    <w:p>
      <w:pPr>
        <w:spacing w:after="0" w:before="120"/>
      </w:pPr>
      <w:r>
        <w:rPr>
          <w:rFonts w:ascii="Arial" w:cs="Arial" w:eastAsia="Arial" w:hAnsi="Arial"/>
          <w:b w:val="false"/>
          <w:bCs w:val="false"/>
          <w:color w:val="1A1A1A"/>
          <w:sz w:val="22"/>
          <w:szCs w:val="22"/>
        </w:rPr>
        <w:t xml:space="preserve"/>
      </w:r>
    </w:p>
    <w:p>
      <w:pPr>
        <w:spacing w:after="80" w:before="60"/>
        <w:jc w:val="left"/>
      </w:pPr>
      <w:r>
        <w:rPr>
          <w:rFonts w:ascii="Arial" w:cs="Arial" w:eastAsia="Arial" w:hAnsi="Arial"/>
          <w:b w:val="false"/>
          <w:bCs w:val="false"/>
          <w:color w:val="1A1A1A"/>
          <w:sz w:val="22"/>
          <w:szCs w:val="22"/>
        </w:rPr>
        <w:t xml:space="preserve">Security is not a feature — it is the foundational promise the platform makes to its users. A breach of family health and legal data could cause irreparable harm. The security architecture assumes breach is possible and is designed to minimize blast radius, accelerate detection, and ensure recovery.</w:t>
      </w:r>
    </w:p>
    <w:p>
      <w:pPr>
        <w:spacing w:after="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pPr>
              <w:spacing w:after="60" w:before="60"/>
              <w:jc w:val="left"/>
            </w:pPr>
            <w:r>
              <w:rPr>
                <w:rFonts w:ascii="Arial" w:cs="Arial" w:eastAsia="Arial" w:hAnsi="Arial"/>
                <w:b w:val="false"/>
                <w:bCs w:val="false"/>
                <w:color w:val="791F1F"/>
                <w:sz w:val="21"/>
                <w:szCs w:val="21"/>
              </w:rPr>
              <w:t xml:space="preserve">Compliance targets: HIPAA Privacy &amp; Security Rule (health data); SOC 2 Type II (trust services criteria); CCPA / CPRA (California privacy); GDPR-ready architecture for future EU expansion; FTC Safeguards Rule (financial data). Annual third-party penetration test required; results reported to board.</w:t>
            </w:r>
          </w:p>
        </w:tc>
      </w:tr>
    </w:tbl>
    <w:p>
      <w:pPr>
        <w:spacing w:after="0" w:before="12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6.1  Authentication &amp;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Requirement</w:t>
            </w:r>
          </w:p>
        </w:tc>
        <w:tc>
          <w:tcPr>
            <w:tcW w:type="dxa" w:w="47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Implementation</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Standard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Multi-factor authentication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TOTP (Google Authenticator), SMS (fallback only), hardware security keys (FIDO2/WebAuthn). MFA required for: first login on new device, any permission change, any document share, accessing another user's profile.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NIST SP 800-63B AAL2</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Password policy</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Minimum 12 characters; breach password check against HaveIBeenPwned database on registration and password change; bcrypt hashing (cost factor 12+); no complexity rules (length is the requirement).</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NIST SP 800-63B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Biometric authentication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FIDO2/WebAuthn platform authenticator on supported devices. Biometric data never leaves the device — platform receives only the attestation, not the biometric template.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FIDO2 / WebAuthn W3C spec</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Session management</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JWT access tokens: 15-minute expiry. Refresh tokens: 30-day expiry, rotated on use, single-use. Session invalidation on password change, MFA change, or explicit logout. Concurrent session limit: 5 devices.</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OWASP Session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OAuth2 / SSO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Google and Apple Sign-In supported (for consumer convenience). Enterprise SSO via SAML 2.0 for employer benefit channel. OAuth scopes minimized to email + profile only — no calendar or contacts access.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OAuth 2.0 RFC 6749</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Account recovery</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Recovery via email-verified OTP + security question. No SMS-only recovery (SIM swap risk). Recovery codes generated at MFA enrollment (printed/saved by user).</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NIST SP 800-63B</w:t>
            </w:r>
          </w:p>
        </w:tc>
      </w:tr>
    </w:tbl>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6.2  Encryption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rPr>
          <w:tblHeader/>
        </w:trPr>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Layer</w:t>
            </w:r>
          </w:p>
        </w:tc>
        <w:tc>
          <w:tcPr>
            <w:tcW w:type="dxa" w:w="2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Algorithm</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Key management</w:t>
            </w:r>
          </w:p>
        </w:tc>
        <w:tc>
          <w:tcPr>
            <w:tcW w:type="dxa" w:w="17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Rotation policy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Data at rest — database fields (Class 1 PHI)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AES-256-GCM (field-level)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AWS KMS CMK per tenant; envelope encryption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Annual automated rotation; immediate on suspected compromise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Data at rest — document files (S3)</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AES-256-GCM SSE-KMS</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AWS KMS CMK; S3 bucket key enabled</w:t>
            </w:r>
          </w:p>
        </w:tc>
        <w:tc>
          <w:tcPr>
            <w:tcW w:type="dxa" w:w="1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Annual rotation; bucket-level key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Data at rest — database (general)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AES-256 (RDS storage encryption)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AWS-managed KMS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Managed by AWS; transparent to application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Data in transit — external</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TLS 1.3 only; TLS 1.2 permitted with strong cipher suites only. HTTP Strict Transport Security (HSTS, max-age 2 years) on all endpoints.</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Certificate Manager (AWS ACM); auto-renewal</w:t>
            </w:r>
          </w:p>
        </w:tc>
        <w:tc>
          <w:tcPr>
            <w:tcW w:type="dxa" w:w="1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90-day cert rotation (automated)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Data in transit — internal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mTLS via service mesh (SPIFFE/SPIRE) between all microservices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SPIRE-managed SVID certificates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24-hour SVID TTL; auto-rotation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Backup data</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AES-256; backups encrypted before leaving primary region</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Separate KMS key from production</w:t>
            </w:r>
          </w:p>
        </w:tc>
        <w:tc>
          <w:tcPr>
            <w:tcW w:type="dxa" w:w="1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Annual; cross-region key replication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AI processing pipeline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End-to-end: data pseudonymized before leaving platform boundary; re-identified only on return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Detokenization map in KMS-encrypted store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Token mapping rotated daily</w:t>
            </w:r>
          </w:p>
        </w:tc>
      </w:tr>
    </w:tbl>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6.3  Network security</w:t>
      </w:r>
    </w:p>
    <w:p>
      <w:pPr>
        <w:pStyle w:val="ListParagraph"/>
        <w:numPr>
          <w:ilvl w:val="0"/>
          <w:numId w:val="2"/>
        </w:numPr>
        <w:spacing w:after="40" w:before="40"/>
      </w:pPr>
      <w:r>
        <w:rPr>
          <w:rFonts w:ascii="Arial" w:cs="Arial" w:eastAsia="Arial" w:hAnsi="Arial"/>
          <w:b w:val="false"/>
          <w:bCs w:val="false"/>
          <w:color w:val="1A1A1A"/>
          <w:sz w:val="21"/>
          <w:szCs w:val="21"/>
        </w:rPr>
        <w:t xml:space="preserve">WAF (AWS WAF): OWASP Top 10 rule set enabled; custom rules for API abuse patterns; geo-blocking available for non-US jurisdictions (configurable)</w:t>
      </w:r>
    </w:p>
    <w:p>
      <w:pPr>
        <w:pStyle w:val="ListParagraph"/>
        <w:numPr>
          <w:ilvl w:val="0"/>
          <w:numId w:val="2"/>
        </w:numPr>
        <w:spacing w:after="40" w:before="40"/>
      </w:pPr>
      <w:r>
        <w:rPr>
          <w:rFonts w:ascii="Arial" w:cs="Arial" w:eastAsia="Arial" w:hAnsi="Arial"/>
          <w:b w:val="false"/>
          <w:bCs w:val="false"/>
          <w:color w:val="1A1A1A"/>
          <w:sz w:val="21"/>
          <w:szCs w:val="21"/>
        </w:rPr>
        <w:t xml:space="preserve">DDoS protection: AWS Shield Standard on all endpoints; Shield Advanced for critical paths (auth, document upload)</w:t>
      </w:r>
    </w:p>
    <w:p>
      <w:pPr>
        <w:pStyle w:val="ListParagraph"/>
        <w:numPr>
          <w:ilvl w:val="0"/>
          <w:numId w:val="2"/>
        </w:numPr>
        <w:spacing w:after="40" w:before="40"/>
      </w:pPr>
      <w:r>
        <w:rPr>
          <w:rFonts w:ascii="Arial" w:cs="Arial" w:eastAsia="Arial" w:hAnsi="Arial"/>
          <w:b w:val="false"/>
          <w:bCs w:val="false"/>
          <w:color w:val="1A1A1A"/>
          <w:sz w:val="21"/>
          <w:szCs w:val="21"/>
        </w:rPr>
        <w:t xml:space="preserve">API rate limiting: per-user, per-IP, and per-endpoint limits enforced at API gateway; adaptive throttling on anomalous patterns</w:t>
      </w:r>
    </w:p>
    <w:p>
      <w:pPr>
        <w:pStyle w:val="ListParagraph"/>
        <w:numPr>
          <w:ilvl w:val="0"/>
          <w:numId w:val="2"/>
        </w:numPr>
        <w:spacing w:after="40" w:before="40"/>
      </w:pPr>
      <w:r>
        <w:rPr>
          <w:rFonts w:ascii="Arial" w:cs="Arial" w:eastAsia="Arial" w:hAnsi="Arial"/>
          <w:b w:val="false"/>
          <w:bCs w:val="false"/>
          <w:color w:val="1A1A1A"/>
          <w:sz w:val="21"/>
          <w:szCs w:val="21"/>
        </w:rPr>
        <w:t xml:space="preserve">VPC isolation: all application services in private subnets; no direct internet access from compute layer; all egress via NAT Gateway with allowlisted destinations</w:t>
      </w:r>
    </w:p>
    <w:p>
      <w:pPr>
        <w:pStyle w:val="ListParagraph"/>
        <w:numPr>
          <w:ilvl w:val="0"/>
          <w:numId w:val="2"/>
        </w:numPr>
        <w:spacing w:after="40" w:before="40"/>
      </w:pPr>
      <w:r>
        <w:rPr>
          <w:rFonts w:ascii="Arial" w:cs="Arial" w:eastAsia="Arial" w:hAnsi="Arial"/>
          <w:b w:val="false"/>
          <w:bCs w:val="false"/>
          <w:color w:val="1A1A1A"/>
          <w:sz w:val="21"/>
          <w:szCs w:val="21"/>
        </w:rPr>
        <w:t xml:space="preserve">Network segmentation: separate VPC subnets for web tier, app tier, data tier; strict security group rules between tiers (least privilege)</w:t>
      </w:r>
    </w:p>
    <w:p>
      <w:pPr>
        <w:pStyle w:val="ListParagraph"/>
        <w:numPr>
          <w:ilvl w:val="0"/>
          <w:numId w:val="2"/>
        </w:numPr>
        <w:spacing w:after="40" w:before="40"/>
      </w:pPr>
      <w:r>
        <w:rPr>
          <w:rFonts w:ascii="Arial" w:cs="Arial" w:eastAsia="Arial" w:hAnsi="Arial"/>
          <w:b w:val="false"/>
          <w:bCs w:val="false"/>
          <w:color w:val="1A1A1A"/>
          <w:sz w:val="21"/>
          <w:szCs w:val="21"/>
        </w:rPr>
        <w:t xml:space="preserve">Secrets management: AWS Secrets Manager for all credentials, API keys, and database passwords; no secrets in environment variables, config files, or source code</w:t>
      </w:r>
    </w:p>
    <w:p>
      <w:pPr>
        <w:pStyle w:val="ListParagraph"/>
        <w:numPr>
          <w:ilvl w:val="0"/>
          <w:numId w:val="2"/>
        </w:numPr>
        <w:spacing w:after="40" w:before="40"/>
      </w:pPr>
      <w:r>
        <w:rPr>
          <w:rFonts w:ascii="Arial" w:cs="Arial" w:eastAsia="Arial" w:hAnsi="Arial"/>
          <w:b w:val="false"/>
          <w:bCs w:val="false"/>
          <w:color w:val="1A1A1A"/>
          <w:sz w:val="21"/>
          <w:szCs w:val="21"/>
        </w:rPr>
        <w:t xml:space="preserve">CDN security: CloudFront with signed URLs for all document access; cache poisoning protection; no sensitive data cached at edge</w:t>
      </w:r>
    </w:p>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6.4  Application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Threat</w:t>
            </w:r>
          </w:p>
        </w:tc>
        <w:tc>
          <w:tcPr>
            <w:tcW w:type="dxa" w:w="69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bCs/>
                <w:color w:val="A32D2D"/>
                <w:sz w:val="20"/>
                <w:szCs w:val="20"/>
              </w:rPr>
              <w:t xml:space="preserve">SQL injection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Parameterized queries exclusively via ORM (Prisma). No string concatenation in queries. Database account has minimal privilege (no DDL permissions in production).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bCs/>
                <w:color w:val="A32D2D"/>
                <w:sz w:val="20"/>
                <w:szCs w:val="20"/>
              </w:rPr>
              <w:t xml:space="preserve">Cross-site scripting (XSS)</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React's JSX escapes all output by default. Content Security Policy (CSP) header blocks inline scripts and unauthorized external scripts. dangerouslySetInnerHTML prohibited by ESLint rule.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bCs/>
                <w:color w:val="A32D2D"/>
                <w:sz w:val="20"/>
                <w:szCs w:val="20"/>
              </w:rPr>
              <w:t xml:space="preserve">Cross-site request forgery (CSRF)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SameSite=Strict cookie attribute; CSRF token on all state-changing operations; Origin header validation.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bCs/>
                <w:color w:val="A32D2D"/>
                <w:sz w:val="20"/>
                <w:szCs w:val="20"/>
              </w:rPr>
              <w:t xml:space="preserve">Insecure direct object reference (IDOR)</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All resource IDs are UUIDs (non-sequential). Every request validates that the authenticated user has explicit permission for the referenced resource — not just that the resource exists.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bCs/>
                <w:color w:val="A32D2D"/>
                <w:sz w:val="20"/>
                <w:szCs w:val="20"/>
              </w:rPr>
              <w:t xml:space="preserve">Mass assignment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Explicit allowlist of settable fields on every API endpoint. No automatic mapping of request body to database model.</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bCs/>
                <w:color w:val="A32D2D"/>
                <w:sz w:val="20"/>
                <w:szCs w:val="20"/>
              </w:rPr>
              <w:t xml:space="preserve">Prompt injection (AI)</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User input to AI is placed in a designated user message slot, never interpolated into system prompts. Input sanitization removes prompt-injection patterns. Output validation detects and blocks exfiltration attempts.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bCs/>
                <w:color w:val="A32D2D"/>
                <w:sz w:val="20"/>
                <w:szCs w:val="20"/>
              </w:rPr>
              <w:t xml:space="preserve">Dependency vulnerabilities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Dependabot alerts with automated PR for patch versions. Snyk scanning in CI pipeline — high/critical CVEs block deployment. Software Bill of Materials (SBOM) maintained per release.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bCs/>
                <w:color w:val="A32D2D"/>
                <w:sz w:val="20"/>
                <w:szCs w:val="20"/>
              </w:rPr>
              <w:t xml:space="preserve">Insider threat</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Production database access requires break-glass procedure with MFA, time-limited credentials, and automatic audit trail. No developer has standing access to production user data. Quarterly access review.</w:t>
            </w:r>
          </w:p>
        </w:tc>
      </w:tr>
    </w:tbl>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6.5  HIPAA compliance architecture</w:t>
      </w:r>
    </w:p>
    <w:p>
      <w:pPr>
        <w:spacing w:after="80" w:before="60"/>
        <w:jc w:val="left"/>
      </w:pPr>
      <w:r>
        <w:rPr>
          <w:rFonts w:ascii="Arial" w:cs="Arial" w:eastAsia="Arial" w:hAnsi="Arial"/>
          <w:b w:val="false"/>
          <w:bCs w:val="false"/>
          <w:color w:val="1A1A1A"/>
          <w:sz w:val="22"/>
          <w:szCs w:val="22"/>
        </w:rPr>
        <w:t xml:space="preserve">While Aging Gracefully is not a covered entity, it handles Protected Health Information (PHI) as a Business Associate for any healthcare provider integrations and handles health information with HIPAA-equivalent standards throughout as a matter of design policy.</w:t>
      </w:r>
    </w:p>
    <w:p>
      <w:pPr>
        <w:spacing w:after="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HIPAA safeguard</w:t>
            </w:r>
          </w:p>
        </w:tc>
        <w:tc>
          <w:tcPr>
            <w:tcW w:type="dxa" w:w="69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bCs/>
                <w:color w:val="1A1A1A"/>
                <w:sz w:val="20"/>
                <w:szCs w:val="20"/>
              </w:rPr>
              <w:t xml:space="preserve">Administrative safeguards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Designated Security Officer role. Annual security training for all staff. Workforce access controls — minimum necessary access principle. Sanction policy for violations. Business Associate Agreements (BAA) with all sub-processors (AWS, Auth0, Anthropic).</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bCs/>
                <w:color w:val="1A1A1A"/>
                <w:sz w:val="20"/>
                <w:szCs w:val="20"/>
              </w:rPr>
              <w:t xml:space="preserve">Physical safeguards</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AWS data centers (SOC 1/2/3, ISO 27001). No PHI on developer workstations — access only via hardened bastion host. Clean desk policy. Device encryption mandatory (MDM enforced).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bCs/>
                <w:color w:val="1A1A1A"/>
                <w:sz w:val="20"/>
                <w:szCs w:val="20"/>
              </w:rPr>
              <w:t xml:space="preserve">Technical safeguards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Unique user identification (no shared credentials). Automatic session logoff (configurable, default 30 min idle). Encryption at rest and in transit (see 6.2). Audit controls — complete access log for all PHI. Integrity controls — file hashing on upload and verification on download. Transmission security — TLS 1.3 everywhere.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bCs/>
                <w:color w:val="1A1A1A"/>
                <w:sz w:val="20"/>
                <w:szCs w:val="20"/>
              </w:rPr>
              <w:t xml:space="preserve">Breach notification</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Documented breach response procedure. 60-day notification window (HIPAA Rule). Designated breach response team. Annual breach simulation exercise. Cyber liability insurance maintained.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bCs/>
                <w:color w:val="1A1A1A"/>
                <w:sz w:val="20"/>
                <w:szCs w:val="20"/>
              </w:rPr>
              <w:t xml:space="preserve">Right of access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Users can export all their data in machine-readable format (JSON + PDF) within 30 days of request. Account deletion removes PHI within 30 days (except where retention required by law). In-app data export tool — no support ticket required.</w:t>
            </w:r>
          </w:p>
        </w:tc>
      </w:tr>
    </w:tbl>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6.6  Audit &amp;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tblHeader/>
        </w:trPr>
        <w:tc>
          <w:tcPr>
            <w:tcW w:type="dxa" w:w="2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Capability</w:t>
            </w:r>
          </w:p>
        </w:tc>
        <w:tc>
          <w:tcPr>
            <w:tcW w:type="dxa" w:w="47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Detail</w:t>
            </w:r>
          </w:p>
        </w:tc>
        <w:tc>
          <w:tcPr>
            <w:tcW w:type="dxa" w:w="2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Retention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Application audit log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Every data access, modification, share, permission change, and login event. Actor, timestamp, IP hash, resource, action, outcome. Append-only. Tamper-evident via periodic hash chaining.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7 years (HIPAA)</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Infrastructure logs</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AWS CloudTrail (all API calls), VPC Flow Logs (network traffic), WAF logs (all requests). Shipped to centralized SIEM.</w:t>
            </w:r>
          </w:p>
        </w:tc>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1 year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Application performance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Datadog APM: distributed traces across all services; error rates, latency percentiles, saturation metrics. Alerting on SLA thresholds.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90 days detailed; 1 year aggregated</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Security event monitoring</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SIEM (AWS Security Hub + Datadog SIEM): anomaly detection on login patterns, data access velocity, geographic anomalies. PagerDuty escalation for P1 security events.</w:t>
            </w:r>
          </w:p>
        </w:tc>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1 year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AI interaction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All LLM prompts and responses logged (encrypted) for safety review, abuse detection, and quality assurance. Reviewed by safety team monthly.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1 year; user-deletable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Vulnerability scanning</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Daily automated scan of production infrastructure. Weekly DAST scan of API endpoints. Quarterly SAST review of source code. Annual external penetration test.</w:t>
            </w:r>
          </w:p>
        </w:tc>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Findings tracked to remediation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80"/>
              <w:left w:type="dxa" w:w="280"/>
              <w:bottom w:type="dxa" w:w="180"/>
              <w:right w:type="dxa" w:w="280"/>
            </w:tcMar>
          </w:tcPr>
          <w:p>
            <w:pPr>
              <w:spacing w:after="40" w:before="60"/>
              <w:jc w:val="left"/>
            </w:pPr>
            <w:r>
              <w:rPr>
                <w:rFonts w:ascii="Arial" w:cs="Arial" w:eastAsia="Arial" w:hAnsi="Arial"/>
                <w:b/>
                <w:bCs/>
                <w:color w:val="444441"/>
                <w:sz w:val="30"/>
                <w:szCs w:val="30"/>
              </w:rPr>
              <w:t xml:space="preserve">7.  Reliability, scalability &amp; operations</w:t>
            </w:r>
          </w:p>
          <w:p>
            <w:pPr>
              <w:spacing w:after="60" w:before="60"/>
              <w:jc w:val="left"/>
            </w:pPr>
            <w:r>
              <w:rPr>
                <w:rFonts w:ascii="Arial" w:cs="Arial" w:eastAsia="Arial" w:hAnsi="Arial"/>
                <w:b w:val="false"/>
                <w:bCs w:val="false"/>
                <w:color w:val="444441"/>
                <w:sz w:val="20"/>
                <w:szCs w:val="20"/>
              </w:rPr>
              <w:t xml:space="preserve">Built to be available when it matters most — including 3am in a hospital waiting room</w:t>
            </w:r>
          </w:p>
        </w:tc>
      </w:tr>
    </w:tbl>
    <w:p>
      <w:pPr>
        <w:spacing w:after="0" w:before="12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7.1  SLA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80"/>
        <w:gridCol w:w="2080"/>
      </w:tblGrid>
      <w:tr>
        <w:trPr>
          <w:tblHeader/>
        </w:trPr>
        <w:tc>
          <w:tcPr>
            <w:tcW w:type="dxa" w:w="2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Service</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Availability SLA</w:t>
            </w:r>
          </w:p>
        </w:tc>
        <w:tc>
          <w:tcPr>
            <w:tcW w:type="dxa" w:w="208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RTO</w:t>
            </w:r>
          </w:p>
        </w:tc>
        <w:tc>
          <w:tcPr>
            <w:tcW w:type="dxa" w:w="208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RPO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Platform (overall)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99.9% (&lt; 8.7 hrs downtime/year)</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&lt; 1 hour</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&lt; 15 minutes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Document Vault (read)</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99.95% — prioritized as emergency asset</w:t>
            </w:r>
          </w:p>
        </w:tc>
        <w:tc>
          <w:tcPr>
            <w:tcW w:type="dxa" w:w="2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&lt; 15 minutes</w:t>
            </w:r>
          </w:p>
        </w:tc>
        <w:tc>
          <w:tcPr>
            <w:tcW w:type="dxa" w:w="2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&lt; 5 minutes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Emergency share packet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99.99% — treated as safety-critical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&lt; 5 minutes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&lt; 1 minute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AI assistant</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99.5% — graceful fallback to static content on degradation</w:t>
            </w:r>
          </w:p>
        </w:tc>
        <w:tc>
          <w:tcPr>
            <w:tcW w:type="dxa" w:w="2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&lt; 30 minutes</w:t>
            </w:r>
          </w:p>
        </w:tc>
        <w:tc>
          <w:tcPr>
            <w:tcW w:type="dxa" w:w="2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N/A (stateless)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Notifications (critical)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99.9%</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&lt; 15 minutes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&lt; 5 minutes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Background jobs (non-critical)</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99.0%</w:t>
            </w:r>
          </w:p>
        </w:tc>
        <w:tc>
          <w:tcPr>
            <w:tcW w:type="dxa" w:w="2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&lt; 4 hours</w:t>
            </w:r>
          </w:p>
        </w:tc>
        <w:tc>
          <w:tcPr>
            <w:tcW w:type="dxa" w:w="2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&lt; 1 hour</w:t>
            </w:r>
          </w:p>
        </w:tc>
      </w:tr>
    </w:tbl>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7.2  Multi-region &amp; disaster recovery</w:t>
      </w:r>
    </w:p>
    <w:p>
      <w:pPr>
        <w:pStyle w:val="ListParagraph"/>
        <w:numPr>
          <w:ilvl w:val="0"/>
          <w:numId w:val="2"/>
        </w:numPr>
        <w:spacing w:after="40" w:before="40"/>
      </w:pPr>
      <w:r>
        <w:rPr>
          <w:rFonts w:ascii="Arial" w:cs="Arial" w:eastAsia="Arial" w:hAnsi="Arial"/>
          <w:b w:val="false"/>
          <w:bCs w:val="false"/>
          <w:color w:val="1A1A1A"/>
          <w:sz w:val="21"/>
          <w:szCs w:val="21"/>
        </w:rPr>
        <w:t xml:space="preserve">Primary region: US-East-1 (N. Virginia). Warm standby: US-West-2 (Oregon).</w:t>
      </w:r>
    </w:p>
    <w:p>
      <w:pPr>
        <w:pStyle w:val="ListParagraph"/>
        <w:numPr>
          <w:ilvl w:val="0"/>
          <w:numId w:val="2"/>
        </w:numPr>
        <w:spacing w:after="40" w:before="40"/>
      </w:pPr>
      <w:r>
        <w:rPr>
          <w:rFonts w:ascii="Arial" w:cs="Arial" w:eastAsia="Arial" w:hAnsi="Arial"/>
          <w:b w:val="false"/>
          <w:bCs w:val="false"/>
          <w:color w:val="1A1A1A"/>
          <w:sz w:val="21"/>
          <w:szCs w:val="21"/>
        </w:rPr>
        <w:t xml:space="preserve">RDS Aurora Global Database: &lt; 1 second replication lag to standby region; automatic failover in &lt; 30 seconds.</w:t>
      </w:r>
    </w:p>
    <w:p>
      <w:pPr>
        <w:pStyle w:val="ListParagraph"/>
        <w:numPr>
          <w:ilvl w:val="0"/>
          <w:numId w:val="2"/>
        </w:numPr>
        <w:spacing w:after="40" w:before="40"/>
      </w:pPr>
      <w:r>
        <w:rPr>
          <w:rFonts w:ascii="Arial" w:cs="Arial" w:eastAsia="Arial" w:hAnsi="Arial"/>
          <w:b w:val="false"/>
          <w:bCs w:val="false"/>
          <w:color w:val="1A1A1A"/>
          <w:sz w:val="21"/>
          <w:szCs w:val="21"/>
        </w:rPr>
        <w:t xml:space="preserve">S3 Cross-Region Replication: all document storage replicated to secondary region in real time.</w:t>
      </w:r>
    </w:p>
    <w:p>
      <w:pPr>
        <w:pStyle w:val="ListParagraph"/>
        <w:numPr>
          <w:ilvl w:val="0"/>
          <w:numId w:val="2"/>
        </w:numPr>
        <w:spacing w:after="40" w:before="40"/>
      </w:pPr>
      <w:r>
        <w:rPr>
          <w:rFonts w:ascii="Arial" w:cs="Arial" w:eastAsia="Arial" w:hAnsi="Arial"/>
          <w:b w:val="false"/>
          <w:bCs w:val="false"/>
          <w:color w:val="1A1A1A"/>
          <w:sz w:val="21"/>
          <w:szCs w:val="21"/>
        </w:rPr>
        <w:t xml:space="preserve">DNS failover via Route 53 health checks: automatic cutover if primary region health check fails for &gt; 30 seconds.</w:t>
      </w:r>
    </w:p>
    <w:p>
      <w:pPr>
        <w:pStyle w:val="ListParagraph"/>
        <w:numPr>
          <w:ilvl w:val="0"/>
          <w:numId w:val="2"/>
        </w:numPr>
        <w:spacing w:after="40" w:before="40"/>
      </w:pPr>
      <w:r>
        <w:rPr>
          <w:rFonts w:ascii="Arial" w:cs="Arial" w:eastAsia="Arial" w:hAnsi="Arial"/>
          <w:b w:val="false"/>
          <w:bCs w:val="false"/>
          <w:color w:val="1A1A1A"/>
          <w:sz w:val="21"/>
          <w:szCs w:val="21"/>
        </w:rPr>
        <w:t xml:space="preserve">Chaos engineering: monthly automated chaos experiments (Gremlin) against production-like staging environment.</w:t>
      </w:r>
    </w:p>
    <w:p>
      <w:pPr>
        <w:pStyle w:val="ListParagraph"/>
        <w:numPr>
          <w:ilvl w:val="0"/>
          <w:numId w:val="2"/>
        </w:numPr>
        <w:spacing w:after="40" w:before="40"/>
      </w:pPr>
      <w:r>
        <w:rPr>
          <w:rFonts w:ascii="Arial" w:cs="Arial" w:eastAsia="Arial" w:hAnsi="Arial"/>
          <w:b w:val="false"/>
          <w:bCs w:val="false"/>
          <w:color w:val="1A1A1A"/>
          <w:sz w:val="21"/>
          <w:szCs w:val="21"/>
        </w:rPr>
        <w:t xml:space="preserve">Runbooks: documented runbook for every P1 alert condition; runbooks tested in quarterly game days.</w:t>
      </w:r>
    </w:p>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7.3  Deployment &amp; release process</w:t>
      </w:r>
    </w:p>
    <w:p>
      <w:pPr>
        <w:pStyle w:val="ListParagraph"/>
        <w:numPr>
          <w:ilvl w:val="0"/>
          <w:numId w:val="2"/>
        </w:numPr>
        <w:spacing w:after="40" w:before="40"/>
      </w:pPr>
      <w:r>
        <w:rPr>
          <w:rFonts w:ascii="Arial" w:cs="Arial" w:eastAsia="Arial" w:hAnsi="Arial"/>
          <w:b w:val="false"/>
          <w:bCs w:val="false"/>
          <w:color w:val="1A1A1A"/>
          <w:sz w:val="21"/>
          <w:szCs w:val="21"/>
        </w:rPr>
        <w:t xml:space="preserve">All infrastructure defined as code (Terraform); no manual changes to production.</w:t>
      </w:r>
    </w:p>
    <w:p>
      <w:pPr>
        <w:pStyle w:val="ListParagraph"/>
        <w:numPr>
          <w:ilvl w:val="0"/>
          <w:numId w:val="2"/>
        </w:numPr>
        <w:spacing w:after="40" w:before="40"/>
      </w:pPr>
      <w:r>
        <w:rPr>
          <w:rFonts w:ascii="Arial" w:cs="Arial" w:eastAsia="Arial" w:hAnsi="Arial"/>
          <w:b w:val="false"/>
          <w:bCs w:val="false"/>
          <w:color w:val="1A1A1A"/>
          <w:sz w:val="21"/>
          <w:szCs w:val="21"/>
        </w:rPr>
        <w:t xml:space="preserve">Three environments: development → staging (production-mirror) → production.</w:t>
      </w:r>
    </w:p>
    <w:p>
      <w:pPr>
        <w:pStyle w:val="ListParagraph"/>
        <w:numPr>
          <w:ilvl w:val="0"/>
          <w:numId w:val="2"/>
        </w:numPr>
        <w:spacing w:after="40" w:before="40"/>
      </w:pPr>
      <w:r>
        <w:rPr>
          <w:rFonts w:ascii="Arial" w:cs="Arial" w:eastAsia="Arial" w:hAnsi="Arial"/>
          <w:b w:val="false"/>
          <w:bCs w:val="false"/>
          <w:color w:val="1A1A1A"/>
          <w:sz w:val="21"/>
          <w:szCs w:val="21"/>
        </w:rPr>
        <w:t xml:space="preserve">Feature flags (LaunchDarkly) for all new features: gradual rollout, instant kill switch, per-user targeting.</w:t>
      </w:r>
    </w:p>
    <w:p>
      <w:pPr>
        <w:pStyle w:val="ListParagraph"/>
        <w:numPr>
          <w:ilvl w:val="0"/>
          <w:numId w:val="2"/>
        </w:numPr>
        <w:spacing w:after="40" w:before="40"/>
      </w:pPr>
      <w:r>
        <w:rPr>
          <w:rFonts w:ascii="Arial" w:cs="Arial" w:eastAsia="Arial" w:hAnsi="Arial"/>
          <w:b w:val="false"/>
          <w:bCs w:val="false"/>
          <w:color w:val="1A1A1A"/>
          <w:sz w:val="21"/>
          <w:szCs w:val="21"/>
        </w:rPr>
        <w:t xml:space="preserve">Blue/green deployments for zero-downtime releases; automated rollback on error rate spike &gt; 2x baseline.</w:t>
      </w:r>
    </w:p>
    <w:p>
      <w:pPr>
        <w:pStyle w:val="ListParagraph"/>
        <w:numPr>
          <w:ilvl w:val="0"/>
          <w:numId w:val="2"/>
        </w:numPr>
        <w:spacing w:after="40" w:before="40"/>
      </w:pPr>
      <w:r>
        <w:rPr>
          <w:rFonts w:ascii="Arial" w:cs="Arial" w:eastAsia="Arial" w:hAnsi="Arial"/>
          <w:b w:val="false"/>
          <w:bCs w:val="false"/>
          <w:color w:val="1A1A1A"/>
          <w:sz w:val="21"/>
          <w:szCs w:val="21"/>
        </w:rPr>
        <w:t xml:space="preserve">Database migrations: backwards-compatible schema changes only; expand-contract pattern for breaking changes.</w:t>
      </w:r>
    </w:p>
    <w:p>
      <w:pPr>
        <w:pStyle w:val="ListParagraph"/>
        <w:numPr>
          <w:ilvl w:val="0"/>
          <w:numId w:val="2"/>
        </w:numPr>
        <w:spacing w:after="40" w:before="40"/>
      </w:pPr>
      <w:r>
        <w:rPr>
          <w:rFonts w:ascii="Arial" w:cs="Arial" w:eastAsia="Arial" w:hAnsi="Arial"/>
          <w:b w:val="false"/>
          <w:bCs w:val="false"/>
          <w:color w:val="1A1A1A"/>
          <w:sz w:val="21"/>
          <w:szCs w:val="21"/>
        </w:rPr>
        <w:t xml:space="preserve">Release cadence: weekly releases for features; same-day for security patches (P1 vulnerabilities).</w:t>
      </w:r>
    </w:p>
    <w:p>
      <w:r>
        <w:br w:type="page"/>
      </w:r>
    </w:p>
    <w:p>
      <w:pPr>
        <w:pStyle w:val="Heading1"/>
        <w:pBdr>
          <w:bottom w:val="single" w:color="0F6E56" w:sz="6" w:space="8"/>
        </w:pBdr>
        <w:spacing w:after="120" w:before="400"/>
      </w:pPr>
      <w:r>
        <w:rPr>
          <w:rFonts w:ascii="Arial" w:cs="Arial" w:eastAsia="Arial" w:hAnsi="Arial"/>
          <w:b/>
          <w:bCs/>
          <w:color w:val="0F6E56"/>
          <w:sz w:val="34"/>
          <w:szCs w:val="34"/>
        </w:rPr>
        <w:t xml:space="preserve">8.  Privacy architecture &amp; compliance summary</w:t>
      </w:r>
    </w:p>
    <w:p>
      <w:pPr>
        <w:spacing w:after="0" w:before="8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8.1  Privacy-by-design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Principle</w:t>
            </w:r>
          </w:p>
        </w:tc>
        <w:tc>
          <w:tcPr>
            <w:tcW w:type="dxa" w:w="71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Commitment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bCs/>
                <w:color w:val="0F6E56"/>
                <w:sz w:val="20"/>
                <w:szCs w:val="20"/>
              </w:rPr>
              <w:t xml:space="preserve">Data minimization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We collect only what is necessary for the stated purpose. No behavioral tracking beyond session analytics. No sale of user data. No use of health data for advertising.</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bCs/>
                <w:color w:val="0F6E56"/>
                <w:sz w:val="20"/>
                <w:szCs w:val="20"/>
              </w:rPr>
              <w:t xml:space="preserve">Purpose limitation</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Data collected for caregiving support is used only for caregiving support. Analytics data is aggregated and anonymized before use in product decisions.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bCs/>
                <w:color w:val="0F6E56"/>
                <w:sz w:val="20"/>
                <w:szCs w:val="20"/>
              </w:rPr>
              <w:t xml:space="preserve">User control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Users can export all their data, delete their account and all associated data, revoke any third-party access, and opt out of any analytics — all through in-app self-service tools, with no support ticket required.</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bCs/>
                <w:color w:val="0F6E56"/>
                <w:sz w:val="20"/>
                <w:szCs w:val="20"/>
              </w:rPr>
              <w:t xml:space="preserve">Transparency</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Plain-English privacy notice. No 'dark patterns' in consent flows. Explicit opt-in for any data use beyond core functionality. Cookie consent via Cookiebot (no dark patterns).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bCs/>
                <w:color w:val="0F6E56"/>
                <w:sz w:val="20"/>
                <w:szCs w:val="20"/>
              </w:rPr>
              <w:t xml:space="preserve">Third-party sub-processors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Published list of all sub-processors with data they access. BAA in place with every sub-processor who touches PHI. Sub-processor list updated within 30 days of any change.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bCs/>
                <w:color w:val="0F6E56"/>
                <w:sz w:val="20"/>
                <w:szCs w:val="20"/>
              </w:rPr>
              <w:t xml:space="preserve">AI data policy</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No user data used for AI model training without explicit opt-in. AI conversations stored encrypted; user-deletable. PII stripped before LLM processing. No data shared with AI provider beyond what is in the API call.</w:t>
            </w:r>
          </w:p>
        </w:tc>
      </w:tr>
    </w:tbl>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8.2  Compliance certification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000"/>
        <w:gridCol w:w="2360"/>
      </w:tblGrid>
      <w:tr>
        <w:trPr>
          <w:tblHeader/>
        </w:trPr>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Certification</w:t>
            </w:r>
          </w:p>
        </w:tc>
        <w:tc>
          <w:tcPr>
            <w:tcW w:type="dxa" w:w="1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Target date</w:t>
            </w:r>
          </w:p>
        </w:tc>
        <w:tc>
          <w:tcPr>
            <w:tcW w:type="dxa" w:w="3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Current status</w:t>
            </w:r>
          </w:p>
        </w:tc>
        <w:tc>
          <w:tcPr>
            <w:tcW w:type="dxa" w:w="23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60" w:before="60"/>
              <w:jc w:val="left"/>
            </w:pPr>
            <w:r>
              <w:rPr>
                <w:rFonts w:ascii="Arial" w:cs="Arial" w:eastAsia="Arial" w:hAnsi="Arial"/>
                <w:b/>
                <w:bCs/>
                <w:color w:val="FFFFFF"/>
                <w:sz w:val="19"/>
                <w:szCs w:val="19"/>
              </w:rPr>
              <w:t xml:space="preserve">Owner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SOC 2 Type 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Month 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Pre-audit gap assessment complete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CISO + External auditor</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SOC 2 Type II</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Month 18</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Observation period begins at Type I</w:t>
            </w:r>
          </w:p>
        </w:tc>
        <w:tc>
          <w:tcPr>
            <w:tcW w:type="dxa" w:w="2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CISO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HIPAA BAA with AWS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Month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In negotiation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Legal + Engineering</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HIPAA BAA with Anthropic</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Month 2</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In negotiation</w:t>
            </w:r>
          </w:p>
        </w:tc>
        <w:tc>
          <w:tcPr>
            <w:tcW w:type="dxa" w:w="2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Legal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Penetration test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Month 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Vendor selected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CISO</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WCAG 2.2 AA audit</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Month 4</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Automated testing live in CI</w:t>
            </w:r>
          </w:p>
        </w:tc>
        <w:tc>
          <w:tcPr>
            <w:tcW w:type="dxa" w:w="2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Head of Design + Eng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CCPA compliance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Month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Data mapping in progress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Legal + DPO</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Cyber liability insurance</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Month 2</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Broker engaged</w:t>
            </w:r>
          </w:p>
        </w:tc>
        <w:tc>
          <w:tcPr>
            <w:tcW w:type="dxa" w:w="2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60" w:before="60"/>
              <w:jc w:val="left"/>
            </w:pPr>
            <w:r>
              <w:rPr>
                <w:rFonts w:ascii="Arial" w:cs="Arial" w:eastAsia="Arial" w:hAnsi="Arial"/>
                <w:b w:val="false"/>
                <w:bCs w:val="false"/>
                <w:color w:val="1A1A1A"/>
                <w:sz w:val="20"/>
                <w:szCs w:val="20"/>
              </w:rPr>
              <w:t xml:space="preserve">CFO + Legal</w:t>
            </w:r>
          </w:p>
        </w:tc>
      </w:tr>
    </w:tbl>
    <w:p>
      <w:pPr>
        <w:spacing w:after="0" w:before="240"/>
      </w:pPr>
      <w:r>
        <w:rPr>
          <w:rFonts w:ascii="Arial" w:cs="Arial" w:eastAsia="Arial" w:hAnsi="Arial"/>
          <w:b w:val="false"/>
          <w:bCs w:val="false"/>
          <w:color w:val="1A1A1A"/>
          <w:sz w:val="22"/>
          <w:szCs w:val="22"/>
        </w:rPr>
        <w:t xml:space="preserve"/>
      </w:r>
    </w:p>
    <w:p>
      <w:pPr>
        <w:pBdr>
          <w:bottom w:val="single" w:color="D3D1C7" w:sz="2" w:space="4"/>
        </w:pBdr>
        <w:spacing w:after="120" w:before="0"/>
      </w:pPr>
      <w:r>
        <w:rPr>
          <w:rFonts w:ascii="Arial" w:cs="Arial" w:eastAsia="Arial" w:hAnsi="Arial"/>
          <w:b w:val="false"/>
          <w:bCs w:val="false"/>
          <w:color w:val="1A1A1A"/>
          <w:sz w:val="22"/>
          <w:szCs w:val="22"/>
        </w:rPr>
        <w:t xml:space="preserve"/>
      </w:r>
    </w:p>
    <w:p>
      <w:pPr>
        <w:spacing w:after="60" w:before="60"/>
        <w:jc w:val="center"/>
      </w:pPr>
      <w:r>
        <w:rPr>
          <w:rFonts w:ascii="Arial" w:cs="Arial" w:eastAsia="Arial" w:hAnsi="Arial"/>
          <w:b w:val="false"/>
          <w:bCs w:val="false"/>
          <w:color w:val="5F5E5A"/>
          <w:sz w:val="18"/>
          <w:szCs w:val="18"/>
        </w:rPr>
        <w:t xml:space="preserve">Aging Gracefully — Technical Architecture Specification  ·  v1.0  ·  Confidential  ·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space="6"/>
      </w:pBdr>
      <w:tabs>
        <w:tab w:val="right" w:pos="9026"/>
      </w:tabs>
      <w:spacing w:after="0" w:before="80"/>
    </w:pPr>
    <w:r>
      <w:rPr>
        <w:rFonts w:ascii="Arial" w:cs="Arial" w:eastAsia="Arial" w:hAnsi="Arial"/>
        <w:b w:val="false"/>
        <w:bCs w:val="false"/>
        <w:color w:val="5F5E5A"/>
        <w:sz w:val="16"/>
        <w:szCs w:val="16"/>
      </w:rPr>
      <w:t xml:space="preserve">© 2025 Aging Gracefully. All rights reserved.</w:t>
    </w:r>
    <w:r>
      <w:rPr>
        <w:rFonts w:ascii="Arial" w:cs="Arial" w:eastAsia="Arial" w:hAnsi="Arial"/>
        <w:b w:val="false"/>
        <w:bCs w:val="false"/>
        <w:color w:val="5F5E5A"/>
        <w:sz w:val="16"/>
        <w:szCs w:val="16"/>
      </w:rPr>
      <w:t xml:space="preserve">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8"/>
      </w:pBdr>
      <w:tabs>
        <w:tab w:val="right" w:pos="9026"/>
      </w:tabs>
      <w:spacing w:after="100" w:before="0"/>
    </w:pPr>
    <w:r>
      <w:rPr>
        <w:rFonts w:ascii="Arial" w:cs="Arial" w:eastAsia="Arial" w:hAnsi="Arial"/>
        <w:b w:val="false"/>
        <w:bCs w:val="false"/>
        <w:color w:val="5F5E5A"/>
        <w:sz w:val="18"/>
        <w:szCs w:val="18"/>
      </w:rPr>
      <w:t xml:space="preserve">Aging Gracefully — Technical Architecture Specification</w:t>
    </w:r>
    <w:r>
      <w:rPr>
        <w:rFonts w:ascii="Arial" w:cs="Arial" w:eastAsia="Arial" w:hAnsi="Arial"/>
        <w:b/>
        <w:bCs/>
        <w:color w:val="0F6E56"/>
        <w:sz w:val="18"/>
        <w:szCs w:val="18"/>
      </w:rPr>
      <w:t xml:space="preserve">	CONFIDENTIAL  ·  v1.0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lvl w:ilvl="2" w15:tentative="1">
      <w:start w:val="1"/>
      <w:numFmt w:val="bullet"/>
      <w:lvlText w:val="▪"/>
      <w:lvlJc w:val="left"/>
      <w:pPr>
        <w:ind w:left="144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sz w:val="34"/>
      <w:szCs w:val="34"/>
    </w:rPr>
  </w:style>
  <w:style w:type="paragraph" w:styleId="Heading2">
    <w:name w:val="Heading 2"/>
    <w:basedOn w:val="Normal"/>
    <w:next w:val="Normal"/>
    <w:qFormat/>
    <w:pPr>
      <w:spacing w:after="80" w:before="300"/>
      <w:outlineLvl w:val="1"/>
    </w:pPr>
    <w:rPr>
      <w:rFonts w:ascii="Arial" w:cs="Arial" w:eastAsia="Arial" w:hAnsi="Arial"/>
      <w:b/>
      <w:bCs/>
      <w:sz w:val="27"/>
      <w:szCs w:val="27"/>
    </w:rPr>
  </w:style>
  <w:style w:type="paragraph" w:styleId="Heading3">
    <w:name w:val="Heading 3"/>
    <w:basedOn w:val="Normal"/>
    <w:next w:val="Normal"/>
    <w:qFormat/>
    <w:pPr>
      <w:spacing w:after="6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2026-04-19T01:48:30.817Z</dcterms:created>
  <dcterms:modified xsi:type="dcterms:W3CDTF">2026-04-19T01:48:30.819Z</dcterms:modified>
</cp:coreProperties>
</file>

<file path=docProps/custom.xml><?xml version="1.0" encoding="utf-8"?>
<Properties xmlns="http://schemas.openxmlformats.org/officeDocument/2006/custom-properties" xmlns:vt="http://schemas.openxmlformats.org/officeDocument/2006/docPropsVTypes"/>
</file>