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val="false"/>
          <w:bCs w:val="false"/>
          <w:color w:val="1A1A1A"/>
          <w:sz w:val="22"/>
          <w:szCs w:val="22"/>
        </w:rPr>
        <w:t xml:space="preserve"/>
      </w:r>
    </w:p>
    <w:p>
      <w:pPr>
        <w:spacing w:after="60" w:before="0"/>
        <w:jc w:val="center"/>
      </w:pPr>
      <w:r>
        <w:rPr>
          <w:rFonts w:ascii="Arial" w:cs="Arial" w:eastAsia="Arial" w:hAnsi="Arial"/>
          <w:b/>
          <w:bCs/>
          <w:color w:val="0F6E56"/>
          <w:sz w:val="52"/>
          <w:szCs w:val="52"/>
        </w:rPr>
        <w:t xml:space="preserve">AGING GRACEFULLY</w:t>
      </w:r>
    </w:p>
    <w:p>
      <w:pPr>
        <w:spacing w:after="60" w:before="0"/>
        <w:jc w:val="center"/>
      </w:pPr>
      <w:r>
        <w:rPr>
          <w:rFonts w:ascii="Arial" w:cs="Arial" w:eastAsia="Arial" w:hAnsi="Arial"/>
          <w:b w:val="false"/>
          <w:bCs w:val="false"/>
          <w:color w:val="1A1A1A"/>
          <w:sz w:val="32"/>
          <w:szCs w:val="32"/>
        </w:rPr>
        <w:t xml:space="preserve">FHIR &amp; SMS / Voice Integration</w:t>
      </w:r>
    </w:p>
    <w:p>
      <w:pPr>
        <w:spacing w:after="400" w:before="0"/>
        <w:jc w:val="center"/>
      </w:pPr>
      <w:r>
        <w:rPr>
          <w:rFonts w:ascii="Arial" w:cs="Arial" w:eastAsia="Arial" w:hAnsi="Arial"/>
          <w:b w:val="false"/>
          <w:bCs w:val="false"/>
          <w:color w:val="5F5E5A"/>
          <w:sz w:val="24"/>
          <w:szCs w:val="24"/>
        </w:rPr>
        <w:t xml:space="preserve">Architecture &amp; Design Specification</w:t>
      </w:r>
    </w:p>
    <w:p>
      <w:pPr>
        <w:pBdr>
          <w:bottom w:val="single" w:color="0F6E56" w:sz="2" w:space="4"/>
        </w:pBdr>
        <w:spacing w:after="120" w:before="0"/>
      </w:pPr>
      <w:r>
        <w:rPr>
          <w:rFonts w:ascii="Arial" w:cs="Arial" w:eastAsia="Arial" w:hAnsi="Arial"/>
          <w:b w:val="false"/>
          <w:bCs w:val="false"/>
          <w:color w:val="1A1A1A"/>
          <w:sz w:val="22"/>
          <w:szCs w:val="22"/>
        </w:rPr>
        <w:t xml:space="preserve"/>
      </w:r>
    </w:p>
    <w:p>
      <w:pPr>
        <w:spacing w:after="0" w:before="80"/>
      </w:pPr>
      <w:r>
        <w:rPr>
          <w:rFonts w:ascii="Arial" w:cs="Arial" w:eastAsia="Arial" w:hAnsi="Arial"/>
          <w:b w:val="false"/>
          <w:bCs w:val="false"/>
          <w:color w:val="1A1A1A"/>
          <w:sz w:val="22"/>
          <w:szCs w:val="22"/>
        </w:rPr>
        <w:t xml:space="preserve"/>
      </w:r>
    </w:p>
    <w:p>
      <w:pPr>
        <w:spacing w:after="60" w:before="0"/>
        <w:jc w:val="center"/>
      </w:pPr>
      <w:r>
        <w:rPr>
          <w:rFonts w:ascii="Arial" w:cs="Arial" w:eastAsia="Arial" w:hAnsi="Arial"/>
          <w:b w:val="false"/>
          <w:bCs w:val="false"/>
          <w:color w:val="1A1A1A"/>
          <w:sz w:val="24"/>
          <w:szCs w:val="24"/>
        </w:rPr>
        <w:t xml:space="preserve">Connecting the medical record system to the platform, and bringing the platform to parents who will never download an app.</w:t>
      </w:r>
    </w:p>
    <w:p>
      <w:pPr>
        <w:spacing w:after="0" w:before="40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40"/>
              <w:bottom w:type="dxa" w:w="160"/>
              <w:right w:type="dxa" w:w="240"/>
            </w:tcMar>
          </w:tcPr>
          <w:p>
            <w:pPr>
              <w:spacing w:after="60" w:before="0"/>
              <w:jc w:val="left"/>
            </w:pPr>
            <w:r>
              <w:rPr>
                <w:rFonts w:ascii="Arial" w:cs="Arial" w:eastAsia="Arial" w:hAnsi="Arial"/>
                <w:b/>
                <w:bCs/>
                <w:color w:val="0F6E56"/>
                <w:sz w:val="22"/>
                <w:szCs w:val="22"/>
              </w:rPr>
              <w:t xml:space="preserve">What this document covers</w:t>
            </w:r>
          </w:p>
          <w:p>
            <w:pPr>
              <w:spacing w:after="60" w:before="0"/>
              <w:jc w:val="left"/>
            </w:pPr>
            <w:r>
              <w:rPr>
                <w:rFonts w:ascii="Arial" w:cs="Arial" w:eastAsia="Arial" w:hAnsi="Arial"/>
                <w:b w:val="false"/>
                <w:bCs w:val="false"/>
                <w:color w:val="085041"/>
                <w:sz w:val="21"/>
                <w:szCs w:val="21"/>
              </w:rPr>
              <w:t xml:space="preserve">Part 1 — FHIR Integration: How the platform connects to the US health record infrastructure via SMART on FHIR R4. Covers the consent flow, data ingestion pipeline, data normalization, what gets imported, how it surfaces in the Health Hub, and ongoing sync architecture. Includes security and HIPAA considerations specific to EHR data.</w:t>
            </w:r>
          </w:p>
          <w:p>
            <w:pPr>
              <w:spacing w:after="0" w:before="0"/>
              <w:jc w:val="left"/>
            </w:pPr>
            <w:r>
              <w:rPr>
                <w:rFonts w:ascii="Arial" w:cs="Arial" w:eastAsia="Arial" w:hAnsi="Arial"/>
                <w:b w:val="false"/>
                <w:bCs w:val="false"/>
                <w:color w:val="085041"/>
                <w:sz w:val="21"/>
                <w:szCs w:val="21"/>
              </w:rPr>
              <w:t xml:space="preserve">Part 2 — SMS / Voice Interface: How the platform reaches elderly parents who will never use the app directly. Covers the outbound messaging framework (SMS, MMS, WhatsApp, voice call), two-way interaction design, document delivery, medication confirmations, emergency check-ins, and the Alexa/Google Home voice layer. Includes consent, opt-out, and accessibility requirements.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80"/>
              <w:left w:type="dxa" w:w="280"/>
              <w:bottom w:type="dxa" w:w="180"/>
              <w:right w:type="dxa" w:w="280"/>
            </w:tcMar>
          </w:tcPr>
          <w:p>
            <w:pPr>
              <w:spacing w:after="40" w:before="0"/>
              <w:jc w:val="left"/>
            </w:pPr>
            <w:r>
              <w:rPr>
                <w:rFonts w:ascii="Arial" w:cs="Arial" w:eastAsia="Arial" w:hAnsi="Arial"/>
                <w:b/>
                <w:bCs/>
                <w:color w:val="0C447C"/>
                <w:sz w:val="30"/>
                <w:szCs w:val="30"/>
              </w:rPr>
              <w:t xml:space="preserve">Part 1 — FHIR Integration Architecture</w:t>
            </w:r>
          </w:p>
          <w:p>
            <w:pPr>
              <w:spacing w:after="0" w:before="0"/>
              <w:jc w:val="left"/>
            </w:pPr>
            <w:r>
              <w:rPr>
                <w:rFonts w:ascii="Arial" w:cs="Arial" w:eastAsia="Arial" w:hAnsi="Arial"/>
                <w:b w:val="false"/>
                <w:bCs w:val="false"/>
                <w:color w:val="0C447C"/>
                <w:sz w:val="20"/>
                <w:szCs w:val="20"/>
              </w:rPr>
              <w:t xml:space="preserve">Pulling the medical record directly into the Health Hub via SMART on FHIR R4</w:t>
            </w:r>
          </w:p>
        </w:tc>
      </w:tr>
    </w:tbl>
    <w:p>
      <w:pPr>
        <w:spacing w:after="0" w:before="120"/>
      </w:pPr>
      <w:r>
        <w:rPr>
          <w:rFonts w:ascii="Arial" w:cs="Arial" w:eastAsia="Arial" w:hAnsi="Arial"/>
          <w:b w:val="false"/>
          <w:bCs w:val="false"/>
          <w:color w:val="1A1A1A"/>
          <w:sz w:val="22"/>
          <w:szCs w:val="22"/>
        </w:rPr>
        <w:t xml:space="preserve"/>
      </w:r>
    </w:p>
    <w:p>
      <w:pPr>
        <w:pStyle w:val="Heading1"/>
        <w:pBdr>
          <w:bottom w:val="single" w:color="185FA5" w:sz="6" w:space="8"/>
        </w:pBdr>
        <w:spacing w:after="120" w:before="400"/>
      </w:pPr>
      <w:r>
        <w:rPr>
          <w:rFonts w:ascii="Arial" w:cs="Arial" w:eastAsia="Arial" w:hAnsi="Arial"/>
          <w:b/>
          <w:bCs/>
          <w:color w:val="185FA5"/>
          <w:sz w:val="34"/>
          <w:szCs w:val="34"/>
        </w:rPr>
        <w:t xml:space="preserve">1.  FHIR primer &amp; regulatory context</w:t>
      </w:r>
    </w:p>
    <w:p>
      <w:pPr>
        <w:spacing w:after="80" w:before="60"/>
        <w:jc w:val="left"/>
      </w:pPr>
      <w:r>
        <w:rPr>
          <w:rFonts w:ascii="Arial" w:cs="Arial" w:eastAsia="Arial" w:hAnsi="Arial"/>
          <w:b w:val="false"/>
          <w:bCs w:val="false"/>
          <w:color w:val="1A1A1A"/>
          <w:sz w:val="22"/>
          <w:szCs w:val="22"/>
        </w:rPr>
        <w:t xml:space="preserve">FHIR (Fast Healthcare Interoperability Resources) is the modern standard for exchanging healthcare information electronically. The 21st Century Cures Act (2020) and ONC Interoperability Rule (2022) mandate that virtually all US hospitals, health systems, and EHR vendors expose patient data via FHIR R4 APIs — and that they do so without blocking patient access. This is the first time in US healthcare history that patient data has been legally required to be portable and machine-readable at scale.</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6F1FB" w:val="clear"/>
            <w:tcMar>
              <w:top w:type="dxa" w:w="120"/>
              <w:left w:type="dxa" w:w="120"/>
              <w:bottom w:type="dxa" w:w="120"/>
              <w:right w:type="dxa" w:w="0"/>
            </w:tcMar>
          </w:tcPr>
          <w:p>
            <w:pPr>
              <w:spacing w:after="0" w:before="0"/>
              <w:jc w:val="left"/>
            </w:pPr>
            <w:r>
              <w:rPr>
                <w:rFonts w:ascii="Arial" w:cs="Arial" w:eastAsia="Arial" w:hAnsi="Arial"/>
                <w:b/>
                <w:bCs/>
                <w:color w:val="0C447C"/>
                <w:sz w:val="18"/>
                <w:szCs w:val="18"/>
              </w:rPr>
              <w:t xml:space="preserve">KEY</w:t>
            </w:r>
          </w:p>
        </w:tc>
        <w:tc>
          <w:tcPr>
            <w:tcW w:type="dxa" w:w="9120"/>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pPr>
              <w:spacing w:after="0" w:before="0"/>
              <w:jc w:val="left"/>
            </w:pPr>
            <w:r>
              <w:rPr>
                <w:rFonts w:ascii="Arial" w:cs="Arial" w:eastAsia="Arial" w:hAnsi="Arial"/>
                <w:b w:val="false"/>
                <w:bCs w:val="false"/>
                <w:color w:val="0C447C"/>
                <w:sz w:val="21"/>
                <w:szCs w:val="21"/>
              </w:rPr>
              <w:t xml:space="preserve">For Aging Gracefully, this means: if your parent has been seen at any major US hospital or clinic in the last 3–5 years, their complete medical record — diagnoses, medications, allergies, lab results, immunizations, visit notes — is already accessible via a standardized API. We don't need special hospital partnerships. We just need to implement the standard correctly.</w:t>
            </w:r>
          </w:p>
        </w:tc>
      </w:tr>
    </w:tbl>
    <w:p>
      <w:pPr>
        <w:spacing w:after="0" w:before="12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1.1  Key standards &amp;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Standard / body</w:t>
            </w:r>
          </w:p>
        </w:tc>
        <w:tc>
          <w:tcPr>
            <w:tcW w:type="dxa" w:w="4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What it is</w:t>
            </w:r>
          </w:p>
        </w:tc>
        <w:tc>
          <w:tcPr>
            <w:tcW w:type="dxa" w:w="3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Relevance to this project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FHIR R4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HL7's 4th version of the Fast Healthcare Interoperability Resources standard. Defines the data model for 150+ clinical resource types (Patient, Medication, Observation, Condition, etc.).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The data format we receive from every EHR integration</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SMART on FHIR</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 standard for OAuth2-based authorization on top of FHIR. Defines how patients grant third-party apps access to their EHR data. Built on OAuth2 + OpenID Connect.</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The consent and auth mechanism — how we get permission to read the patient's record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ONC Certification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ONC (Office of the National Coordinator) certifies EHR systems. Certified EHRs must expose FHIR R4 APIs. Covers 96% of US hospital beds.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Guarantees our integration works across most US health systems without custom code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CommonWell / Carequality</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National health information networks that aggregate records across participating health systems. A single connection gives access to records from many systems.</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V2–V3: broader record access beyond a single health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Da Vinci Project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HL7 implementation guides for specific use cases: coverage, prior auth, medication reconciliation. Built on FHIR R4.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Reference for medication and insurance data pull implementations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CMS Blue Button 2.0</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CMS's own FHIR API for Medicare beneficiaries. Exposes claims data, Part D prescriptions, provider history.</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Separate integration for Medicare-age parents — enormous data richness</w:t>
            </w:r>
          </w:p>
        </w:tc>
      </w:tr>
    </w:tbl>
    <w:p>
      <w:pPr>
        <w:spacing w:after="0" w:before="160"/>
      </w:pPr>
      <w:r>
        <w:rPr>
          <w:rFonts w:ascii="Arial" w:cs="Arial" w:eastAsia="Arial" w:hAnsi="Arial"/>
          <w:b w:val="false"/>
          <w:bCs w:val="false"/>
          <w:color w:val="1A1A1A"/>
          <w:sz w:val="22"/>
          <w:szCs w:val="22"/>
        </w:rPr>
        <w:t xml:space="preserve"/>
      </w:r>
    </w:p>
    <w:p>
      <w:pPr>
        <w:pStyle w:val="Heading1"/>
        <w:pBdr>
          <w:bottom w:val="single" w:color="185FA5" w:sz="6" w:space="8"/>
        </w:pBdr>
        <w:spacing w:after="120" w:before="400"/>
      </w:pPr>
      <w:r>
        <w:rPr>
          <w:rFonts w:ascii="Arial" w:cs="Arial" w:eastAsia="Arial" w:hAnsi="Arial"/>
          <w:b/>
          <w:bCs/>
          <w:color w:val="185FA5"/>
          <w:sz w:val="34"/>
          <w:szCs w:val="34"/>
        </w:rPr>
        <w:t xml:space="preserve">2.  FHIR connection architecture</w:t>
      </w:r>
    </w:p>
    <w:p>
      <w:pPr>
        <w:pStyle w:val="Heading2"/>
        <w:spacing w:after="80" w:before="300"/>
      </w:pPr>
      <w:r>
        <w:rPr>
          <w:rFonts w:ascii="Arial" w:cs="Arial" w:eastAsia="Arial" w:hAnsi="Arial"/>
          <w:b/>
          <w:bCs/>
          <w:color w:val="1A1A1A"/>
          <w:sz w:val="27"/>
          <w:szCs w:val="27"/>
        </w:rPr>
        <w:t xml:space="preserve">2.1  System architecture overview</w:t>
      </w:r>
    </w:p>
    <w:p>
      <w:pPr>
        <w:spacing w:after="80" w:before="60"/>
        <w:jc w:val="left"/>
      </w:pPr>
      <w:r>
        <w:rPr>
          <w:rFonts w:ascii="Arial" w:cs="Arial" w:eastAsia="Arial" w:hAnsi="Arial"/>
          <w:b w:val="false"/>
          <w:bCs w:val="false"/>
          <w:color w:val="1A1A1A"/>
          <w:sz w:val="22"/>
          <w:szCs w:val="22"/>
        </w:rPr>
        <w:t xml:space="preserve">The FHIR integration sits between the Health Hub module and the external EHR systems. It has three main components: an authorization service (handling SMART on FHIR OAuth flows), an ingestion pipeline (pulling and normalizing FHIR resources), and a sync engine (keeping data current over time). All FHIR data is stored in a separate, more strictly controlled partition of the data layer with enhanced audit logging.</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1"/>
              <w:left w:val="single" w:color="888780" w:sz="1"/>
              <w:bottom w:val="single" w:color="888780" w:sz="1"/>
              <w:right w:val="single" w:color="888780" w:sz="1"/>
            </w:tcBorders>
            <w:shd w:fill="F1EFE8" w:val="clear"/>
            <w:tcMar>
              <w:top w:type="dxa" w:w="120"/>
              <w:left w:type="dxa" w:w="200"/>
              <w:bottom w:type="dxa" w:w="120"/>
              <w:right w:type="dxa" w:w="200"/>
            </w:tcMar>
          </w:tcPr>
          <w:p>
            <w:pPr>
              <w:spacing w:after="16" w:before="16"/>
              <w:jc w:val="left"/>
            </w:pPr>
            <w:r>
              <w:rPr>
                <w:rFonts w:ascii="Arial" w:cs="Arial" w:eastAsia="Arial" w:hAnsi="Arial"/>
                <w:b w:val="false"/>
                <w:bCs w:val="false"/>
                <w:color w:val="2C2C2A"/>
                <w:sz w:val="19"/>
                <w:szCs w:val="19"/>
              </w:rPr>
              <w:t xml:space="preserve">┌──────────────────────────────────────────────────────────────────────────┐</w:t>
            </w:r>
          </w:p>
          <w:p>
            <w:pPr>
              <w:spacing w:after="16" w:before="16"/>
              <w:jc w:val="left"/>
            </w:pPr>
            <w:r>
              <w:rPr>
                <w:rFonts w:ascii="Arial" w:cs="Arial" w:eastAsia="Arial" w:hAnsi="Arial"/>
                <w:b w:val="false"/>
                <w:bCs w:val="false"/>
                <w:color w:val="2C2C2A"/>
                <w:sz w:val="19"/>
                <w:szCs w:val="19"/>
              </w:rPr>
              <w:t xml:space="preserve">│                    AGING GRACEFULLY PLATFORM                           │</w:t>
            </w:r>
          </w:p>
          <w:p>
            <w:pPr>
              <w:spacing w:after="16" w:before="16"/>
              <w:jc w:val="left"/>
            </w:pPr>
            <w:r>
              <w:rPr>
                <w:rFonts w:ascii="Arial" w:cs="Arial" w:eastAsia="Arial" w:hAnsi="Arial"/>
                <w:b w:val="false"/>
                <w:bCs w:val="false"/>
                <w:color w:val="2C2C2A"/>
                <w:sz w:val="19"/>
                <w:szCs w:val="19"/>
              </w:rPr>
              <w:t xml:space="preserve">│                                                                        │</w:t>
            </w:r>
          </w:p>
          <w:p>
            <w:pPr>
              <w:spacing w:after="16" w:before="16"/>
              <w:jc w:val="left"/>
            </w:pPr>
            <w:r>
              <w:rPr>
                <w:rFonts w:ascii="Arial" w:cs="Arial" w:eastAsia="Arial" w:hAnsi="Arial"/>
                <w:b w:val="false"/>
                <w:bCs w:val="false"/>
                <w:color w:val="2C2C2A"/>
                <w:sz w:val="19"/>
                <w:szCs w:val="19"/>
              </w:rPr>
              <w:t xml:space="preserve">│   ┌─────────────┐      ┌──────────────────────────────────────────┐   │</w:t>
            </w:r>
          </w:p>
          <w:p>
            <w:pPr>
              <w:spacing w:after="16" w:before="16"/>
              <w:jc w:val="left"/>
            </w:pPr>
            <w:r>
              <w:rPr>
                <w:rFonts w:ascii="Arial" w:cs="Arial" w:eastAsia="Arial" w:hAnsi="Arial"/>
                <w:b w:val="false"/>
                <w:bCs w:val="false"/>
                <w:color w:val="2C2C2A"/>
                <w:sz w:val="19"/>
                <w:szCs w:val="19"/>
              </w:rPr>
              <w:t xml:space="preserve">│   │  Health Hub  │◄────►│         FHIR Integration Service         │   │</w:t>
            </w:r>
          </w:p>
          <w:p>
            <w:pPr>
              <w:spacing w:after="16" w:before="16"/>
              <w:jc w:val="left"/>
            </w:pPr>
            <w:r>
              <w:rPr>
                <w:rFonts w:ascii="Arial" w:cs="Arial" w:eastAsia="Arial" w:hAnsi="Arial"/>
                <w:b w:val="false"/>
                <w:bCs w:val="false"/>
                <w:color w:val="2C2C2A"/>
                <w:sz w:val="19"/>
                <w:szCs w:val="19"/>
              </w:rPr>
              <w:t xml:space="preserve">│   │  (frontend)  │      │                                          │   │</w:t>
            </w:r>
          </w:p>
          <w:p>
            <w:pPr>
              <w:spacing w:after="16" w:before="16"/>
              <w:jc w:val="left"/>
            </w:pPr>
            <w:r>
              <w:rPr>
                <w:rFonts w:ascii="Arial" w:cs="Arial" w:eastAsia="Arial" w:hAnsi="Arial"/>
                <w:b w:val="false"/>
                <w:bCs w:val="false"/>
                <w:color w:val="2C2C2A"/>
                <w:sz w:val="19"/>
                <w:szCs w:val="19"/>
              </w:rPr>
              <w:t xml:space="preserve">│   └─────────────┘      │  ┌────────────┐  ┌────────────────────┐  │   │</w:t>
            </w:r>
          </w:p>
          <w:p>
            <w:pPr>
              <w:spacing w:after="16" w:before="16"/>
              <w:jc w:val="left"/>
            </w:pPr>
            <w:r>
              <w:rPr>
                <w:rFonts w:ascii="Arial" w:cs="Arial" w:eastAsia="Arial" w:hAnsi="Arial"/>
                <w:b w:val="false"/>
                <w:bCs w:val="false"/>
                <w:color w:val="2C2C2A"/>
                <w:sz w:val="19"/>
                <w:szCs w:val="19"/>
              </w:rPr>
              <w:t xml:space="preserve">│                        │  │ SMART Auth  │  │  Ingestion Pipeline │  │   │</w:t>
            </w:r>
          </w:p>
          <w:p>
            <w:pPr>
              <w:spacing w:after="16" w:before="16"/>
              <w:jc w:val="left"/>
            </w:pPr>
            <w:r>
              <w:rPr>
                <w:rFonts w:ascii="Arial" w:cs="Arial" w:eastAsia="Arial" w:hAnsi="Arial"/>
                <w:b w:val="false"/>
                <w:bCs w:val="false"/>
                <w:color w:val="2C2C2A"/>
                <w:sz w:val="19"/>
                <w:szCs w:val="19"/>
              </w:rPr>
              <w:t xml:space="preserve">│                        │  │  Service    │  │  (pull + normalize) │  │   │</w:t>
            </w:r>
          </w:p>
          <w:p>
            <w:pPr>
              <w:spacing w:after="16" w:before="16"/>
              <w:jc w:val="left"/>
            </w:pPr>
            <w:r>
              <w:rPr>
                <w:rFonts w:ascii="Arial" w:cs="Arial" w:eastAsia="Arial" w:hAnsi="Arial"/>
                <w:b w:val="false"/>
                <w:bCs w:val="false"/>
                <w:color w:val="2C2C2A"/>
                <w:sz w:val="19"/>
                <w:szCs w:val="19"/>
              </w:rPr>
              <w:t xml:space="preserve">│                        │  └────────────┘  └────────────────────┘  │   │</w:t>
            </w:r>
          </w:p>
          <w:p>
            <w:pPr>
              <w:spacing w:after="16" w:before="16"/>
              <w:jc w:val="left"/>
            </w:pPr>
            <w:r>
              <w:rPr>
                <w:rFonts w:ascii="Arial" w:cs="Arial" w:eastAsia="Arial" w:hAnsi="Arial"/>
                <w:b w:val="false"/>
                <w:bCs w:val="false"/>
                <w:color w:val="2C2C2A"/>
                <w:sz w:val="19"/>
                <w:szCs w:val="19"/>
              </w:rPr>
              <w:t xml:space="preserve">│                        │  ┌────────────┐  ┌────────────────────┐  │   │</w:t>
            </w:r>
          </w:p>
          <w:p>
            <w:pPr>
              <w:spacing w:after="16" w:before="16"/>
              <w:jc w:val="left"/>
            </w:pPr>
            <w:r>
              <w:rPr>
                <w:rFonts w:ascii="Arial" w:cs="Arial" w:eastAsia="Arial" w:hAnsi="Arial"/>
                <w:b w:val="false"/>
                <w:bCs w:val="false"/>
                <w:color w:val="2C2C2A"/>
                <w:sz w:val="19"/>
                <w:szCs w:val="19"/>
              </w:rPr>
              <w:t xml:space="preserve">│                        │  │ Sync Engine │  │   FHIR Data Store  │  │   │</w:t>
            </w:r>
          </w:p>
          <w:p>
            <w:pPr>
              <w:spacing w:after="16" w:before="16"/>
              <w:jc w:val="left"/>
            </w:pPr>
            <w:r>
              <w:rPr>
                <w:rFonts w:ascii="Arial" w:cs="Arial" w:eastAsia="Arial" w:hAnsi="Arial"/>
                <w:b w:val="false"/>
                <w:bCs w:val="false"/>
                <w:color w:val="2C2C2A"/>
                <w:sz w:val="19"/>
                <w:szCs w:val="19"/>
              </w:rPr>
              <w:t xml:space="preserve">│                        │  │ (scheduler) │  │  (encrypted, audit)│  │   │</w:t>
            </w:r>
          </w:p>
          <w:p>
            <w:pPr>
              <w:spacing w:after="16" w:before="16"/>
              <w:jc w:val="left"/>
            </w:pPr>
            <w:r>
              <w:rPr>
                <w:rFonts w:ascii="Arial" w:cs="Arial" w:eastAsia="Arial" w:hAnsi="Arial"/>
                <w:b w:val="false"/>
                <w:bCs w:val="false"/>
                <w:color w:val="2C2C2A"/>
                <w:sz w:val="19"/>
                <w:szCs w:val="19"/>
              </w:rPr>
              <w:t xml:space="preserve">│                        │  └────────────┘  └────────────────────┘  │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w:t>
            </w:r>
          </w:p>
          <w:p>
            <w:pPr>
              <w:spacing w:after="16" w:before="16"/>
              <w:jc w:val="left"/>
            </w:pPr>
            <w:r>
              <w:rPr>
                <w:rFonts w:ascii="Arial" w:cs="Arial" w:eastAsia="Arial" w:hAnsi="Arial"/>
                <w:b w:val="false"/>
                <w:bCs w:val="false"/>
                <w:color w:val="2C2C2A"/>
                <w:sz w:val="19"/>
                <w:szCs w:val="19"/>
              </w:rPr>
              <w:t xml:space="preserve">                                        │  SMART on FHIR / OAuth2</w:t>
            </w:r>
          </w:p>
          <w:p>
            <w:pPr>
              <w:spacing w:after="16" w:before="16"/>
              <w:jc w:val="left"/>
            </w:pPr>
            <w:r>
              <w:rPr>
                <w:rFonts w:ascii="Arial" w:cs="Arial" w:eastAsia="Arial" w:hAnsi="Arial"/>
                <w:b w:val="false"/>
                <w:bCs w:val="false"/>
                <w:color w:val="2C2C2A"/>
                <w:sz w:val="19"/>
                <w:szCs w:val="19"/>
              </w:rPr>
              <w:t xml:space="preserve">                                        │  TLS 1.3 only</w:t>
            </w:r>
          </w:p>
          <w:p>
            <w:pPr>
              <w:spacing w:after="16" w:before="16"/>
              <w:jc w:val="left"/>
            </w:pPr>
            <w:r>
              <w:rPr>
                <w:rFonts w:ascii="Arial" w:cs="Arial" w:eastAsia="Arial" w:hAnsi="Arial"/>
                <w:b w:val="false"/>
                <w:bCs w:val="false"/>
                <w:color w:val="2C2C2A"/>
                <w:sz w:val="19"/>
                <w:szCs w:val="19"/>
              </w:rPr>
              <w:t xml:space="preserve">        ┌───────────────────────────────▼──────────────────────────────┐</w:t>
            </w:r>
          </w:p>
          <w:p>
            <w:pPr>
              <w:spacing w:after="16" w:before="16"/>
              <w:jc w:val="left"/>
            </w:pPr>
            <w:r>
              <w:rPr>
                <w:rFonts w:ascii="Arial" w:cs="Arial" w:eastAsia="Arial" w:hAnsi="Arial"/>
                <w:b w:val="false"/>
                <w:bCs w:val="false"/>
                <w:color w:val="2C2C2A"/>
                <w:sz w:val="19"/>
                <w:szCs w:val="19"/>
              </w:rPr>
              <w:t xml:space="preserve">        │                   EHR ENDPOINTS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Epic MyChart API    Cerner FHIR API    Allscripts FHIR      │</w:t>
            </w:r>
          </w:p>
          <w:p>
            <w:pPr>
              <w:spacing w:after="16" w:before="16"/>
              <w:jc w:val="left"/>
            </w:pPr>
            <w:r>
              <w:rPr>
                <w:rFonts w:ascii="Arial" w:cs="Arial" w:eastAsia="Arial" w:hAnsi="Arial"/>
                <w:b w:val="false"/>
                <w:bCs w:val="false"/>
                <w:color w:val="2C2C2A"/>
                <w:sz w:val="19"/>
                <w:szCs w:val="19"/>
              </w:rPr>
              <w:t xml:space="preserve">        │  (40% of US beds)    (25% of US beds)   (10% of US beds)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Athenahealth FHIR   eClinicalWorks     DrChrono / others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CMS Blue Button 2.0 (Medicare beneficiaries — separate)     │</w:t>
            </w:r>
          </w:p>
          <w:p>
            <w:pPr>
              <w:spacing w:after="16" w:before="16"/>
              <w:jc w:val="left"/>
            </w:pPr>
            <w:r>
              <w:rPr>
                <w:rFonts w:ascii="Arial" w:cs="Arial" w:eastAsia="Arial" w:hAnsi="Arial"/>
                <w:b w:val="false"/>
                <w:bCs w:val="false"/>
                <w:color w:val="2C2C2A"/>
                <w:sz w:val="19"/>
                <w:szCs w:val="19"/>
              </w:rPr>
              <w:t xml:space="preserve">        └──────────────────────────────────────────────────────────────┘</w:t>
            </w:r>
          </w:p>
        </w:tc>
      </w:tr>
    </w:tbl>
    <w:p>
      <w:pPr>
        <w:spacing w:after="0" w:before="20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2.2  SMART on FHIR authorization flow</w:t>
      </w:r>
    </w:p>
    <w:p>
      <w:pPr>
        <w:spacing w:after="80" w:before="60"/>
        <w:jc w:val="left"/>
      </w:pPr>
      <w:r>
        <w:rPr>
          <w:rFonts w:ascii="Arial" w:cs="Arial" w:eastAsia="Arial" w:hAnsi="Arial"/>
          <w:b w:val="false"/>
          <w:bCs w:val="false"/>
          <w:color w:val="1A1A1A"/>
          <w:sz w:val="22"/>
          <w:szCs w:val="22"/>
        </w:rPr>
        <w:t xml:space="preserve">SMART on FHIR defines exactly how a patient authorizes a third-party app to access their EHR data. The flow is OAuth2 with a healthcare-specific extension. The caregiver initiates this on behalf of their parent — but crucially, the parent (or their authorized representative) must complete the consent step at the health system's identity provider.</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1"/>
              <w:left w:val="single" w:color="888780" w:sz="1"/>
              <w:bottom w:val="single" w:color="888780" w:sz="1"/>
              <w:right w:val="single" w:color="888780" w:sz="1"/>
            </w:tcBorders>
            <w:shd w:fill="F1EFE8" w:val="clear"/>
            <w:tcMar>
              <w:top w:type="dxa" w:w="120"/>
              <w:left w:type="dxa" w:w="200"/>
              <w:bottom w:type="dxa" w:w="120"/>
              <w:right w:type="dxa" w:w="200"/>
            </w:tcMar>
          </w:tcPr>
          <w:p>
            <w:pPr>
              <w:spacing w:after="16" w:before="16"/>
              <w:jc w:val="left"/>
            </w:pPr>
            <w:r>
              <w:rPr>
                <w:rFonts w:ascii="Arial" w:cs="Arial" w:eastAsia="Arial" w:hAnsi="Arial"/>
                <w:b w:val="false"/>
                <w:bCs w:val="false"/>
                <w:color w:val="2C2C2A"/>
                <w:sz w:val="19"/>
                <w:szCs w:val="19"/>
              </w:rPr>
              <w:t xml:space="preserve">Step 1  — DISCOVERY</w:t>
            </w:r>
          </w:p>
          <w:p>
            <w:pPr>
              <w:spacing w:after="16" w:before="16"/>
              <w:jc w:val="left"/>
            </w:pPr>
            <w:r>
              <w:rPr>
                <w:rFonts w:ascii="Arial" w:cs="Arial" w:eastAsia="Arial" w:hAnsi="Arial"/>
                <w:b w:val="false"/>
                <w:bCs w:val="false"/>
                <w:color w:val="2C2C2A"/>
                <w:sz w:val="19"/>
                <w:szCs w:val="19"/>
              </w:rPr>
              <w:t xml:space="preserve">         User enters parent's health system name or ZIP code in Health Hub.</w:t>
            </w:r>
          </w:p>
          <w:p>
            <w:pPr>
              <w:spacing w:after="16" w:before="16"/>
              <w:jc w:val="left"/>
            </w:pPr>
            <w:r>
              <w:rPr>
                <w:rFonts w:ascii="Arial" w:cs="Arial" w:eastAsia="Arial" w:hAnsi="Arial"/>
                <w:b w:val="false"/>
                <w:bCs w:val="false"/>
                <w:color w:val="2C2C2A"/>
                <w:sz w:val="19"/>
                <w:szCs w:val="19"/>
              </w:rPr>
              <w:t xml:space="preserve">         Platform queries FHIR endpoint registry (Inferno / endpoint directory)</w:t>
            </w:r>
          </w:p>
          <w:p>
            <w:pPr>
              <w:spacing w:after="16" w:before="16"/>
              <w:jc w:val="left"/>
            </w:pPr>
            <w:r>
              <w:rPr>
                <w:rFonts w:ascii="Arial" w:cs="Arial" w:eastAsia="Arial" w:hAnsi="Arial"/>
                <w:b w:val="false"/>
                <w:bCs w:val="false"/>
                <w:color w:val="2C2C2A"/>
                <w:sz w:val="19"/>
                <w:szCs w:val="19"/>
              </w:rPr>
              <w:t xml:space="preserve">         to resolve the correct FHIR base URL and SMART configuration.</w:t>
            </w:r>
          </w:p>
          <w:p>
            <w:pPr>
              <w:spacing w:after="16" w:before="16"/>
              <w:jc w:val="left"/>
            </w:pPr>
            <w:r>
              <w:rPr>
                <w:rFonts w:ascii="Arial" w:cs="Arial" w:eastAsia="Arial" w:hAnsi="Arial"/>
                <w:b w:val="false"/>
                <w:bCs w:val="false"/>
                <w:color w:val="2C2C2A"/>
                <w:sz w:val="19"/>
                <w:szCs w:val="19"/>
              </w:rPr>
              <w:t xml:space="preserve">         Returns: token_endpoint, authorization_endpoint, supported scopes.</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Step 2  — AUTHORIZATION REQUEST</w:t>
            </w:r>
          </w:p>
          <w:p>
            <w:pPr>
              <w:spacing w:after="16" w:before="16"/>
              <w:jc w:val="left"/>
            </w:pPr>
            <w:r>
              <w:rPr>
                <w:rFonts w:ascii="Arial" w:cs="Arial" w:eastAsia="Arial" w:hAnsi="Arial"/>
                <w:b w:val="false"/>
                <w:bCs w:val="false"/>
                <w:color w:val="2C2C2A"/>
                <w:sz w:val="19"/>
                <w:szCs w:val="19"/>
              </w:rPr>
              <w:t xml:space="preserve">         Platform constructs OAuth2 authorization URL with:</w:t>
            </w:r>
          </w:p>
          <w:p>
            <w:pPr>
              <w:spacing w:after="16" w:before="16"/>
              <w:jc w:val="left"/>
            </w:pPr>
            <w:r>
              <w:rPr>
                <w:rFonts w:ascii="Arial" w:cs="Arial" w:eastAsia="Arial" w:hAnsi="Arial"/>
                <w:b w:val="false"/>
                <w:bCs w:val="false"/>
                <w:color w:val="2C2C2A"/>
                <w:sz w:val="19"/>
                <w:szCs w:val="19"/>
              </w:rPr>
              <w:t xml:space="preserve">           client_id     = platform's registered app ID at this EHR</w:t>
            </w:r>
          </w:p>
          <w:p>
            <w:pPr>
              <w:spacing w:after="16" w:before="16"/>
              <w:jc w:val="left"/>
            </w:pPr>
            <w:r>
              <w:rPr>
                <w:rFonts w:ascii="Arial" w:cs="Arial" w:eastAsia="Arial" w:hAnsi="Arial"/>
                <w:b w:val="false"/>
                <w:bCs w:val="false"/>
                <w:color w:val="2C2C2A"/>
                <w:sz w:val="19"/>
                <w:szCs w:val="19"/>
              </w:rPr>
              <w:t xml:space="preserve">           redirect_uri  = https://app.agingracefully.com/fhir/callback</w:t>
            </w:r>
          </w:p>
          <w:p>
            <w:pPr>
              <w:spacing w:after="16" w:before="16"/>
              <w:jc w:val="left"/>
            </w:pPr>
            <w:r>
              <w:rPr>
                <w:rFonts w:ascii="Arial" w:cs="Arial" w:eastAsia="Arial" w:hAnsi="Arial"/>
                <w:b w:val="false"/>
                <w:bCs w:val="false"/>
                <w:color w:val="2C2C2A"/>
                <w:sz w:val="19"/>
                <w:szCs w:val="19"/>
              </w:rPr>
              <w:t xml:space="preserve">           scope         = launch/patient openid fhirUser</w:t>
            </w:r>
          </w:p>
          <w:p>
            <w:pPr>
              <w:spacing w:after="16" w:before="16"/>
              <w:jc w:val="left"/>
            </w:pPr>
            <w:r>
              <w:rPr>
                <w:rFonts w:ascii="Arial" w:cs="Arial" w:eastAsia="Arial" w:hAnsi="Arial"/>
                <w:b w:val="false"/>
                <w:bCs w:val="false"/>
                <w:color w:val="2C2C2A"/>
                <w:sz w:val="19"/>
                <w:szCs w:val="19"/>
              </w:rPr>
              <w:t xml:space="preserve">                           patient/Patient.read</w:t>
            </w:r>
          </w:p>
          <w:p>
            <w:pPr>
              <w:spacing w:after="16" w:before="16"/>
              <w:jc w:val="left"/>
            </w:pPr>
            <w:r>
              <w:rPr>
                <w:rFonts w:ascii="Arial" w:cs="Arial" w:eastAsia="Arial" w:hAnsi="Arial"/>
                <w:b w:val="false"/>
                <w:bCs w:val="false"/>
                <w:color w:val="2C2C2A"/>
                <w:sz w:val="19"/>
                <w:szCs w:val="19"/>
              </w:rPr>
              <w:t xml:space="preserve">                           patient/MedicationRequest.read</w:t>
            </w:r>
          </w:p>
          <w:p>
            <w:pPr>
              <w:spacing w:after="16" w:before="16"/>
              <w:jc w:val="left"/>
            </w:pPr>
            <w:r>
              <w:rPr>
                <w:rFonts w:ascii="Arial" w:cs="Arial" w:eastAsia="Arial" w:hAnsi="Arial"/>
                <w:b w:val="false"/>
                <w:bCs w:val="false"/>
                <w:color w:val="2C2C2A"/>
                <w:sz w:val="19"/>
                <w:szCs w:val="19"/>
              </w:rPr>
              <w:t xml:space="preserve">                           patient/Condition.read</w:t>
            </w:r>
          </w:p>
          <w:p>
            <w:pPr>
              <w:spacing w:after="16" w:before="16"/>
              <w:jc w:val="left"/>
            </w:pPr>
            <w:r>
              <w:rPr>
                <w:rFonts w:ascii="Arial" w:cs="Arial" w:eastAsia="Arial" w:hAnsi="Arial"/>
                <w:b w:val="false"/>
                <w:bCs w:val="false"/>
                <w:color w:val="2C2C2A"/>
                <w:sz w:val="19"/>
                <w:szCs w:val="19"/>
              </w:rPr>
              <w:t xml:space="preserve">                           patient/Observation.read</w:t>
            </w:r>
          </w:p>
          <w:p>
            <w:pPr>
              <w:spacing w:after="16" w:before="16"/>
              <w:jc w:val="left"/>
            </w:pPr>
            <w:r>
              <w:rPr>
                <w:rFonts w:ascii="Arial" w:cs="Arial" w:eastAsia="Arial" w:hAnsi="Arial"/>
                <w:b w:val="false"/>
                <w:bCs w:val="false"/>
                <w:color w:val="2C2C2A"/>
                <w:sz w:val="19"/>
                <w:szCs w:val="19"/>
              </w:rPr>
              <w:t xml:space="preserve">                           patient/AllergyIntolerance.read</w:t>
            </w:r>
          </w:p>
          <w:p>
            <w:pPr>
              <w:spacing w:after="16" w:before="16"/>
              <w:jc w:val="left"/>
            </w:pPr>
            <w:r>
              <w:rPr>
                <w:rFonts w:ascii="Arial" w:cs="Arial" w:eastAsia="Arial" w:hAnsi="Arial"/>
                <w:b w:val="false"/>
                <w:bCs w:val="false"/>
                <w:color w:val="2C2C2A"/>
                <w:sz w:val="19"/>
                <w:szCs w:val="19"/>
              </w:rPr>
              <w:t xml:space="preserve">                           patient/Immunization.read</w:t>
            </w:r>
          </w:p>
          <w:p>
            <w:pPr>
              <w:spacing w:after="16" w:before="16"/>
              <w:jc w:val="left"/>
            </w:pPr>
            <w:r>
              <w:rPr>
                <w:rFonts w:ascii="Arial" w:cs="Arial" w:eastAsia="Arial" w:hAnsi="Arial"/>
                <w:b w:val="false"/>
                <w:bCs w:val="false"/>
                <w:color w:val="2C2C2A"/>
                <w:sz w:val="19"/>
                <w:szCs w:val="19"/>
              </w:rPr>
              <w:t xml:space="preserve">                           patient/DiagnosticReport.read</w:t>
            </w:r>
          </w:p>
          <w:p>
            <w:pPr>
              <w:spacing w:after="16" w:before="16"/>
              <w:jc w:val="left"/>
            </w:pPr>
            <w:r>
              <w:rPr>
                <w:rFonts w:ascii="Arial" w:cs="Arial" w:eastAsia="Arial" w:hAnsi="Arial"/>
                <w:b w:val="false"/>
                <w:bCs w:val="false"/>
                <w:color w:val="2C2C2A"/>
                <w:sz w:val="19"/>
                <w:szCs w:val="19"/>
              </w:rPr>
              <w:t xml:space="preserve">                           patient/DocumentReference.read</w:t>
            </w:r>
          </w:p>
          <w:p>
            <w:pPr>
              <w:spacing w:after="16" w:before="16"/>
              <w:jc w:val="left"/>
            </w:pPr>
            <w:r>
              <w:rPr>
                <w:rFonts w:ascii="Arial" w:cs="Arial" w:eastAsia="Arial" w:hAnsi="Arial"/>
                <w:b w:val="false"/>
                <w:bCs w:val="false"/>
                <w:color w:val="2C2C2A"/>
                <w:sz w:val="19"/>
                <w:szCs w:val="19"/>
              </w:rPr>
              <w:t xml:space="preserve">                           offline_access  [for refresh token]</w:t>
            </w:r>
          </w:p>
          <w:p>
            <w:pPr>
              <w:spacing w:after="16" w:before="16"/>
              <w:jc w:val="left"/>
            </w:pPr>
            <w:r>
              <w:rPr>
                <w:rFonts w:ascii="Arial" w:cs="Arial" w:eastAsia="Arial" w:hAnsi="Arial"/>
                <w:b w:val="false"/>
                <w:bCs w:val="false"/>
                <w:color w:val="2C2C2A"/>
                <w:sz w:val="19"/>
                <w:szCs w:val="19"/>
              </w:rPr>
              <w:t xml:space="preserve">           state         = cryptographically random nonce (CSRF protection)</w:t>
            </w:r>
          </w:p>
          <w:p>
            <w:pPr>
              <w:spacing w:after="16" w:before="16"/>
              <w:jc w:val="left"/>
            </w:pPr>
            <w:r>
              <w:rPr>
                <w:rFonts w:ascii="Arial" w:cs="Arial" w:eastAsia="Arial" w:hAnsi="Arial"/>
                <w:b w:val="false"/>
                <w:bCs w:val="false"/>
                <w:color w:val="2C2C2A"/>
                <w:sz w:val="19"/>
                <w:szCs w:val="19"/>
              </w:rPr>
              <w:t xml:space="preserve">           code_challenge = PKCE S256 code challenge</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Step 3  — PATIENT AUTHENTICATION &amp; CONSENT</w:t>
            </w:r>
          </w:p>
          <w:p>
            <w:pPr>
              <w:spacing w:after="16" w:before="16"/>
              <w:jc w:val="left"/>
            </w:pPr>
            <w:r>
              <w:rPr>
                <w:rFonts w:ascii="Arial" w:cs="Arial" w:eastAsia="Arial" w:hAnsi="Arial"/>
                <w:b w:val="false"/>
                <w:bCs w:val="false"/>
                <w:color w:val="2C2C2A"/>
                <w:sz w:val="19"/>
                <w:szCs w:val="19"/>
              </w:rPr>
              <w:t xml:space="preserve">         User (or parent) is redirected to health system's MyChart / patient portal.</w:t>
            </w:r>
          </w:p>
          <w:p>
            <w:pPr>
              <w:spacing w:after="16" w:before="16"/>
              <w:jc w:val="left"/>
            </w:pPr>
            <w:r>
              <w:rPr>
                <w:rFonts w:ascii="Arial" w:cs="Arial" w:eastAsia="Arial" w:hAnsi="Arial"/>
                <w:b w:val="false"/>
                <w:bCs w:val="false"/>
                <w:color w:val="2C2C2A"/>
                <w:sz w:val="19"/>
                <w:szCs w:val="19"/>
              </w:rPr>
              <w:t xml:space="preserve">         They log in with their existing portal credentials.</w:t>
            </w:r>
          </w:p>
          <w:p>
            <w:pPr>
              <w:spacing w:after="16" w:before="16"/>
              <w:jc w:val="left"/>
            </w:pPr>
            <w:r>
              <w:rPr>
                <w:rFonts w:ascii="Arial" w:cs="Arial" w:eastAsia="Arial" w:hAnsi="Arial"/>
                <w:b w:val="false"/>
                <w:bCs w:val="false"/>
                <w:color w:val="2C2C2A"/>
                <w:sz w:val="19"/>
                <w:szCs w:val="19"/>
              </w:rPr>
              <w:t xml:space="preserve">         They see a consent screen listing exactly what data will be shared.</w:t>
            </w:r>
          </w:p>
          <w:p>
            <w:pPr>
              <w:spacing w:after="16" w:before="16"/>
              <w:jc w:val="left"/>
            </w:pPr>
            <w:r>
              <w:rPr>
                <w:rFonts w:ascii="Arial" w:cs="Arial" w:eastAsia="Arial" w:hAnsi="Arial"/>
                <w:b w:val="false"/>
                <w:bCs w:val="false"/>
                <w:color w:val="2C2C2A"/>
                <w:sz w:val="19"/>
                <w:szCs w:val="19"/>
              </w:rPr>
              <w:t xml:space="preserve">         They approve (or deny).</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Step 4  — TOKEN EXCHANGE</w:t>
            </w:r>
          </w:p>
          <w:p>
            <w:pPr>
              <w:spacing w:after="16" w:before="16"/>
              <w:jc w:val="left"/>
            </w:pPr>
            <w:r>
              <w:rPr>
                <w:rFonts w:ascii="Arial" w:cs="Arial" w:eastAsia="Arial" w:hAnsi="Arial"/>
                <w:b w:val="false"/>
                <w:bCs w:val="false"/>
                <w:color w:val="2C2C2A"/>
                <w:sz w:val="19"/>
                <w:szCs w:val="19"/>
              </w:rPr>
              <w:t xml:space="preserve">         EHR redirects to platform's callback URL with authorization code.</w:t>
            </w:r>
          </w:p>
          <w:p>
            <w:pPr>
              <w:spacing w:after="16" w:before="16"/>
              <w:jc w:val="left"/>
            </w:pPr>
            <w:r>
              <w:rPr>
                <w:rFonts w:ascii="Arial" w:cs="Arial" w:eastAsia="Arial" w:hAnsi="Arial"/>
                <w:b w:val="false"/>
                <w:bCs w:val="false"/>
                <w:color w:val="2C2C2A"/>
                <w:sz w:val="19"/>
                <w:szCs w:val="19"/>
              </w:rPr>
              <w:t xml:space="preserve">         Platform server-side exchanges code for access_token + refresh_token</w:t>
            </w:r>
          </w:p>
          <w:p>
            <w:pPr>
              <w:spacing w:after="16" w:before="16"/>
              <w:jc w:val="left"/>
            </w:pPr>
            <w:r>
              <w:rPr>
                <w:rFonts w:ascii="Arial" w:cs="Arial" w:eastAsia="Arial" w:hAnsi="Arial"/>
                <w:b w:val="false"/>
                <w:bCs w:val="false"/>
                <w:color w:val="2C2C2A"/>
                <w:sz w:val="19"/>
                <w:szCs w:val="19"/>
              </w:rPr>
              <w:t xml:space="preserve">         using PKCE code_verifier. Tokens stored encrypted in vault.</w:t>
            </w:r>
          </w:p>
          <w:p>
            <w:pPr>
              <w:spacing w:after="16" w:before="16"/>
              <w:jc w:val="left"/>
            </w:pPr>
            <w:r>
              <w:rPr>
                <w:rFonts w:ascii="Arial" w:cs="Arial" w:eastAsia="Arial" w:hAnsi="Arial"/>
                <w:b w:val="false"/>
                <w:bCs w:val="false"/>
                <w:color w:val="2C2C2A"/>
                <w:sz w:val="19"/>
                <w:szCs w:val="19"/>
              </w:rPr>
              <w:t xml:space="preserve">         access_token TTL: typically 1 hour (EHR-dependent)</w:t>
            </w:r>
          </w:p>
          <w:p>
            <w:pPr>
              <w:spacing w:after="16" w:before="16"/>
              <w:jc w:val="left"/>
            </w:pPr>
            <w:r>
              <w:rPr>
                <w:rFonts w:ascii="Arial" w:cs="Arial" w:eastAsia="Arial" w:hAnsi="Arial"/>
                <w:b w:val="false"/>
                <w:bCs w:val="false"/>
                <w:color w:val="2C2C2A"/>
                <w:sz w:val="19"/>
                <w:szCs w:val="19"/>
              </w:rPr>
              <w:t xml:space="preserve">         refresh_token TTL: 6 months to indefinite (EHR-dependent)</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Step 5  — PATIENT CONTEXT BINDING</w:t>
            </w:r>
          </w:p>
          <w:p>
            <w:pPr>
              <w:spacing w:after="16" w:before="16"/>
              <w:jc w:val="left"/>
            </w:pPr>
            <w:r>
              <w:rPr>
                <w:rFonts w:ascii="Arial" w:cs="Arial" w:eastAsia="Arial" w:hAnsi="Arial"/>
                <w:b w:val="false"/>
                <w:bCs w:val="false"/>
                <w:color w:val="2C2C2A"/>
                <w:sz w:val="19"/>
                <w:szCs w:val="19"/>
              </w:rPr>
              <w:t xml:space="preserve">         Token response includes patient parameter: the FHIR Patient resource ID</w:t>
            </w:r>
          </w:p>
          <w:p>
            <w:pPr>
              <w:spacing w:after="16" w:before="16"/>
              <w:jc w:val="left"/>
            </w:pPr>
            <w:r>
              <w:rPr>
                <w:rFonts w:ascii="Arial" w:cs="Arial" w:eastAsia="Arial" w:hAnsi="Arial"/>
                <w:b w:val="false"/>
                <w:bCs w:val="false"/>
                <w:color w:val="2C2C2A"/>
                <w:sz w:val="19"/>
                <w:szCs w:val="19"/>
              </w:rPr>
              <w:t xml:space="preserve">         for this patient at this EHR. All subsequent queries scoped to this ID.</w:t>
            </w:r>
          </w:p>
          <w:p>
            <w:pPr>
              <w:spacing w:after="16" w:before="16"/>
              <w:jc w:val="left"/>
            </w:pPr>
            <w:r>
              <w:rPr>
                <w:rFonts w:ascii="Arial" w:cs="Arial" w:eastAsia="Arial" w:hAnsi="Arial"/>
                <w:b w:val="false"/>
                <w:bCs w:val="false"/>
                <w:color w:val="2C2C2A"/>
                <w:sz w:val="19"/>
                <w:szCs w:val="19"/>
              </w:rPr>
              <w:t xml:space="preserve">         Platform stores: {profile_id, ehr_system, patient_fhir_id, tokens}</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2.3  EHR app registration strategy</w:t>
      </w:r>
    </w:p>
    <w:p>
      <w:pPr>
        <w:spacing w:after="80" w:before="60"/>
        <w:jc w:val="left"/>
      </w:pPr>
      <w:r>
        <w:rPr>
          <w:rFonts w:ascii="Arial" w:cs="Arial" w:eastAsia="Arial" w:hAnsi="Arial"/>
          <w:b w:val="false"/>
          <w:bCs w:val="false"/>
          <w:color w:val="1A1A1A"/>
          <w:sz w:val="22"/>
          <w:szCs w:val="22"/>
        </w:rPr>
        <w:t xml:space="preserve">Each EHR vendor has a different app registration process. Epic and Cerner have the highest coverage and most mature developer programs. The platform must be registered as an app in each vendor's marketplace before users of that system can connect.</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960"/>
        <w:gridCol w:w="2800"/>
      </w:tblGrid>
      <w:tr>
        <w:trPr>
          <w:tblHeader/>
        </w:trPr>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EHR vendor</w:t>
            </w:r>
          </w:p>
        </w:tc>
        <w:tc>
          <w:tcPr>
            <w:tcW w:type="dxa" w:w="3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Registration process</w:t>
            </w:r>
          </w:p>
        </w:tc>
        <w:tc>
          <w:tcPr>
            <w:tcW w:type="dxa" w:w="1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Coverage</w:t>
            </w:r>
          </w:p>
        </w:tc>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Epic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Epic App Orchard registration. Requires security review, demo, and production approval. Timeline: 4–8 weeks.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~40% of US hospital beds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Highest priority. MyChart patient portal is widely used. Supports offline_access scope for long-lived tokens.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Oracle Cerner</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Cerner Code developer program. Similar review process. Timeline: 4–6 weeks.</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~25% of US hospital beds</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Second priority. Millennium FHIR API. Good support for bulk FHIR export.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Veradigm (Allscripts)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Allscripts Developer Program. More straightforward than Epic/Cerner.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~10% of US hospital beds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Strong in ambulatory/outpatient settings — important for ongoing primary care records.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Athenahealth</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athenaOne API program. Developer portal with sandbox access.</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~8% of US market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Very strong in independent physician practices. Good for primary care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CMS Blue Button 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CMS developer portal registration. No formal review — faster approval.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All Medicare beneficiaries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Separate from EHR connections. Claims-based data is complementary to clinical records.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CommonWell / Carequality</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Network participation agreement. More complex — V2/V3.</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Cross-system aggregation</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Access records from systems where the patient has been seen, even if no direct integration.</w:t>
            </w:r>
          </w:p>
        </w:tc>
      </w:tr>
    </w:tbl>
    <w:p>
      <w:pPr>
        <w:spacing w:after="0" w:before="160"/>
      </w:pPr>
      <w:r>
        <w:rPr>
          <w:rFonts w:ascii="Arial" w:cs="Arial" w:eastAsia="Arial" w:hAnsi="Arial"/>
          <w:b w:val="false"/>
          <w:bCs w:val="false"/>
          <w:color w:val="1A1A1A"/>
          <w:sz w:val="22"/>
          <w:szCs w:val="22"/>
        </w:rPr>
        <w:t xml:space="preserve"/>
      </w:r>
    </w:p>
    <w:p>
      <w:pPr>
        <w:pStyle w:val="Heading1"/>
        <w:pBdr>
          <w:bottom w:val="single" w:color="185FA5" w:sz="6" w:space="8"/>
        </w:pBdr>
        <w:spacing w:after="120" w:before="400"/>
      </w:pPr>
      <w:r>
        <w:rPr>
          <w:rFonts w:ascii="Arial" w:cs="Arial" w:eastAsia="Arial" w:hAnsi="Arial"/>
          <w:b/>
          <w:bCs/>
          <w:color w:val="185FA5"/>
          <w:sz w:val="34"/>
          <w:szCs w:val="34"/>
        </w:rPr>
        <w:t xml:space="preserve">3.  Data ingestion pipeline</w:t>
      </w:r>
    </w:p>
    <w:p>
      <w:pPr>
        <w:pStyle w:val="Heading2"/>
        <w:spacing w:after="80" w:before="300"/>
      </w:pPr>
      <w:r>
        <w:rPr>
          <w:rFonts w:ascii="Arial" w:cs="Arial" w:eastAsia="Arial" w:hAnsi="Arial"/>
          <w:b/>
          <w:bCs/>
          <w:color w:val="1A1A1A"/>
          <w:sz w:val="27"/>
          <w:szCs w:val="27"/>
        </w:rPr>
        <w:t xml:space="preserve">3.1  FHIR resources to ingest</w:t>
      </w:r>
    </w:p>
    <w:p>
      <w:pPr>
        <w:spacing w:after="80" w:before="60"/>
        <w:jc w:val="left"/>
      </w:pPr>
      <w:r>
        <w:rPr>
          <w:rFonts w:ascii="Arial" w:cs="Arial" w:eastAsia="Arial" w:hAnsi="Arial"/>
          <w:b w:val="false"/>
          <w:bCs w:val="false"/>
          <w:color w:val="1A1A1A"/>
          <w:sz w:val="22"/>
          <w:szCs w:val="22"/>
        </w:rPr>
        <w:t xml:space="preserve">Not all 150+ FHIR resource types are relevant. We focus on the resources that map to the platform's Health Hub features and that are reliably populated across EHR systems. The following are the priority resources, in order.</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60"/>
        <w:gridCol w:w="180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FHIR resource</w:t>
            </w:r>
          </w:p>
        </w:tc>
        <w:tc>
          <w:tcPr>
            <w:tcW w:type="dxa" w:w="3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What it contains</w:t>
            </w:r>
          </w:p>
        </w:tc>
        <w:tc>
          <w:tcPr>
            <w:tcW w:type="dxa" w:w="2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Maps to in Health Hub</w:t>
            </w:r>
          </w:p>
        </w:tc>
        <w:tc>
          <w:tcPr>
            <w:tcW w:type="dxa" w:w="1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Reliability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bCs/>
                <w:color w:val="1A1A1A"/>
                <w:sz w:val="20"/>
                <w:szCs w:val="20"/>
              </w:rPr>
              <w:t xml:space="preserve">MedicationRequest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Active and historical prescriptions — drug name, dose, frequency, prescribing provider, start/stop dates, refill info.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Medication tracker — auto-populate entire medication 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High — well standardized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bCs/>
                <w:color w:val="1A1A1A"/>
                <w:sz w:val="20"/>
                <w:szCs w:val="20"/>
              </w:rPr>
              <w:t xml:space="preserve">Condition</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Active diagnoses, chronic conditions, problem list. ICD-10 codes with human-readable descriptions.</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Health profile — diagnosis history and active conditions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High — core EHR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bCs/>
                <w:color w:val="1A1A1A"/>
                <w:sz w:val="20"/>
                <w:szCs w:val="20"/>
              </w:rPr>
              <w:t xml:space="preserve">AllergyIntolerance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Drug, food, and environmental allergies with reaction descriptions and severity.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Health profile — allergy list; drug interaction checker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High — patient safety data</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bCs/>
                <w:color w:val="1A1A1A"/>
                <w:sz w:val="20"/>
                <w:szCs w:val="20"/>
              </w:rPr>
              <w:t xml:space="preserve">Observation</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Vital signs (BP, heart rate, weight, BMI, O2 sat, glucose), lab results (HbA1c, cholesterol, eGFR, CBC, TSH), social history.</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Lab results tracker; vital trends; Health Hub dashboard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Medium — varies by category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bCs/>
                <w:color w:val="1A1A1A"/>
                <w:sz w:val="20"/>
                <w:szCs w:val="20"/>
              </w:rPr>
              <w:t xml:space="preserve">Immunization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Vaccination history with dates, vaccine type, lot number, and administering provider.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Vaccination tracker — auto-complete past vaccines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High — registry-linked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bCs/>
                <w:color w:val="1A1A1A"/>
                <w:sz w:val="20"/>
                <w:szCs w:val="20"/>
              </w:rPr>
              <w:t xml:space="preserve">DiagnosticReport</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Structured lab reports, imaging reports, pathology reports.</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Lab results tracker — detailed report view</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Medium — narrative reports vary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bCs/>
                <w:color w:val="1A1A1A"/>
                <w:sz w:val="20"/>
                <w:szCs w:val="20"/>
              </w:rPr>
              <w:t xml:space="preserve">Patient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Demographics — name, DOB, gender, address, phone, emergency contacts.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Profile — verify identity, fill demographic gaps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bCs/>
                <w:color w:val="1A1A1A"/>
                <w:sz w:val="20"/>
                <w:szCs w:val="20"/>
              </w:rPr>
              <w:t xml:space="preserve">Practitioner / PractitionerRole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Providers who have treated the patient — name, specialty, NPI, practice location.</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Provider directory — auto-populate known providers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bCs/>
                <w:color w:val="1A1A1A"/>
                <w:sz w:val="20"/>
                <w:szCs w:val="20"/>
              </w:rPr>
              <w:t xml:space="preserve">Encounter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Visit history — date, reason, facility, type (inpatient / outpatient / 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Appointment log — historical visit timeline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Medium — billing-coded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bCs/>
                <w:color w:val="1A1A1A"/>
                <w:sz w:val="20"/>
                <w:szCs w:val="20"/>
              </w:rPr>
              <w:t xml:space="preserve">DocumentReference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Links to clinical documents: discharge summaries, care plans, operative notes.</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Vault — import clinical documents; AI summarization queue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Low-Medium — narrative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bCs/>
                <w:color w:val="1A1A1A"/>
                <w:sz w:val="20"/>
                <w:szCs w:val="20"/>
              </w:rPr>
              <w:t xml:space="preserve">CarePlan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Active care plans for chronic conditions. Goals, activities, team members.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Care plan module — imported and displayed alongside platform 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Low — EHR-dependent</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3.2  Ingestion pipeline design</w:t>
      </w:r>
    </w:p>
    <w:p>
      <w:pPr>
        <w:spacing w:after="80" w:before="60"/>
        <w:jc w:val="left"/>
      </w:pPr>
      <w:r>
        <w:rPr>
          <w:rFonts w:ascii="Arial" w:cs="Arial" w:eastAsia="Arial" w:hAnsi="Arial"/>
          <w:b w:val="false"/>
          <w:bCs w:val="false"/>
          <w:color w:val="1A1A1A"/>
          <w:sz w:val="22"/>
          <w:szCs w:val="22"/>
        </w:rPr>
        <w:t xml:space="preserve">After initial authorization, the ingestion pipeline runs in two modes: a full pull on first connection (fetching all historical data) and an incremental sync on an ongoing schedule (fetching only changed resources since last sync). Both run asynchronously — the user never waits for a sync to complete.</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1"/>
              <w:left w:val="single" w:color="888780" w:sz="1"/>
              <w:bottom w:val="single" w:color="888780" w:sz="1"/>
              <w:right w:val="single" w:color="888780" w:sz="1"/>
            </w:tcBorders>
            <w:shd w:fill="F1EFE8" w:val="clear"/>
            <w:tcMar>
              <w:top w:type="dxa" w:w="120"/>
              <w:left w:type="dxa" w:w="200"/>
              <w:bottom w:type="dxa" w:w="120"/>
              <w:right w:type="dxa" w:w="200"/>
            </w:tcMar>
          </w:tcPr>
          <w:p>
            <w:pPr>
              <w:spacing w:after="16" w:before="16"/>
              <w:jc w:val="left"/>
            </w:pPr>
            <w:r>
              <w:rPr>
                <w:rFonts w:ascii="Arial" w:cs="Arial" w:eastAsia="Arial" w:hAnsi="Arial"/>
                <w:b w:val="false"/>
                <w:bCs w:val="false"/>
                <w:color w:val="2C2C2A"/>
                <w:sz w:val="19"/>
                <w:szCs w:val="19"/>
              </w:rPr>
              <w:t xml:space="preserve">INITIAL FULL PULL  (runs once on first connection)</w:t>
            </w:r>
          </w:p>
          <w:p>
            <w:pPr>
              <w:spacing w:after="16" w:before="16"/>
              <w:jc w:val="left"/>
            </w:pPr>
            <w:r>
              <w:rPr>
                <w:rFonts w:ascii="Arial" w:cs="Arial" w:eastAsia="Arial" w:hAnsi="Arial"/>
                <w:b w:val="false"/>
                <w:bCs w:val="false"/>
                <w:color w:val="2C2C2A"/>
                <w:sz w:val="19"/>
                <w:szCs w:val="19"/>
              </w:rPr>
              <w:t xml:space="preserve">─────────────────────────────────────────────────────────────────────</w:t>
            </w:r>
          </w:p>
          <w:p>
            <w:pPr>
              <w:spacing w:after="16" w:before="16"/>
              <w:jc w:val="left"/>
            </w:pPr>
            <w:r>
              <w:rPr>
                <w:rFonts w:ascii="Arial" w:cs="Arial" w:eastAsia="Arial" w:hAnsi="Arial"/>
                <w:b w:val="false"/>
                <w:bCs w:val="false"/>
                <w:color w:val="2C2C2A"/>
                <w:sz w:val="19"/>
                <w:szCs w:val="19"/>
              </w:rPr>
              <w:t xml:space="preserve">1. Queue ingestion job with: {profile_id, ehr_system, patient_fhir_id, token}</w:t>
            </w:r>
          </w:p>
          <w:p>
            <w:pPr>
              <w:spacing w:after="16" w:before="16"/>
              <w:jc w:val="left"/>
            </w:pPr>
            <w:r>
              <w:rPr>
                <w:rFonts w:ascii="Arial" w:cs="Arial" w:eastAsia="Arial" w:hAnsi="Arial"/>
                <w:b w:val="false"/>
                <w:bCs w:val="false"/>
                <w:color w:val="2C2C2A"/>
                <w:sz w:val="19"/>
                <w:szCs w:val="19"/>
              </w:rPr>
              <w:t xml:space="preserve">2. For each resource type in priority order:</w:t>
            </w:r>
          </w:p>
          <w:p>
            <w:pPr>
              <w:spacing w:after="16" w:before="16"/>
              <w:jc w:val="left"/>
            </w:pPr>
            <w:r>
              <w:rPr>
                <w:rFonts w:ascii="Arial" w:cs="Arial" w:eastAsia="Arial" w:hAnsi="Arial"/>
                <w:b w:val="false"/>
                <w:bCs w:val="false"/>
                <w:color w:val="2C2C2A"/>
                <w:sz w:val="19"/>
                <w:szCs w:val="19"/>
              </w:rPr>
              <w:t xml:space="preserve">   GET /fhir/r4/MedicationRequest?patient={id}&amp;_count=100</w:t>
            </w:r>
          </w:p>
          <w:p>
            <w:pPr>
              <w:spacing w:after="16" w:before="16"/>
              <w:jc w:val="left"/>
            </w:pPr>
            <w:r>
              <w:rPr>
                <w:rFonts w:ascii="Arial" w:cs="Arial" w:eastAsia="Arial" w:hAnsi="Arial"/>
                <w:b w:val="false"/>
                <w:bCs w:val="false"/>
                <w:color w:val="2C2C2A"/>
                <w:sz w:val="19"/>
                <w:szCs w:val="19"/>
              </w:rPr>
              <w:t xml:space="preserve">   GET /fhir/r4/Condition?patient={id}&amp;_count=100</w:t>
            </w:r>
          </w:p>
          <w:p>
            <w:pPr>
              <w:spacing w:after="16" w:before="16"/>
              <w:jc w:val="left"/>
            </w:pPr>
            <w:r>
              <w:rPr>
                <w:rFonts w:ascii="Arial" w:cs="Arial" w:eastAsia="Arial" w:hAnsi="Arial"/>
                <w:b w:val="false"/>
                <w:bCs w:val="false"/>
                <w:color w:val="2C2C2A"/>
                <w:sz w:val="19"/>
                <w:szCs w:val="19"/>
              </w:rPr>
              <w:t xml:space="preserve">   GET /fhir/r4/AllergyIntolerance?patient={id}&amp;_count=100</w:t>
            </w:r>
          </w:p>
          <w:p>
            <w:pPr>
              <w:spacing w:after="16" w:before="16"/>
              <w:jc w:val="left"/>
            </w:pPr>
            <w:r>
              <w:rPr>
                <w:rFonts w:ascii="Arial" w:cs="Arial" w:eastAsia="Arial" w:hAnsi="Arial"/>
                <w:b w:val="false"/>
                <w:bCs w:val="false"/>
                <w:color w:val="2C2C2A"/>
                <w:sz w:val="19"/>
                <w:szCs w:val="19"/>
              </w:rPr>
              <w:t xml:space="preserve">   GET /fhir/r4/Observation?patient={id}&amp;category=laboratory&amp;_count=200</w:t>
            </w:r>
          </w:p>
          <w:p>
            <w:pPr>
              <w:spacing w:after="16" w:before="16"/>
              <w:jc w:val="left"/>
            </w:pPr>
            <w:r>
              <w:rPr>
                <w:rFonts w:ascii="Arial" w:cs="Arial" w:eastAsia="Arial" w:hAnsi="Arial"/>
                <w:b w:val="false"/>
                <w:bCs w:val="false"/>
                <w:color w:val="2C2C2A"/>
                <w:sz w:val="19"/>
                <w:szCs w:val="19"/>
              </w:rPr>
              <w:t xml:space="preserve">   GET /fhir/r4/Observation?patient={id}&amp;category=vital-signs&amp;_count=200</w:t>
            </w:r>
          </w:p>
          <w:p>
            <w:pPr>
              <w:spacing w:after="16" w:before="16"/>
              <w:jc w:val="left"/>
            </w:pPr>
            <w:r>
              <w:rPr>
                <w:rFonts w:ascii="Arial" w:cs="Arial" w:eastAsia="Arial" w:hAnsi="Arial"/>
                <w:b w:val="false"/>
                <w:bCs w:val="false"/>
                <w:color w:val="2C2C2A"/>
                <w:sz w:val="19"/>
                <w:szCs w:val="19"/>
              </w:rPr>
              <w:t xml:space="preserve">   GET /fhir/r4/Immunization?patient={id}&amp;_count=100</w:t>
            </w:r>
          </w:p>
          <w:p>
            <w:pPr>
              <w:spacing w:after="16" w:before="16"/>
              <w:jc w:val="left"/>
            </w:pPr>
            <w:r>
              <w:rPr>
                <w:rFonts w:ascii="Arial" w:cs="Arial" w:eastAsia="Arial" w:hAnsi="Arial"/>
                <w:b w:val="false"/>
                <w:bCs w:val="false"/>
                <w:color w:val="2C2C2A"/>
                <w:sz w:val="19"/>
                <w:szCs w:val="19"/>
              </w:rPr>
              <w:t xml:space="preserve">   ... (paginate via Bundle.link[next] until exhausted)</w:t>
            </w:r>
          </w:p>
          <w:p>
            <w:pPr>
              <w:spacing w:after="16" w:before="16"/>
              <w:jc w:val="left"/>
            </w:pPr>
            <w:r>
              <w:rPr>
                <w:rFonts w:ascii="Arial" w:cs="Arial" w:eastAsia="Arial" w:hAnsi="Arial"/>
                <w:b w:val="false"/>
                <w:bCs w:val="false"/>
                <w:color w:val="2C2C2A"/>
                <w:sz w:val="19"/>
                <w:szCs w:val="19"/>
              </w:rPr>
              <w:t xml:space="preserve">3. Each resource bundle → normalization layer → deduplication → staging table</w:t>
            </w:r>
          </w:p>
          <w:p>
            <w:pPr>
              <w:spacing w:after="16" w:before="16"/>
              <w:jc w:val="left"/>
            </w:pPr>
            <w:r>
              <w:rPr>
                <w:rFonts w:ascii="Arial" w:cs="Arial" w:eastAsia="Arial" w:hAnsi="Arial"/>
                <w:b w:val="false"/>
                <w:bCs w:val="false"/>
                <w:color w:val="2C2C2A"/>
                <w:sz w:val="19"/>
                <w:szCs w:val="19"/>
              </w:rPr>
              <w:t xml:space="preserve">4. Batch upsert to profile_health tables</w:t>
            </w:r>
          </w:p>
          <w:p>
            <w:pPr>
              <w:spacing w:after="16" w:before="16"/>
              <w:jc w:val="left"/>
            </w:pPr>
            <w:r>
              <w:rPr>
                <w:rFonts w:ascii="Arial" w:cs="Arial" w:eastAsia="Arial" w:hAnsi="Arial"/>
                <w:b w:val="false"/>
                <w:bCs w:val="false"/>
                <w:color w:val="2C2C2A"/>
                <w:sz w:val="19"/>
                <w:szCs w:val="19"/>
              </w:rPr>
              <w:t xml:space="preserve">5. Queue AI enrichment jobs (medication summaries, condition explainers)</w:t>
            </w:r>
          </w:p>
          <w:p>
            <w:pPr>
              <w:spacing w:after="16" w:before="16"/>
              <w:jc w:val="left"/>
            </w:pPr>
            <w:r>
              <w:rPr>
                <w:rFonts w:ascii="Arial" w:cs="Arial" w:eastAsia="Arial" w:hAnsi="Arial"/>
                <w:b w:val="false"/>
                <w:bCs w:val="false"/>
                <w:color w:val="2C2C2A"/>
                <w:sz w:val="19"/>
                <w:szCs w:val="19"/>
              </w:rPr>
              <w:t xml:space="preserve">6. Notify user: 'We've imported 847 health records from Mayo Clinic'</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INCREMENTAL SYNC  (runs every 24 hours by default; user-configurable)</w:t>
            </w:r>
          </w:p>
          <w:p>
            <w:pPr>
              <w:spacing w:after="16" w:before="16"/>
              <w:jc w:val="left"/>
            </w:pPr>
            <w:r>
              <w:rPr>
                <w:rFonts w:ascii="Arial" w:cs="Arial" w:eastAsia="Arial" w:hAnsi="Arial"/>
                <w:b w:val="false"/>
                <w:bCs w:val="false"/>
                <w:color w:val="2C2C2A"/>
                <w:sz w:val="19"/>
                <w:szCs w:val="19"/>
              </w:rPr>
              <w:t xml:space="preserve">─────────────────────────────────────────────────────────────────────</w:t>
            </w:r>
          </w:p>
          <w:p>
            <w:pPr>
              <w:spacing w:after="16" w:before="16"/>
              <w:jc w:val="left"/>
            </w:pPr>
            <w:r>
              <w:rPr>
                <w:rFonts w:ascii="Arial" w:cs="Arial" w:eastAsia="Arial" w:hAnsi="Arial"/>
                <w:b w:val="false"/>
                <w:bCs w:val="false"/>
                <w:color w:val="2C2C2A"/>
                <w:sz w:val="19"/>
                <w:szCs w:val="19"/>
              </w:rPr>
              <w:t xml:space="preserve">1. For each active EHR connection:</w:t>
            </w:r>
          </w:p>
          <w:p>
            <w:pPr>
              <w:spacing w:after="16" w:before="16"/>
              <w:jc w:val="left"/>
            </w:pPr>
            <w:r>
              <w:rPr>
                <w:rFonts w:ascii="Arial" w:cs="Arial" w:eastAsia="Arial" w:hAnsi="Arial"/>
                <w:b w:val="false"/>
                <w:bCs w:val="false"/>
                <w:color w:val="2C2C2A"/>
                <w:sz w:val="19"/>
                <w:szCs w:val="19"/>
              </w:rPr>
              <w:t xml:space="preserve">   GET /fhir/r4/MedicationRequest?patient={id}&amp;_lastUpdated=gt{last_sync}</w:t>
            </w:r>
          </w:p>
          <w:p>
            <w:pPr>
              <w:spacing w:after="16" w:before="16"/>
              <w:jc w:val="left"/>
            </w:pPr>
            <w:r>
              <w:rPr>
                <w:rFonts w:ascii="Arial" w:cs="Arial" w:eastAsia="Arial" w:hAnsi="Arial"/>
                <w:b w:val="false"/>
                <w:bCs w:val="false"/>
                <w:color w:val="2C2C2A"/>
                <w:sz w:val="19"/>
                <w:szCs w:val="19"/>
              </w:rPr>
              <w:t xml:space="preserve">   GET /fhir/r4/Condition?patient={id}&amp;_lastUpdated=gt{last_sync}</w:t>
            </w:r>
          </w:p>
          <w:p>
            <w:pPr>
              <w:spacing w:after="16" w:before="16"/>
              <w:jc w:val="left"/>
            </w:pPr>
            <w:r>
              <w:rPr>
                <w:rFonts w:ascii="Arial" w:cs="Arial" w:eastAsia="Arial" w:hAnsi="Arial"/>
                <w:b w:val="false"/>
                <w:bCs w:val="false"/>
                <w:color w:val="2C2C2A"/>
                <w:sz w:val="19"/>
                <w:szCs w:val="19"/>
              </w:rPr>
              <w:t xml:space="preserve">   ... (same resources, date-filtered)</w:t>
            </w:r>
          </w:p>
          <w:p>
            <w:pPr>
              <w:spacing w:after="16" w:before="16"/>
              <w:jc w:val="left"/>
            </w:pPr>
            <w:r>
              <w:rPr>
                <w:rFonts w:ascii="Arial" w:cs="Arial" w:eastAsia="Arial" w:hAnsi="Arial"/>
                <w:b w:val="false"/>
                <w:bCs w:val="false"/>
                <w:color w:val="2C2C2A"/>
                <w:sz w:val="19"/>
                <w:szCs w:val="19"/>
              </w:rPr>
              <w:t xml:space="preserve">2. Diff against existing records: new / changed / revoked</w:t>
            </w:r>
          </w:p>
          <w:p>
            <w:pPr>
              <w:spacing w:after="16" w:before="16"/>
              <w:jc w:val="left"/>
            </w:pPr>
            <w:r>
              <w:rPr>
                <w:rFonts w:ascii="Arial" w:cs="Arial" w:eastAsia="Arial" w:hAnsi="Arial"/>
                <w:b w:val="false"/>
                <w:bCs w:val="false"/>
                <w:color w:val="2C2C2A"/>
                <w:sz w:val="19"/>
                <w:szCs w:val="19"/>
              </w:rPr>
              <w:t xml:space="preserve">3. Apply changes; flag significant changes for user notification</w:t>
            </w:r>
          </w:p>
          <w:p>
            <w:pPr>
              <w:spacing w:after="16" w:before="16"/>
              <w:jc w:val="left"/>
            </w:pPr>
            <w:r>
              <w:rPr>
                <w:rFonts w:ascii="Arial" w:cs="Arial" w:eastAsia="Arial" w:hAnsi="Arial"/>
                <w:b w:val="false"/>
                <w:bCs w:val="false"/>
                <w:color w:val="2C2C2A"/>
                <w:sz w:val="19"/>
                <w:szCs w:val="19"/>
              </w:rPr>
              <w:t xml:space="preserve">   Examples: new diagnosis added, medication discontinued, lab value changed</w:t>
            </w:r>
          </w:p>
          <w:p>
            <w:pPr>
              <w:spacing w:after="16" w:before="16"/>
              <w:jc w:val="left"/>
            </w:pPr>
            <w:r>
              <w:rPr>
                <w:rFonts w:ascii="Arial" w:cs="Arial" w:eastAsia="Arial" w:hAnsi="Arial"/>
                <w:b w:val="false"/>
                <w:bCs w:val="false"/>
                <w:color w:val="2C2C2A"/>
                <w:sz w:val="19"/>
                <w:szCs w:val="19"/>
              </w:rPr>
              <w:t xml:space="preserve">4. Update last_sync timestamp</w:t>
            </w:r>
          </w:p>
          <w:p>
            <w:pPr>
              <w:spacing w:after="16" w:before="16"/>
              <w:jc w:val="left"/>
            </w:pPr>
            <w:r>
              <w:rPr>
                <w:rFonts w:ascii="Arial" w:cs="Arial" w:eastAsia="Arial" w:hAnsi="Arial"/>
                <w:b w:val="false"/>
                <w:bCs w:val="false"/>
                <w:color w:val="2C2C2A"/>
                <w:sz w:val="19"/>
                <w:szCs w:val="19"/>
              </w:rPr>
              <w:t xml:space="preserve">5. Refresh access token if within 5 min of expiry; rotate refresh token</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ERROR HANDLING</w:t>
            </w:r>
          </w:p>
          <w:p>
            <w:pPr>
              <w:spacing w:after="16" w:before="16"/>
              <w:jc w:val="left"/>
            </w:pPr>
            <w:r>
              <w:rPr>
                <w:rFonts w:ascii="Arial" w:cs="Arial" w:eastAsia="Arial" w:hAnsi="Arial"/>
                <w:b w:val="false"/>
                <w:bCs w:val="false"/>
                <w:color w:val="2C2C2A"/>
                <w:sz w:val="19"/>
                <w:szCs w:val="19"/>
              </w:rPr>
              <w:t xml:space="preserve">─────────────────────────────────────────────────────────────────────</w:t>
            </w:r>
          </w:p>
          <w:p>
            <w:pPr>
              <w:spacing w:after="16" w:before="16"/>
              <w:jc w:val="left"/>
            </w:pPr>
            <w:r>
              <w:rPr>
                <w:rFonts w:ascii="Arial" w:cs="Arial" w:eastAsia="Arial" w:hAnsi="Arial"/>
                <w:b w:val="false"/>
                <w:bCs w:val="false"/>
                <w:color w:val="2C2C2A"/>
                <w:sz w:val="19"/>
                <w:szCs w:val="19"/>
              </w:rPr>
              <w:t xml:space="preserve">• Rate limit (429): exponential backoff with jitter; max 5 retries</w:t>
            </w:r>
          </w:p>
          <w:p>
            <w:pPr>
              <w:spacing w:after="16" w:before="16"/>
              <w:jc w:val="left"/>
            </w:pPr>
            <w:r>
              <w:rPr>
                <w:rFonts w:ascii="Arial" w:cs="Arial" w:eastAsia="Arial" w:hAnsi="Arial"/>
                <w:b w:val="false"/>
                <w:bCs w:val="false"/>
                <w:color w:val="2C2C2A"/>
                <w:sz w:val="19"/>
                <w:szCs w:val="19"/>
              </w:rPr>
              <w:t xml:space="preserve">• Token expired (401): attempt refresh; if refresh fails, notify user to re-auth</w:t>
            </w:r>
          </w:p>
          <w:p>
            <w:pPr>
              <w:spacing w:after="16" w:before="16"/>
              <w:jc w:val="left"/>
            </w:pPr>
            <w:r>
              <w:rPr>
                <w:rFonts w:ascii="Arial" w:cs="Arial" w:eastAsia="Arial" w:hAnsi="Arial"/>
                <w:b w:val="false"/>
                <w:bCs w:val="false"/>
                <w:color w:val="2C2C2A"/>
                <w:sz w:val="19"/>
                <w:szCs w:val="19"/>
              </w:rPr>
              <w:t xml:space="preserve">• Resource not supported (404): log and skip; do not retry</w:t>
            </w:r>
          </w:p>
          <w:p>
            <w:pPr>
              <w:spacing w:after="16" w:before="16"/>
              <w:jc w:val="left"/>
            </w:pPr>
            <w:r>
              <w:rPr>
                <w:rFonts w:ascii="Arial" w:cs="Arial" w:eastAsia="Arial" w:hAnsi="Arial"/>
                <w:b w:val="false"/>
                <w:bCs w:val="false"/>
                <w:color w:val="2C2C2A"/>
                <w:sz w:val="19"/>
                <w:szCs w:val="19"/>
              </w:rPr>
              <w:t xml:space="preserve">• EHR downtime (503): queue retry at +1hr, +4hr, +24hr; alert if 3 failures</w:t>
            </w:r>
          </w:p>
          <w:p>
            <w:pPr>
              <w:spacing w:after="16" w:before="16"/>
              <w:jc w:val="left"/>
            </w:pPr>
            <w:r>
              <w:rPr>
                <w:rFonts w:ascii="Arial" w:cs="Arial" w:eastAsia="Arial" w:hAnsi="Arial"/>
                <w:b w:val="false"/>
                <w:bCs w:val="false"/>
                <w:color w:val="2C2C2A"/>
                <w:sz w:val="19"/>
                <w:szCs w:val="19"/>
              </w:rPr>
              <w:t xml:space="preserve">• Partial failures: record per-resource success/failure; partial data is better than none</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3.3  Data normalization layer</w:t>
      </w:r>
    </w:p>
    <w:p>
      <w:pPr>
        <w:spacing w:after="80" w:before="60"/>
        <w:jc w:val="left"/>
      </w:pPr>
      <w:r>
        <w:rPr>
          <w:rFonts w:ascii="Arial" w:cs="Arial" w:eastAsia="Arial" w:hAnsi="Arial"/>
          <w:b w:val="false"/>
          <w:bCs w:val="false"/>
          <w:color w:val="1A1A1A"/>
          <w:sz w:val="22"/>
          <w:szCs w:val="22"/>
        </w:rPr>
        <w:t xml:space="preserve">FHIR resources from different EHRs are technically standardized but practically inconsistent — medication names may be brand or generic, lab codes may be LOINC or local, diagnoses may be ICD-10 or SNOMED. The normalization layer resolves this into a clean, consistent internal schema.</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Data type</w:t>
            </w:r>
          </w:p>
        </w:tc>
        <w:tc>
          <w:tcPr>
            <w:tcW w:type="dxa" w:w="3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Normalization challenge</w:t>
            </w:r>
          </w:p>
        </w:tc>
        <w:tc>
          <w:tcPr>
            <w:tcW w:type="dxa" w:w="47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Normalization approach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Medication names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Mix of brand names (Lipitor), generics (atorvastatin), and compound descriptions. Same drug may appear multiple times from different prescribers.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Resolve to RxNorm concept ID. Map brand → generic. Dedup by RxNorm ID + dose + frequency. Flag apparent duplicates for user review.</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Lab results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LOINC codes not always present. Local lab codes used. Units vary (mg/dL vs mmol/L). Reference ranges differ by lab.</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Map to LOINC where possible; maintain local code as fallback. Normalize units to US standard. Store reference ranges from source; flag out-of-range using source range.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Diagnoses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Mix of ICD-10 and SNOMED. Different levels of specificity (E11 vs E11.65). Narrative descriptions vary widely.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Store original code + system. Map to ICD-10 for display. Group related codes (all diabetes codes under one condition entry). Use SNOMED hierarchy for condition families.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Dates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Mix of date precision: some resources have full datetime, some have date only, some have approximate ('2023').</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Normalize to ISO 8601. Store precision level. Display appropriately: 'approximately 2023' vs 'January 15, 2024'.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Vital signs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Observation resources can contain anything — normalize blood pressure (systolic/diastolic split), weight (lb/kg), temperature (F/C).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Use LOINC codes to identify vital type. Normalize to US standard units. Store original unit for audit. Flag physiologically implausible values.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Provider names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Same provider may appear across multiple resources with name variants, different NPI formats.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Resolve to NPI (National Provider Identifier). Canonical name from NPI registry lookup. Merge duplicate provider entries.</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3.4  How FHIR data surfaces in the Health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Health Hub feature</w:t>
            </w:r>
          </w:p>
        </w:tc>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FHIR source</w:t>
            </w:r>
          </w:p>
        </w:tc>
        <w:tc>
          <w:tcPr>
            <w:tcW w:type="dxa" w:w="5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What changes with FHIR connected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Medication tracker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MedicationRequest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Entire medication list pre-populated. Refill dates pulled from supply quantity + days supply. Discontinued medications shown in history. User only needs to add OTC meds manually.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Lab results tracker</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Observation (laboratory)</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Full lab history imported. Trend charts populated automatically. Out-of-range flags applied using source reference ranges. AI plain-English summary generated for each lab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Vital trends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Observation (vital-signs)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Blood pressure, weight, glucose trends charted over time using clinic measurements. Alerts if trend is worsening. Exported chart shareable with family or providers.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Health profile — diagnoses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Condition</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Diagnosis history complete from day one. Active problem list populated. ICD-10 codes mapped to plain-English condition names with AI explainer: 'What is Type 2 diabetes and what does it mean for your parent?'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Allergy 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AllergyIntolerance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Complete allergy list auto-populated — drug and food allergies with reaction severity. Drug interaction checker cross-references against medication list automatically.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Vaccination tracker</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Immunization</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Historical vaccinations pre-filled — no manual entry needed. Gaps identified against CDC schedule. 'Your parent's records show no Shingrix vaccination.'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Provider directory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Practitioner / Encounter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Known providers auto-populated with specialty, contact info, and last seen date. Visit history provides context: 'Seen by Dr. Chen 3 times in the last 12 months.'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Appointment log</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Encounter</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Historical visit log imported. Future appointments (if EHR exposes them). Visit reason and type (primary care, specialist, ER) displayed.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Document vault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DocumentReference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Clinical documents — discharge summaries, care plans — imported and auto-categorized in the Vault. AI summarizes in plain English. Flagged for caregiver review.</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AI assistant context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All resources</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AI assistant has full medical context when answering questions. 'Given your mother's CKD diagnosis and current metformin prescription, here's what to ask her nephrologist...'</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3.5  FHIR-specific security &amp; compliance</w:t>
      </w:r>
    </w:p>
    <w:p>
      <w:pPr>
        <w:pStyle w:val="ListParagraph"/>
        <w:numPr>
          <w:ilvl w:val="0"/>
          <w:numId w:val="2"/>
        </w:numPr>
        <w:spacing w:after="40" w:before="40"/>
      </w:pPr>
      <w:r>
        <w:rPr>
          <w:rFonts w:ascii="Arial" w:cs="Arial" w:eastAsia="Arial" w:hAnsi="Arial"/>
          <w:b w:val="false"/>
          <w:bCs w:val="false"/>
          <w:color w:val="1A1A1A"/>
          <w:sz w:val="21"/>
          <w:szCs w:val="21"/>
        </w:rPr>
        <w:t xml:space="preserve">Separate encryption key per patient-EHR connection. Compromise of one connection's token cannot expose another patient's data.</w:t>
      </w:r>
    </w:p>
    <w:p>
      <w:pPr>
        <w:pStyle w:val="ListParagraph"/>
        <w:numPr>
          <w:ilvl w:val="0"/>
          <w:numId w:val="2"/>
        </w:numPr>
        <w:spacing w:after="40" w:before="40"/>
      </w:pPr>
      <w:r>
        <w:rPr>
          <w:rFonts w:ascii="Arial" w:cs="Arial" w:eastAsia="Arial" w:hAnsi="Arial"/>
          <w:b w:val="false"/>
          <w:bCs w:val="false"/>
          <w:color w:val="1A1A1A"/>
          <w:sz w:val="21"/>
          <w:szCs w:val="21"/>
        </w:rPr>
        <w:t xml:space="preserve">FHIR data stored in a dedicated database partition with stricter row-level security and separate audit logging from general platform data.</w:t>
      </w:r>
    </w:p>
    <w:p>
      <w:pPr>
        <w:pStyle w:val="ListParagraph"/>
        <w:numPr>
          <w:ilvl w:val="0"/>
          <w:numId w:val="2"/>
        </w:numPr>
        <w:spacing w:after="40" w:before="40"/>
      </w:pPr>
      <w:r>
        <w:rPr>
          <w:rFonts w:ascii="Arial" w:cs="Arial" w:eastAsia="Arial" w:hAnsi="Arial"/>
          <w:b w:val="false"/>
          <w:bCs w:val="false"/>
          <w:color w:val="1A1A1A"/>
          <w:sz w:val="21"/>
          <w:szCs w:val="21"/>
        </w:rPr>
        <w:t xml:space="preserve">Token storage: OAuth tokens encrypted with AES-256, stored in the FHIR data partition. Tokens never logged. Refresh tokens rotated on every use.</w:t>
      </w:r>
    </w:p>
    <w:p>
      <w:pPr>
        <w:pStyle w:val="ListParagraph"/>
        <w:numPr>
          <w:ilvl w:val="0"/>
          <w:numId w:val="2"/>
        </w:numPr>
        <w:spacing w:after="40" w:before="40"/>
      </w:pPr>
      <w:r>
        <w:rPr>
          <w:rFonts w:ascii="Arial" w:cs="Arial" w:eastAsia="Arial" w:hAnsi="Arial"/>
          <w:b w:val="false"/>
          <w:bCs w:val="false"/>
          <w:color w:val="1A1A1A"/>
          <w:sz w:val="21"/>
          <w:szCs w:val="21"/>
        </w:rPr>
        <w:t xml:space="preserve">Patient FHIR IDs are not exposed to the client — the platform uses its own internal IDs for all API calls. FHIR IDs are stored server-side only.</w:t>
      </w:r>
    </w:p>
    <w:p>
      <w:pPr>
        <w:pStyle w:val="ListParagraph"/>
        <w:numPr>
          <w:ilvl w:val="0"/>
          <w:numId w:val="2"/>
        </w:numPr>
        <w:spacing w:after="40" w:before="40"/>
      </w:pPr>
      <w:r>
        <w:rPr>
          <w:rFonts w:ascii="Arial" w:cs="Arial" w:eastAsia="Arial" w:hAnsi="Arial"/>
          <w:b w:val="false"/>
          <w:bCs w:val="false"/>
          <w:color w:val="1A1A1A"/>
          <w:sz w:val="21"/>
          <w:szCs w:val="21"/>
        </w:rPr>
        <w:t xml:space="preserve">Scope minimization: request only the scopes listed in Section 2.2. No bulk export scopes unless user explicitly requests a full export.</w:t>
      </w:r>
    </w:p>
    <w:p>
      <w:pPr>
        <w:pStyle w:val="ListParagraph"/>
        <w:numPr>
          <w:ilvl w:val="0"/>
          <w:numId w:val="2"/>
        </w:numPr>
        <w:spacing w:after="40" w:before="40"/>
      </w:pPr>
      <w:r>
        <w:rPr>
          <w:rFonts w:ascii="Arial" w:cs="Arial" w:eastAsia="Arial" w:hAnsi="Arial"/>
          <w:b w:val="false"/>
          <w:bCs w:val="false"/>
          <w:color w:val="1A1A1A"/>
          <w:sz w:val="21"/>
          <w:szCs w:val="21"/>
        </w:rPr>
        <w:t xml:space="preserve">User-revocable: any EHR connection can be disconnected in one tap from Settings. Disconnection immediately deletes tokens and queues data purge per retention policy.</w:t>
      </w:r>
    </w:p>
    <w:p>
      <w:pPr>
        <w:pStyle w:val="ListParagraph"/>
        <w:numPr>
          <w:ilvl w:val="0"/>
          <w:numId w:val="2"/>
        </w:numPr>
        <w:spacing w:after="40" w:before="40"/>
      </w:pPr>
      <w:r>
        <w:rPr>
          <w:rFonts w:ascii="Arial" w:cs="Arial" w:eastAsia="Arial" w:hAnsi="Arial"/>
          <w:b w:val="false"/>
          <w:bCs w:val="false"/>
          <w:color w:val="1A1A1A"/>
          <w:sz w:val="21"/>
          <w:szCs w:val="21"/>
        </w:rPr>
        <w:t xml:space="preserve">HIPAA BAA required with all EHR vendors before production use. Epic and Cerner have standard BAA templates as part of their app registration process.</w:t>
      </w:r>
    </w:p>
    <w:p>
      <w:pPr>
        <w:pStyle w:val="ListParagraph"/>
        <w:numPr>
          <w:ilvl w:val="0"/>
          <w:numId w:val="2"/>
        </w:numPr>
        <w:spacing w:after="40" w:before="40"/>
      </w:pPr>
      <w:r>
        <w:rPr>
          <w:rFonts w:ascii="Arial" w:cs="Arial" w:eastAsia="Arial" w:hAnsi="Arial"/>
          <w:b w:val="false"/>
          <w:bCs w:val="false"/>
          <w:color w:val="1A1A1A"/>
          <w:sz w:val="21"/>
          <w:szCs w:val="21"/>
        </w:rPr>
        <w:t xml:space="preserve">Audit log: every FHIR API call (request, response metadata, resource count) logged to the platform's append-only audit log. No resource content in logs — only counts and resource types.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80"/>
              <w:left w:type="dxa" w:w="280"/>
              <w:bottom w:type="dxa" w:w="180"/>
              <w:right w:type="dxa" w:w="280"/>
            </w:tcMar>
          </w:tcPr>
          <w:p>
            <w:pPr>
              <w:spacing w:after="40" w:before="0"/>
              <w:jc w:val="left"/>
            </w:pPr>
            <w:r>
              <w:rPr>
                <w:rFonts w:ascii="Arial" w:cs="Arial" w:eastAsia="Arial" w:hAnsi="Arial"/>
                <w:b/>
                <w:bCs/>
                <w:color w:val="27500A"/>
                <w:sz w:val="30"/>
                <w:szCs w:val="30"/>
              </w:rPr>
              <w:t xml:space="preserve">Part 2 — SMS / Voice Interface Architecture</w:t>
            </w:r>
          </w:p>
          <w:p>
            <w:pPr>
              <w:spacing w:after="0" w:before="0"/>
              <w:jc w:val="left"/>
            </w:pPr>
            <w:r>
              <w:rPr>
                <w:rFonts w:ascii="Arial" w:cs="Arial" w:eastAsia="Arial" w:hAnsi="Arial"/>
                <w:b w:val="false"/>
                <w:bCs w:val="false"/>
                <w:color w:val="27500A"/>
                <w:sz w:val="20"/>
                <w:szCs w:val="20"/>
              </w:rPr>
              <w:t xml:space="preserve">Bringing the platform to parents who will never download an app</w:t>
            </w:r>
          </w:p>
        </w:tc>
      </w:tr>
    </w:tbl>
    <w:p>
      <w:pPr>
        <w:spacing w:after="0" w:before="120"/>
      </w:pPr>
      <w:r>
        <w:rPr>
          <w:rFonts w:ascii="Arial" w:cs="Arial" w:eastAsia="Arial" w:hAnsi="Arial"/>
          <w:b w:val="false"/>
          <w:bCs w:val="false"/>
          <w:color w:val="1A1A1A"/>
          <w:sz w:val="22"/>
          <w:szCs w:val="22"/>
        </w:rPr>
        <w:t xml:space="preserve"/>
      </w:r>
    </w:p>
    <w:p>
      <w:pPr>
        <w:pStyle w:val="Heading1"/>
        <w:pBdr>
          <w:bottom w:val="single" w:color="3B6D11" w:sz="6" w:space="8"/>
        </w:pBdr>
        <w:spacing w:after="120" w:before="400"/>
      </w:pPr>
      <w:r>
        <w:rPr>
          <w:rFonts w:ascii="Arial" w:cs="Arial" w:eastAsia="Arial" w:hAnsi="Arial"/>
          <w:b/>
          <w:bCs/>
          <w:color w:val="3B6D11"/>
          <w:sz w:val="34"/>
          <w:szCs w:val="34"/>
        </w:rPr>
        <w:t xml:space="preserve">4.  The parent interface problem</w:t>
      </w:r>
    </w:p>
    <w:p>
      <w:pPr>
        <w:spacing w:after="80" w:before="60"/>
        <w:jc w:val="left"/>
      </w:pPr>
      <w:r>
        <w:rPr>
          <w:rFonts w:ascii="Arial" w:cs="Arial" w:eastAsia="Arial" w:hAnsi="Arial"/>
          <w:b w:val="false"/>
          <w:bCs w:val="false"/>
          <w:color w:val="1A1A1A"/>
          <w:sz w:val="22"/>
          <w:szCs w:val="22"/>
        </w:rPr>
        <w:t xml:space="preserve">The most important person in the Aging Gracefully ecosystem is the elderly parent — and they are also the least likely to use a smartphone app. Studies consistently show that adults 75+ have significantly lower smartphone adoption, lower app usage, and higher rates of digital anxiety than younger cohorts. Building a parent-facing mobile app is almost certainly the wrong approach.</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AF3DE" w:val="clear"/>
            <w:tcMar>
              <w:top w:type="dxa" w:w="120"/>
              <w:left w:type="dxa" w:w="120"/>
              <w:bottom w:type="dxa" w:w="120"/>
              <w:right w:type="dxa" w:w="0"/>
            </w:tcMar>
          </w:tcPr>
          <w:p>
            <w:pPr>
              <w:spacing w:after="0" w:before="0"/>
              <w:jc w:val="left"/>
            </w:pPr>
            <w:r>
              <w:rPr>
                <w:rFonts w:ascii="Arial" w:cs="Arial" w:eastAsia="Arial" w:hAnsi="Arial"/>
                <w:b/>
                <w:bCs/>
                <w:color w:val="27500A"/>
                <w:sz w:val="18"/>
                <w:szCs w:val="18"/>
              </w:rPr>
              <w:t xml:space="preserve">INSIGHT</w:t>
            </w:r>
          </w:p>
        </w:tc>
        <w:tc>
          <w:tcPr>
            <w:tcW w:type="dxa" w:w="9120"/>
            <w:tcBorders>
              <w:top w:val="none" w:color="FFFFFF" w:sz="0"/>
              <w:left w:val="none" w:color="FFFFFF" w:sz="0"/>
              <w:bottom w:val="none" w:color="FFFFFF" w:sz="0"/>
              <w:right w:val="none" w:color="FFFFFF" w:sz="0"/>
            </w:tcBorders>
            <w:shd w:fill="EAF3DE" w:val="clear"/>
            <w:tcMar>
              <w:top w:type="dxa" w:w="120"/>
              <w:left w:type="dxa" w:w="160"/>
              <w:bottom w:type="dxa" w:w="120"/>
              <w:right w:type="dxa" w:w="160"/>
            </w:tcMar>
          </w:tcPr>
          <w:p>
            <w:pPr>
              <w:spacing w:after="0" w:before="0"/>
              <w:jc w:val="left"/>
            </w:pPr>
            <w:r>
              <w:rPr>
                <w:rFonts w:ascii="Arial" w:cs="Arial" w:eastAsia="Arial" w:hAnsi="Arial"/>
                <w:b w:val="false"/>
                <w:bCs w:val="false"/>
                <w:color w:val="27500A"/>
                <w:sz w:val="21"/>
                <w:szCs w:val="21"/>
              </w:rPr>
              <w:t xml:space="preserve">The right mental model is not 'how do we get parents onto our app' but rather 'how do we bring the platform's intelligence to wherever the parent already is.' For most elderly adults, that is: SMS text messages, a basic cell or landline phone, and (increasingly) an Amazon Echo or Google Home in the living room.</w:t>
            </w:r>
          </w:p>
        </w:tc>
      </w:tr>
    </w:tbl>
    <w:p>
      <w:pPr>
        <w:spacing w:after="0" w:before="12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4.1  Parent communication channels —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Channel</w:t>
            </w:r>
          </w:p>
        </w:tc>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Who it reaches</w:t>
            </w:r>
          </w:p>
        </w:tc>
        <w:tc>
          <w:tcPr>
            <w:tcW w:type="dxa" w:w="3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What it's good for</w:t>
            </w:r>
          </w:p>
        </w:tc>
        <w:tc>
          <w:tcPr>
            <w:tcW w:type="dxa" w:w="28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Technical approach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SMS (standard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Anyone with a cell phone — even basic flip phones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Medication reminders, appointment reminders, simple confirmations, links to documents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Twilio Programmable SMS</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MMS (picture message)</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Smartphones and many feature phones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Sending documents as images, medication photos, care plan summaries as formatted visual</w:t>
            </w:r>
          </w:p>
        </w:tc>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Twilio MMS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WhatsApp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Users already on WhatsApp — common in non-English-speaking and immigrant families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All of SMS + richer formatting, read receipts, free internationally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Twilio WhatsApp Business API</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Voice call (automated)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Landline users; those who cannot read SMS well due to vision issues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Medication reminders with voice confirmation, urgent health alerts, check-in calls</w:t>
            </w:r>
          </w:p>
        </w:tc>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Twilio Programmable Voice + TTS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Voice call (AI-assisted)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More capable elderly adults comfortable with voice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Two-way conversation: answer questions about medications, confirm appointments, relay messages to family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Twilio + Claude API (streaming)</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Amazon Alexa skill</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The ~35% of adults 65+ who have a smart speaker in their home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Proactive reminders, voice confirmation of medications, Q&amp;A about schedule, two-way family messages</w:t>
            </w:r>
          </w:p>
        </w:tc>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Alexa Skills Kit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Google Home 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Users in the Google ecosystem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Same as Alexa but for Google Home / Nest Hub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Google Actions SDK</w:t>
            </w:r>
          </w:p>
        </w:tc>
      </w:tr>
    </w:tbl>
    <w:p>
      <w:pPr>
        <w:spacing w:after="0" w:before="160"/>
      </w:pPr>
      <w:r>
        <w:rPr>
          <w:rFonts w:ascii="Arial" w:cs="Arial" w:eastAsia="Arial" w:hAnsi="Arial"/>
          <w:b w:val="false"/>
          <w:bCs w:val="false"/>
          <w:color w:val="1A1A1A"/>
          <w:sz w:val="22"/>
          <w:szCs w:val="22"/>
        </w:rPr>
        <w:t xml:space="preserve"/>
      </w:r>
    </w:p>
    <w:p>
      <w:pPr>
        <w:pStyle w:val="Heading1"/>
        <w:pBdr>
          <w:bottom w:val="single" w:color="3B6D11" w:sz="6" w:space="8"/>
        </w:pBdr>
        <w:spacing w:after="120" w:before="400"/>
      </w:pPr>
      <w:r>
        <w:rPr>
          <w:rFonts w:ascii="Arial" w:cs="Arial" w:eastAsia="Arial" w:hAnsi="Arial"/>
          <w:b/>
          <w:bCs/>
          <w:color w:val="3B6D11"/>
          <w:sz w:val="34"/>
          <w:szCs w:val="34"/>
        </w:rPr>
        <w:t xml:space="preserve">5.  SMS architecture</w:t>
      </w:r>
    </w:p>
    <w:p>
      <w:pPr>
        <w:pStyle w:val="Heading2"/>
        <w:spacing w:after="80" w:before="300"/>
      </w:pPr>
      <w:r>
        <w:rPr>
          <w:rFonts w:ascii="Arial" w:cs="Arial" w:eastAsia="Arial" w:hAnsi="Arial"/>
          <w:b/>
          <w:bCs/>
          <w:color w:val="1A1A1A"/>
          <w:sz w:val="27"/>
          <w:szCs w:val="27"/>
        </w:rPr>
        <w:t xml:space="preserve">5.1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1"/>
              <w:left w:val="single" w:color="888780" w:sz="1"/>
              <w:bottom w:val="single" w:color="888780" w:sz="1"/>
              <w:right w:val="single" w:color="888780" w:sz="1"/>
            </w:tcBorders>
            <w:shd w:fill="F1EFE8" w:val="clear"/>
            <w:tcMar>
              <w:top w:type="dxa" w:w="120"/>
              <w:left w:type="dxa" w:w="200"/>
              <w:bottom w:type="dxa" w:w="120"/>
              <w:right w:type="dxa" w:w="200"/>
            </w:tcMar>
          </w:tcPr>
          <w:p>
            <w:pPr>
              <w:spacing w:after="16" w:before="16"/>
              <w:jc w:val="left"/>
            </w:pPr>
            <w:r>
              <w:rPr>
                <w:rFonts w:ascii="Arial" w:cs="Arial" w:eastAsia="Arial" w:hAnsi="Arial"/>
                <w:b w:val="false"/>
                <w:bCs w:val="false"/>
                <w:color w:val="2C2C2A"/>
                <w:sz w:val="19"/>
                <w:szCs w:val="19"/>
              </w:rPr>
              <w:t xml:space="preserve">┌──────────────────────────────────────────────────────────────────────┐</w:t>
            </w:r>
          </w:p>
          <w:p>
            <w:pPr>
              <w:spacing w:after="16" w:before="16"/>
              <w:jc w:val="left"/>
            </w:pPr>
            <w:r>
              <w:rPr>
                <w:rFonts w:ascii="Arial" w:cs="Arial" w:eastAsia="Arial" w:hAnsi="Arial"/>
                <w:b w:val="false"/>
                <w:bCs w:val="false"/>
                <w:color w:val="2C2C2A"/>
                <w:sz w:val="19"/>
                <w:szCs w:val="19"/>
              </w:rPr>
              <w:t xml:space="preserve">│               AGING GRACEFULLY — MESSAGING SERVICE                  │</w:t>
            </w:r>
          </w:p>
          <w:p>
            <w:pPr>
              <w:spacing w:after="16" w:before="16"/>
              <w:jc w:val="left"/>
            </w:pPr>
            <w:r>
              <w:rPr>
                <w:rFonts w:ascii="Arial" w:cs="Arial" w:eastAsia="Arial" w:hAnsi="Arial"/>
                <w:b w:val="false"/>
                <w:bCs w:val="false"/>
                <w:color w:val="2C2C2A"/>
                <w:sz w:val="19"/>
                <w:szCs w:val="19"/>
              </w:rPr>
              <w:t xml:space="preserve">│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MESSAGE ORCHESTRATION LAYER                │    │</w:t>
            </w:r>
          </w:p>
          <w:p>
            <w:pPr>
              <w:spacing w:after="16" w:before="16"/>
              <w:jc w:val="left"/>
            </w:pPr>
            <w:r>
              <w:rPr>
                <w:rFonts w:ascii="Arial" w:cs="Arial" w:eastAsia="Arial" w:hAnsi="Arial"/>
                <w:b w:val="false"/>
                <w:bCs w:val="false"/>
                <w:color w:val="2C2C2A"/>
                <w:sz w:val="19"/>
                <w:szCs w:val="19"/>
              </w:rPr>
              <w:t xml:space="preserve">│  │  Schedule engine  │  Template engine  │  Preference router  │    │</w:t>
            </w:r>
          </w:p>
          <w:p>
            <w:pPr>
              <w:spacing w:after="16" w:before="16"/>
              <w:jc w:val="left"/>
            </w:pPr>
            <w:r>
              <w:rPr>
                <w:rFonts w:ascii="Arial" w:cs="Arial" w:eastAsia="Arial" w:hAnsi="Arial"/>
                <w:b w:val="false"/>
                <w:bCs w:val="false"/>
                <w:color w:val="2C2C2A"/>
                <w:sz w:val="19"/>
                <w:szCs w:val="19"/>
              </w:rPr>
              <w:t xml:space="preserve">│  │  (cron + event)   │  (personalized)   │  (channel selector) │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TWILIO GATEWAY                            │    │</w:t>
            </w:r>
          </w:p>
          <w:p>
            <w:pPr>
              <w:spacing w:after="16" w:before="16"/>
              <w:jc w:val="left"/>
            </w:pPr>
            <w:r>
              <w:rPr>
                <w:rFonts w:ascii="Arial" w:cs="Arial" w:eastAsia="Arial" w:hAnsi="Arial"/>
                <w:b w:val="false"/>
                <w:bCs w:val="false"/>
                <w:color w:val="2C2C2A"/>
                <w:sz w:val="19"/>
                <w:szCs w:val="19"/>
              </w:rPr>
              <w:t xml:space="preserve">│  │  SMS sender   │  MMS sender  │  Voice  │  WhatsApp Business  │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INBOUND MESSAGE PROCESSOR                      │    │</w:t>
            </w:r>
          </w:p>
          <w:p>
            <w:pPr>
              <w:spacing w:after="16" w:before="16"/>
              <w:jc w:val="left"/>
            </w:pPr>
            <w:r>
              <w:rPr>
                <w:rFonts w:ascii="Arial" w:cs="Arial" w:eastAsia="Arial" w:hAnsi="Arial"/>
                <w:b w:val="false"/>
                <w:bCs w:val="false"/>
                <w:color w:val="2C2C2A"/>
                <w:sz w:val="19"/>
                <w:szCs w:val="19"/>
              </w:rPr>
              <w:t xml:space="preserve">│  │  Keyword parser  │  NLP intent  │  State machine  │  Audit  │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ACTION DISPATCHER                               │    │</w:t>
            </w:r>
          </w:p>
          <w:p>
            <w:pPr>
              <w:spacing w:after="16" w:before="16"/>
              <w:jc w:val="left"/>
            </w:pPr>
            <w:r>
              <w:rPr>
                <w:rFonts w:ascii="Arial" w:cs="Arial" w:eastAsia="Arial" w:hAnsi="Arial"/>
                <w:b w:val="false"/>
                <w:bCs w:val="false"/>
                <w:color w:val="2C2C2A"/>
                <w:sz w:val="19"/>
                <w:szCs w:val="19"/>
              </w:rPr>
              <w:t xml:space="preserve">│  │  Medication confirm  │  Appointment confirm  │  Escalation   │    │</w:t>
            </w:r>
          </w:p>
          <w:p>
            <w:pPr>
              <w:spacing w:after="16" w:before="16"/>
              <w:jc w:val="left"/>
            </w:pPr>
            <w:r>
              <w:rPr>
                <w:rFonts w:ascii="Arial" w:cs="Arial" w:eastAsia="Arial" w:hAnsi="Arial"/>
                <w:b w:val="false"/>
                <w:bCs w:val="false"/>
                <w:color w:val="2C2C2A"/>
                <w:sz w:val="19"/>
                <w:szCs w:val="19"/>
              </w:rPr>
              <w:t xml:space="preserve">│  │  Document request   │  Family notification  │  Emergency     │    │</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w:t>
            </w:r>
          </w:p>
          <w:p>
            <w:pPr>
              <w:spacing w:after="16" w:before="16"/>
              <w:jc w:val="left"/>
            </w:pPr>
            <w:r>
              <w:rPr>
                <w:rFonts w:ascii="Arial" w:cs="Arial" w:eastAsia="Arial" w:hAnsi="Arial"/>
                <w:b w:val="false"/>
                <w:bCs w:val="false"/>
                <w:color w:val="2C2C2A"/>
                <w:sz w:val="19"/>
                <w:szCs w:val="19"/>
              </w:rPr>
              <w:t xml:space="preserve">         │                                            ▲</w:t>
            </w:r>
          </w:p>
          <w:p>
            <w:pPr>
              <w:spacing w:after="16" w:before="16"/>
              <w:jc w:val="left"/>
            </w:pPr>
            <w:r>
              <w:rPr>
                <w:rFonts w:ascii="Arial" w:cs="Arial" w:eastAsia="Arial" w:hAnsi="Arial"/>
                <w:b w:val="false"/>
                <w:bCs w:val="false"/>
                <w:color w:val="2C2C2A"/>
                <w:sz w:val="19"/>
                <w:szCs w:val="19"/>
              </w:rPr>
              <w:t xml:space="preserve">         ▼ (outbound)                       (inbound reply)</w:t>
            </w:r>
          </w:p>
          <w:p>
            <w:pPr>
              <w:spacing w:after="16" w:before="16"/>
              <w:jc w:val="left"/>
            </w:pPr>
            <w:r>
              <w:rPr>
                <w:rFonts w:ascii="Arial" w:cs="Arial" w:eastAsia="Arial" w:hAnsi="Arial"/>
                <w:b w:val="false"/>
                <w:bCs w:val="false"/>
                <w:color w:val="2C2C2A"/>
                <w:sz w:val="19"/>
                <w:szCs w:val="19"/>
              </w:rPr>
              <w:t xml:space="preserve">┌─────────────────────────────────────────────────────┐</w:t>
            </w:r>
          </w:p>
          <w:p>
            <w:pPr>
              <w:spacing w:after="16" w:before="16"/>
              <w:jc w:val="left"/>
            </w:pPr>
            <w:r>
              <w:rPr>
                <w:rFonts w:ascii="Arial" w:cs="Arial" w:eastAsia="Arial" w:hAnsi="Arial"/>
                <w:b w:val="false"/>
                <w:bCs w:val="false"/>
                <w:color w:val="2C2C2A"/>
                <w:sz w:val="19"/>
                <w:szCs w:val="19"/>
              </w:rPr>
              <w:t xml:space="preserve">│  PARENT'S PHONE                                      │</w:t>
            </w:r>
          </w:p>
          <w:p>
            <w:pPr>
              <w:spacing w:after="16" w:before="16"/>
              <w:jc w:val="left"/>
            </w:pPr>
            <w:r>
              <w:rPr>
                <w:rFonts w:ascii="Arial" w:cs="Arial" w:eastAsia="Arial" w:hAnsi="Arial"/>
                <w:b w:val="false"/>
                <w:bCs w:val="false"/>
                <w:color w:val="2C2C2A"/>
                <w:sz w:val="19"/>
                <w:szCs w:val="19"/>
              </w:rPr>
              <w:t xml:space="preserve">│  SMS / MMS / Voice call                              │</w:t>
            </w:r>
          </w:p>
          <w:p>
            <w:pPr>
              <w:spacing w:after="16" w:before="16"/>
              <w:jc w:val="left"/>
            </w:pPr>
            <w:r>
              <w:rPr>
                <w:rFonts w:ascii="Arial" w:cs="Arial" w:eastAsia="Arial" w:hAnsi="Arial"/>
                <w:b w:val="false"/>
                <w:bCs w:val="false"/>
                <w:color w:val="2C2C2A"/>
                <w:sz w:val="19"/>
                <w:szCs w:val="19"/>
              </w:rPr>
              <w:t xml:space="preserve">└─────────────────────────────────────────────────────┘</w:t>
            </w:r>
          </w:p>
        </w:tc>
      </w:tr>
    </w:tbl>
    <w:p>
      <w:pPr>
        <w:spacing w:after="0" w:before="20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5.2  Message categories &amp;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Message type</w:t>
            </w:r>
          </w:p>
        </w:tc>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Trigger</w:t>
            </w:r>
          </w:p>
        </w:tc>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Design principles</w:t>
            </w:r>
          </w:p>
        </w:tc>
        <w:tc>
          <w:tcPr>
            <w:tcW w:type="dxa" w:w="27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Medication reminder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Scheduled: daily at user-set time. Also: 30 min before if no confirmation received.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Short and direct. Single medication per message unless combining. Include drug name AND plain description. Binary response requested.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'Time for your Lisinopril (blood pressure pill). Reply TAKEN when done, or SKIP to log a missed dose.'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Appointment reminder</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48 hours before, 2 hours before.</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Include provider name, location, and what to bring. Include cancellation info if known.</w:t>
            </w:r>
          </w:p>
        </w:tc>
        <w:tc>
          <w:tcPr>
            <w:tcW w:type="dxa" w:w="2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'Reminder: Dr. Patel (Cardiologist) tomorrow at 2:30pm at St. Mary's Medical, 3rd floor. Bring your medication list. Reply HELP for directions.'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Document delivery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When caregiver sends a document to parent.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MMS for images; short URL for PDFs. Plain-English description of what the document 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'Your daughter Sarah shared your Medicare card. View it here: [secure link, 48-hr expiry]. Reply SAVE and we will text it to you again anytime.'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Check-in message</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Weekly scheduled, or triggered by caregiver.</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Warm, simple language. Three-option response. Non-response triggers follow-up then family alert.</w:t>
            </w:r>
          </w:p>
        </w:tc>
        <w:tc>
          <w:tcPr>
            <w:tcW w:type="dxa" w:w="2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'Good morning! Quick check-in from your family. How are you feeling today? Reply 1 for Good, 2 for OK, 3 for Not great.'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Lab result notification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When new lab results arrive via FHIR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Plain language. No alarming framing. Prompt caregiver action, not parent anxiety.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'Your doctor's office shared new lab results with your family. Your daughter Sarah can see them and will follow up with you. No action needed from you right now.'</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Family message relay</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When a family member sends a message through the platform.</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Prefixed clearly with sender name. Simple reply threading.</w:t>
            </w:r>
          </w:p>
        </w:tc>
        <w:tc>
          <w:tcPr>
            <w:tcW w:type="dxa" w:w="2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'Message from your daughter Sarah: "Mom, don't forget your cardiology appointment is tomorrow — I'll pick you up at 2pm." Reply to send her a message 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Emergency / urgent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Triggered by caregiver or platform alert.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Clear, calm language. Single action requested. Always includes a phone number to call.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'IMPORTANT: Your daughter Sarah is trying to reach you. Please call her at 415-555-0123 when you get this message.'</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5.3  Two-way interaction design</w:t>
      </w:r>
    </w:p>
    <w:p>
      <w:pPr>
        <w:spacing w:after="80" w:before="60"/>
        <w:jc w:val="left"/>
      </w:pPr>
      <w:r>
        <w:rPr>
          <w:rFonts w:ascii="Arial" w:cs="Arial" w:eastAsia="Arial" w:hAnsi="Arial"/>
          <w:b w:val="false"/>
          <w:bCs w:val="false"/>
          <w:color w:val="1A1A1A"/>
          <w:sz w:val="22"/>
          <w:szCs w:val="22"/>
        </w:rPr>
        <w:t xml:space="preserve">The key to making SMS useful for elderly adults is designing for the simplest possible response patterns. Most elderly users will not type a custom message — they need to respond with a single word or number. The system's inbound processor must handle this gracefully, including typos, synonyms, and non-standard responses.</w:t>
      </w:r>
    </w:p>
    <w:p>
      <w:pPr>
        <w:spacing w:after="0" w:before="80"/>
      </w:pPr>
      <w:r>
        <w:rPr>
          <w:rFonts w:ascii="Arial" w:cs="Arial" w:eastAsia="Arial" w:hAnsi="Arial"/>
          <w:b w:val="false"/>
          <w:bCs w:val="false"/>
          <w:color w:val="1A1A1A"/>
          <w:sz w:val="22"/>
          <w:szCs w:val="22"/>
        </w:rPr>
        <w:t xml:space="preserve"/>
      </w:r>
    </w:p>
    <w:p>
      <w:pPr>
        <w:pStyle w:val="Heading3"/>
        <w:spacing w:after="60" w:before="200"/>
      </w:pPr>
      <w:r>
        <w:rPr>
          <w:rFonts w:ascii="Arial" w:cs="Arial" w:eastAsia="Arial" w:hAnsi="Arial"/>
          <w:b/>
          <w:bCs/>
          <w:color w:val="1A1A1A"/>
          <w:sz w:val="23"/>
          <w:szCs w:val="23"/>
        </w:rPr>
        <w:t xml:space="preserve">Keyword response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Accepted responses</w:t>
            </w:r>
          </w:p>
        </w:tc>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Intent</w:t>
            </w:r>
          </w:p>
        </w:tc>
        <w:tc>
          <w:tcPr>
            <w:tcW w:type="dxa" w:w="47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Platform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TAKEN, YES, Y, OK, DONE, GOT IT,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Medication taken or appointment confirmed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Log confirmation with timestamp. Update medication adherence record. Notify caregiver of confirmation.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SKIP, NO, N, MISSED, NOT YET, 2</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Medication skipped or declined</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Log missed dose with timestamp. If 2+ consecutive misses: notify caregiver. Do not send punishing follow-up.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HELP, ?, INFO, WHAT, HUH,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Confusion or request for more info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Send plain-English explanation of the request. Include caregiver phone number. Do not loop back to original request yet.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STOP, UNSUBSCRIBE, QUIT, END, CANCEL</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Opt-out request</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Immediately cease all messages (legally required). Notify caregiver that parent has opted out. Caregiver must re-obtain consent to restart.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SAVE, KEEP, SEND AGAIN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Want document re-sent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Queue document re-delivery within 5 minutes.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CALL ME, CALL, PHONE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Prefers voice call over text</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Initiate outbound voice call via Twilio. Switch this contact preference to voice for future interactions if consistent.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Any unrecognized 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Unknown intent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Attempt NLP intent classification. If confidence &lt; 0.7: 'I didn't quite understand that. Reply 1 for Yes, 2 for No, or HELP for assistance. Your daughter Sarah can also be reached at [number].'</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5.4  SMS conversation examples</w:t>
      </w:r>
    </w:p>
    <w:p>
      <w:pPr>
        <w:spacing w:after="0" w:before="80"/>
      </w:pPr>
      <w:r>
        <w:rPr>
          <w:rFonts w:ascii="Arial" w:cs="Arial" w:eastAsia="Arial" w:hAnsi="Arial"/>
          <w:b w:val="false"/>
          <w:bCs w:val="false"/>
          <w:color w:val="1A1A1A"/>
          <w:sz w:val="22"/>
          <w:szCs w:val="22"/>
        </w:rPr>
        <w:t xml:space="preserve"/>
      </w:r>
    </w:p>
    <w:p>
      <w:pPr>
        <w:pStyle w:val="Heading3"/>
        <w:spacing w:after="60" w:before="200"/>
      </w:pPr>
      <w:r>
        <w:rPr>
          <w:rFonts w:ascii="Arial" w:cs="Arial" w:eastAsia="Arial" w:hAnsi="Arial"/>
          <w:b/>
          <w:bCs/>
          <w:color w:val="1A1A1A"/>
          <w:sz w:val="23"/>
          <w:szCs w:val="23"/>
        </w:rPr>
        <w:t xml:space="preserve">Example 1: Medication reminder with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7F4" w:val="clear"/>
            <w:tcMar>
              <w:top w:type="dxa" w:w="120"/>
              <w:left w:type="dxa" w:w="160"/>
              <w:bottom w:type="dxa" w:w="120"/>
              <w:right w:type="dxa" w:w="160"/>
            </w:tcMar>
          </w:tcPr>
          <w:p>
            <w:pPr>
              <w:spacing w:after="80" w:before="0"/>
              <w:jc w:val="left"/>
            </w:pPr>
            <w:r>
              <w:rPr>
                <w:rFonts w:ascii="Arial" w:cs="Arial" w:eastAsia="Arial" w:hAnsi="Arial"/>
                <w:b/>
                <w:bCs/>
                <w:color w:val="5F5E5A"/>
                <w:sz w:val="18"/>
                <w:szCs w:val="18"/>
              </w:rPr>
              <w:t xml:space="preserve">SMS conversation preview</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80"/>
              <w:gridCol w:w="8720"/>
              <w:gridCol w:w="240"/>
            </w:tblGrid>
            <w:tr>
              <w:tc>
                <w:tcPr>
                  <w:tcW w:type="dxa" w:w="8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c>
                <w:tcPr>
                  <w:tcW w:type="dxa" w:w="872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tcPr>
                <w:p>
                  <w:pPr>
                    <w:spacing w:after="0" w:before="0"/>
                    <w:jc w:val="right"/>
                  </w:pPr>
                  <w:r>
                    <w:rPr>
                      <w:rFonts w:ascii="Arial" w:cs="Arial" w:eastAsia="Arial" w:hAnsi="Arial"/>
                      <w:b w:val="false"/>
                      <w:bCs w:val="false"/>
                      <w:color w:val="FFFFFF"/>
                      <w:sz w:val="20"/>
                      <w:szCs w:val="20"/>
                    </w:rPr>
                    <w:t xml:space="preserve">Hi Dorothy — time for your 8am medications:
• Lisinopril 10mg (blood pressure)
• Metformin 500mg (diabetes)
Reply TAKEN when done, or SKIP if you miss them.</w:t>
                  </w:r>
                </w:p>
              </w:tc>
              <w:tc>
                <w:tcPr>
                  <w:tcW w:type="dxa" w:w="24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r>
          </w:tbl>
          <w:p>
            <w:pPr>
              <w:spacing w:after="60" w:before="0"/>
              <w:jc w:val="right"/>
            </w:pPr>
            <w:r>
              <w:rPr>
                <w:rFonts w:ascii="Arial" w:cs="Arial" w:eastAsia="Arial" w:hAnsi="Arial"/>
                <w:b w:val="false"/>
                <w:bCs w:val="false"/>
                <w:color w:val="5F5E5A"/>
                <w:sz w:val="16"/>
                <w:szCs w:val="16"/>
              </w:rPr>
              <w:t xml:space="preserve">Aging Gracefully · 8:00 AM</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
              <w:gridCol w:w="8720"/>
              <w:gridCol w:w="80"/>
            </w:tblGrid>
            <w:tr>
              <w:tc>
                <w:tcPr>
                  <w:tcW w:type="dxa" w:w="24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c>
                <w:tcPr>
                  <w:tcW w:type="dxa" w:w="8720"/>
                  <w:tcBorders>
                    <w:top w:val="none" w:color="FFFFFF" w:sz="0"/>
                    <w:left w:val="none" w:color="FFFFFF" w:sz="0"/>
                    <w:bottom w:val="none" w:color="FFFFFF" w:sz="0"/>
                    <w:right w:val="none" w:color="FFFFFF" w:sz="0"/>
                  </w:tcBorders>
                  <w:shd w:fill="E0E0E0" w:val="clear"/>
                  <w:tcMar>
                    <w:top w:type="dxa" w:w="80"/>
                    <w:left w:type="dxa" w:w="120"/>
                    <w:bottom w:type="dxa" w:w="80"/>
                    <w:right w:type="dxa" w:w="120"/>
                  </w:tcMar>
                </w:tcPr>
                <w:p>
                  <w:pPr>
                    <w:spacing w:after="0" w:before="0"/>
                    <w:jc w:val="left"/>
                  </w:pPr>
                  <w:r>
                    <w:rPr>
                      <w:rFonts w:ascii="Arial" w:cs="Arial" w:eastAsia="Arial" w:hAnsi="Arial"/>
                      <w:b w:val="false"/>
                      <w:bCs w:val="false"/>
                      <w:color w:val="1A1A1A"/>
                      <w:sz w:val="20"/>
                      <w:szCs w:val="20"/>
                    </w:rPr>
                    <w:t xml:space="preserve">taken</w:t>
                  </w:r>
                </w:p>
              </w:tc>
              <w:tc>
                <w:tcPr>
                  <w:tcW w:type="dxa" w:w="8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r>
          </w:tbl>
          <w:p>
            <w:pPr>
              <w:spacing w:after="60" w:before="0"/>
              <w:jc w:val="left"/>
            </w:pPr>
            <w:r>
              <w:rPr>
                <w:rFonts w:ascii="Arial" w:cs="Arial" w:eastAsia="Arial" w:hAnsi="Arial"/>
                <w:b w:val="false"/>
                <w:bCs w:val="false"/>
                <w:color w:val="5F5E5A"/>
                <w:sz w:val="16"/>
                <w:szCs w:val="16"/>
              </w:rPr>
              <w:t xml:space="preserve">Dorothy · 8:14 AM</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80"/>
              <w:gridCol w:w="8720"/>
              <w:gridCol w:w="240"/>
            </w:tblGrid>
            <w:tr>
              <w:tc>
                <w:tcPr>
                  <w:tcW w:type="dxa" w:w="8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c>
                <w:tcPr>
                  <w:tcW w:type="dxa" w:w="872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tcPr>
                <w:p>
                  <w:pPr>
                    <w:spacing w:after="0" w:before="0"/>
                    <w:jc w:val="right"/>
                  </w:pPr>
                  <w:r>
                    <w:rPr>
                      <w:rFonts w:ascii="Arial" w:cs="Arial" w:eastAsia="Arial" w:hAnsi="Arial"/>
                      <w:b w:val="false"/>
                      <w:bCs w:val="false"/>
                      <w:color w:val="FFFFFF"/>
                      <w:sz w:val="20"/>
                      <w:szCs w:val="20"/>
                    </w:rPr>
                    <w:t xml:space="preserve">Great, logged! Your daughter Sarah will be able to see that you've taken your morning medications. Have a good morning.</w:t>
                  </w:r>
                </w:p>
              </w:tc>
              <w:tc>
                <w:tcPr>
                  <w:tcW w:type="dxa" w:w="24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r>
          </w:tbl>
          <w:p>
            <w:pPr>
              <w:spacing w:after="60" w:before="0"/>
              <w:jc w:val="right"/>
            </w:pPr>
            <w:r>
              <w:rPr>
                <w:rFonts w:ascii="Arial" w:cs="Arial" w:eastAsia="Arial" w:hAnsi="Arial"/>
                <w:b w:val="false"/>
                <w:bCs w:val="false"/>
                <w:color w:val="5F5E5A"/>
                <w:sz w:val="16"/>
                <w:szCs w:val="16"/>
              </w:rPr>
              <w:t xml:space="preserve">Aging Gracefully · 8:14 AM</w:t>
            </w:r>
          </w:p>
        </w:tc>
      </w:tr>
    </w:tbl>
    <w:p>
      <w:pPr>
        <w:spacing w:after="0" w:before="120"/>
      </w:pPr>
      <w:r>
        <w:rPr>
          <w:rFonts w:ascii="Arial" w:cs="Arial" w:eastAsia="Arial" w:hAnsi="Arial"/>
          <w:b w:val="false"/>
          <w:bCs w:val="false"/>
          <w:color w:val="1A1A1A"/>
          <w:sz w:val="22"/>
          <w:szCs w:val="22"/>
        </w:rPr>
        <w:t xml:space="preserve"/>
      </w:r>
    </w:p>
    <w:p>
      <w:pPr>
        <w:pStyle w:val="Heading3"/>
        <w:spacing w:after="60" w:before="200"/>
      </w:pPr>
      <w:r>
        <w:rPr>
          <w:rFonts w:ascii="Arial" w:cs="Arial" w:eastAsia="Arial" w:hAnsi="Arial"/>
          <w:b/>
          <w:bCs/>
          <w:color w:val="1A1A1A"/>
          <w:sz w:val="23"/>
          <w:szCs w:val="23"/>
        </w:rPr>
        <w:t xml:space="preserve">Example 2: Document delivery from caregiver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7F4" w:val="clear"/>
            <w:tcMar>
              <w:top w:type="dxa" w:w="120"/>
              <w:left w:type="dxa" w:w="160"/>
              <w:bottom w:type="dxa" w:w="120"/>
              <w:right w:type="dxa" w:w="160"/>
            </w:tcMar>
          </w:tcPr>
          <w:p>
            <w:pPr>
              <w:spacing w:after="80" w:before="0"/>
              <w:jc w:val="left"/>
            </w:pPr>
            <w:r>
              <w:rPr>
                <w:rFonts w:ascii="Arial" w:cs="Arial" w:eastAsia="Arial" w:hAnsi="Arial"/>
                <w:b/>
                <w:bCs/>
                <w:color w:val="5F5E5A"/>
                <w:sz w:val="18"/>
                <w:szCs w:val="18"/>
              </w:rPr>
              <w:t xml:space="preserve">SMS conversation preview</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80"/>
              <w:gridCol w:w="8720"/>
              <w:gridCol w:w="240"/>
            </w:tblGrid>
            <w:tr>
              <w:tc>
                <w:tcPr>
                  <w:tcW w:type="dxa" w:w="8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c>
                <w:tcPr>
                  <w:tcW w:type="dxa" w:w="872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tcPr>
                <w:p>
                  <w:pPr>
                    <w:spacing w:after="0" w:before="0"/>
                    <w:jc w:val="right"/>
                  </w:pPr>
                  <w:r>
                    <w:rPr>
                      <w:rFonts w:ascii="Arial" w:cs="Arial" w:eastAsia="Arial" w:hAnsi="Arial"/>
                      <w:b w:val="false"/>
                      <w:bCs w:val="false"/>
                      <w:color w:val="FFFFFF"/>
                      <w:sz w:val="20"/>
                      <w:szCs w:val="20"/>
                    </w:rPr>
                    <w:t xml:space="preserve">Hi Dorothy — your daughter Sarah just added your Medicare card to your family health records. Here is a copy for you:
[View Medicare Card — secure link, expires in 48 hours]
Reply SAVE if you want us to resend this anytime.</w:t>
                  </w:r>
                </w:p>
              </w:tc>
              <w:tc>
                <w:tcPr>
                  <w:tcW w:type="dxa" w:w="24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r>
          </w:tbl>
          <w:p>
            <w:pPr>
              <w:spacing w:after="60" w:before="0"/>
              <w:jc w:val="right"/>
            </w:pPr>
            <w:r>
              <w:rPr>
                <w:rFonts w:ascii="Arial" w:cs="Arial" w:eastAsia="Arial" w:hAnsi="Arial"/>
                <w:b w:val="false"/>
                <w:bCs w:val="false"/>
                <w:color w:val="5F5E5A"/>
                <w:sz w:val="16"/>
                <w:szCs w:val="16"/>
              </w:rPr>
              <w:t xml:space="preserve">Aging Gracefully · 2:31 PM</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
              <w:gridCol w:w="8720"/>
              <w:gridCol w:w="80"/>
            </w:tblGrid>
            <w:tr>
              <w:tc>
                <w:tcPr>
                  <w:tcW w:type="dxa" w:w="24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c>
                <w:tcPr>
                  <w:tcW w:type="dxa" w:w="8720"/>
                  <w:tcBorders>
                    <w:top w:val="none" w:color="FFFFFF" w:sz="0"/>
                    <w:left w:val="none" w:color="FFFFFF" w:sz="0"/>
                    <w:bottom w:val="none" w:color="FFFFFF" w:sz="0"/>
                    <w:right w:val="none" w:color="FFFFFF" w:sz="0"/>
                  </w:tcBorders>
                  <w:shd w:fill="E0E0E0" w:val="clear"/>
                  <w:tcMar>
                    <w:top w:type="dxa" w:w="80"/>
                    <w:left w:type="dxa" w:w="120"/>
                    <w:bottom w:type="dxa" w:w="80"/>
                    <w:right w:type="dxa" w:w="120"/>
                  </w:tcMar>
                </w:tcPr>
                <w:p>
                  <w:pPr>
                    <w:spacing w:after="0" w:before="0"/>
                    <w:jc w:val="left"/>
                  </w:pPr>
                  <w:r>
                    <w:rPr>
                      <w:rFonts w:ascii="Arial" w:cs="Arial" w:eastAsia="Arial" w:hAnsi="Arial"/>
                      <w:b w:val="false"/>
                      <w:bCs w:val="false"/>
                      <w:color w:val="1A1A1A"/>
                      <w:sz w:val="20"/>
                      <w:szCs w:val="20"/>
                    </w:rPr>
                    <w:t xml:space="preserve">what is this</w:t>
                  </w:r>
                </w:p>
              </w:tc>
              <w:tc>
                <w:tcPr>
                  <w:tcW w:type="dxa" w:w="8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r>
          </w:tbl>
          <w:p>
            <w:pPr>
              <w:spacing w:after="60" w:before="0"/>
              <w:jc w:val="left"/>
            </w:pPr>
            <w:r>
              <w:rPr>
                <w:rFonts w:ascii="Arial" w:cs="Arial" w:eastAsia="Arial" w:hAnsi="Arial"/>
                <w:b w:val="false"/>
                <w:bCs w:val="false"/>
                <w:color w:val="5F5E5A"/>
                <w:sz w:val="16"/>
                <w:szCs w:val="16"/>
              </w:rPr>
              <w:t xml:space="preserve">Dorothy · 2:45 PM</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80"/>
              <w:gridCol w:w="8720"/>
              <w:gridCol w:w="240"/>
            </w:tblGrid>
            <w:tr>
              <w:tc>
                <w:tcPr>
                  <w:tcW w:type="dxa" w:w="8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c>
                <w:tcPr>
                  <w:tcW w:type="dxa" w:w="872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tcPr>
                <w:p>
                  <w:pPr>
                    <w:spacing w:after="0" w:before="0"/>
                    <w:jc w:val="right"/>
                  </w:pPr>
                  <w:r>
                    <w:rPr>
                      <w:rFonts w:ascii="Arial" w:cs="Arial" w:eastAsia="Arial" w:hAnsi="Arial"/>
                      <w:b w:val="false"/>
                      <w:bCs w:val="false"/>
                      <w:color w:val="FFFFFF"/>
                      <w:sz w:val="20"/>
                      <w:szCs w:val="20"/>
                    </w:rPr>
                    <w:t xml:space="preserve">This is a secure photo of your Medicare card — the one you use for doctor's visits. Your daughter Sarah saved it so your whole family has a copy. You don't need to do anything. Reply HELP if you have questions or call Sarah at 415-555-0123.</w:t>
                  </w:r>
                </w:p>
              </w:tc>
              <w:tc>
                <w:tcPr>
                  <w:tcW w:type="dxa" w:w="24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r>
          </w:tbl>
          <w:p>
            <w:pPr>
              <w:spacing w:after="60" w:before="0"/>
              <w:jc w:val="right"/>
            </w:pPr>
            <w:r>
              <w:rPr>
                <w:rFonts w:ascii="Arial" w:cs="Arial" w:eastAsia="Arial" w:hAnsi="Arial"/>
                <w:b w:val="false"/>
                <w:bCs w:val="false"/>
                <w:color w:val="5F5E5A"/>
                <w:sz w:val="16"/>
                <w:szCs w:val="16"/>
              </w:rPr>
              <w:t xml:space="preserve">Aging Gracefully · 2:45 PM</w:t>
            </w:r>
          </w:p>
        </w:tc>
      </w:tr>
    </w:tbl>
    <w:p>
      <w:pPr>
        <w:spacing w:after="0" w:before="120"/>
      </w:pPr>
      <w:r>
        <w:rPr>
          <w:rFonts w:ascii="Arial" w:cs="Arial" w:eastAsia="Arial" w:hAnsi="Arial"/>
          <w:b w:val="false"/>
          <w:bCs w:val="false"/>
          <w:color w:val="1A1A1A"/>
          <w:sz w:val="22"/>
          <w:szCs w:val="22"/>
        </w:rPr>
        <w:t xml:space="preserve"/>
      </w:r>
    </w:p>
    <w:p>
      <w:pPr>
        <w:pStyle w:val="Heading3"/>
        <w:spacing w:after="60" w:before="200"/>
      </w:pPr>
      <w:r>
        <w:rPr>
          <w:rFonts w:ascii="Arial" w:cs="Arial" w:eastAsia="Arial" w:hAnsi="Arial"/>
          <w:b/>
          <w:bCs/>
          <w:color w:val="1A1A1A"/>
          <w:sz w:val="23"/>
          <w:szCs w:val="23"/>
        </w:rPr>
        <w:t xml:space="preserve">Example 3: Weekly check-in with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7F4" w:val="clear"/>
            <w:tcMar>
              <w:top w:type="dxa" w:w="120"/>
              <w:left w:type="dxa" w:w="160"/>
              <w:bottom w:type="dxa" w:w="120"/>
              <w:right w:type="dxa" w:w="160"/>
            </w:tcMar>
          </w:tcPr>
          <w:p>
            <w:pPr>
              <w:spacing w:after="80" w:before="0"/>
              <w:jc w:val="left"/>
            </w:pPr>
            <w:r>
              <w:rPr>
                <w:rFonts w:ascii="Arial" w:cs="Arial" w:eastAsia="Arial" w:hAnsi="Arial"/>
                <w:b/>
                <w:bCs/>
                <w:color w:val="5F5E5A"/>
                <w:sz w:val="18"/>
                <w:szCs w:val="18"/>
              </w:rPr>
              <w:t xml:space="preserve">SMS conversation preview</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80"/>
              <w:gridCol w:w="8720"/>
              <w:gridCol w:w="240"/>
            </w:tblGrid>
            <w:tr>
              <w:tc>
                <w:tcPr>
                  <w:tcW w:type="dxa" w:w="8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c>
                <w:tcPr>
                  <w:tcW w:type="dxa" w:w="872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tcPr>
                <w:p>
                  <w:pPr>
                    <w:spacing w:after="0" w:before="0"/>
                    <w:jc w:val="right"/>
                  </w:pPr>
                  <w:r>
                    <w:rPr>
                      <w:rFonts w:ascii="Arial" w:cs="Arial" w:eastAsia="Arial" w:hAnsi="Arial"/>
                      <w:b w:val="false"/>
                      <w:bCs w:val="false"/>
                      <w:color w:val="FFFFFF"/>
                      <w:sz w:val="20"/>
                      <w:szCs w:val="20"/>
                    </w:rPr>
                    <w:t xml:space="preserve">Good morning Dorothy! Weekly check-in from your family.
How are you feeling today?
Reply:
1 — Doing well
2 — About the same
3 — Not feeling great</w:t>
                  </w:r>
                </w:p>
              </w:tc>
              <w:tc>
                <w:tcPr>
                  <w:tcW w:type="dxa" w:w="24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r>
          </w:tbl>
          <w:p>
            <w:pPr>
              <w:spacing w:after="60" w:before="0"/>
              <w:jc w:val="right"/>
            </w:pPr>
            <w:r>
              <w:rPr>
                <w:rFonts w:ascii="Arial" w:cs="Arial" w:eastAsia="Arial" w:hAnsi="Arial"/>
                <w:b w:val="false"/>
                <w:bCs w:val="false"/>
                <w:color w:val="5F5E5A"/>
                <w:sz w:val="16"/>
                <w:szCs w:val="16"/>
              </w:rPr>
              <w:t xml:space="preserve">Aging Gracefully · 9:00 AM Sunday</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
              <w:gridCol w:w="8720"/>
              <w:gridCol w:w="80"/>
            </w:tblGrid>
            <w:tr>
              <w:tc>
                <w:tcPr>
                  <w:tcW w:type="dxa" w:w="24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c>
                <w:tcPr>
                  <w:tcW w:type="dxa" w:w="8720"/>
                  <w:tcBorders>
                    <w:top w:val="none" w:color="FFFFFF" w:sz="0"/>
                    <w:left w:val="none" w:color="FFFFFF" w:sz="0"/>
                    <w:bottom w:val="none" w:color="FFFFFF" w:sz="0"/>
                    <w:right w:val="none" w:color="FFFFFF" w:sz="0"/>
                  </w:tcBorders>
                  <w:shd w:fill="E0E0E0" w:val="clear"/>
                  <w:tcMar>
                    <w:top w:type="dxa" w:w="80"/>
                    <w:left w:type="dxa" w:w="120"/>
                    <w:bottom w:type="dxa" w:w="80"/>
                    <w:right w:type="dxa" w:w="120"/>
                  </w:tcMar>
                </w:tcPr>
                <w:p>
                  <w:pPr>
                    <w:spacing w:after="0" w:before="0"/>
                    <w:jc w:val="left"/>
                  </w:pPr>
                  <w:r>
                    <w:rPr>
                      <w:rFonts w:ascii="Arial" w:cs="Arial" w:eastAsia="Arial" w:hAnsi="Arial"/>
                      <w:b w:val="false"/>
                      <w:bCs w:val="false"/>
                      <w:color w:val="1A1A1A"/>
                      <w:sz w:val="20"/>
                      <w:szCs w:val="20"/>
                    </w:rPr>
                    <w:t xml:space="preserve">3</w:t>
                  </w:r>
                </w:p>
              </w:tc>
              <w:tc>
                <w:tcPr>
                  <w:tcW w:type="dxa" w:w="8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r>
          </w:tbl>
          <w:p>
            <w:pPr>
              <w:spacing w:after="60" w:before="0"/>
              <w:jc w:val="left"/>
            </w:pPr>
            <w:r>
              <w:rPr>
                <w:rFonts w:ascii="Arial" w:cs="Arial" w:eastAsia="Arial" w:hAnsi="Arial"/>
                <w:b w:val="false"/>
                <w:bCs w:val="false"/>
                <w:color w:val="5F5E5A"/>
                <w:sz w:val="16"/>
                <w:szCs w:val="16"/>
              </w:rPr>
              <w:t xml:space="preserve">Dorothy · 9:47 AM</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80"/>
              <w:gridCol w:w="8720"/>
              <w:gridCol w:w="240"/>
            </w:tblGrid>
            <w:tr>
              <w:tc>
                <w:tcPr>
                  <w:tcW w:type="dxa" w:w="8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c>
                <w:tcPr>
                  <w:tcW w:type="dxa" w:w="872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tcPr>
                <w:p>
                  <w:pPr>
                    <w:spacing w:after="0" w:before="0"/>
                    <w:jc w:val="right"/>
                  </w:pPr>
                  <w:r>
                    <w:rPr>
                      <w:rFonts w:ascii="Arial" w:cs="Arial" w:eastAsia="Arial" w:hAnsi="Arial"/>
                      <w:b w:val="false"/>
                      <w:bCs w:val="false"/>
                      <w:color w:val="FFFFFF"/>
                      <w:sz w:val="20"/>
                      <w:szCs w:val="20"/>
                    </w:rPr>
                    <w:t xml:space="preserve">Thank you for letting us know. I'll let Sarah know you're not feeling your best today. Is there anything specific you'd like her to know? Reply with a message or just reply OK and she'll give you a call.</w:t>
                  </w:r>
                </w:p>
              </w:tc>
              <w:tc>
                <w:tcPr>
                  <w:tcW w:type="dxa" w:w="24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r>
          </w:tbl>
          <w:p>
            <w:pPr>
              <w:spacing w:after="60" w:before="0"/>
              <w:jc w:val="right"/>
            </w:pPr>
            <w:r>
              <w:rPr>
                <w:rFonts w:ascii="Arial" w:cs="Arial" w:eastAsia="Arial" w:hAnsi="Arial"/>
                <w:b w:val="false"/>
                <w:bCs w:val="false"/>
                <w:color w:val="5F5E5A"/>
                <w:sz w:val="16"/>
                <w:szCs w:val="16"/>
              </w:rPr>
              <w:t xml:space="preserve">Aging Gracefully · 9:47 AM</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
              <w:gridCol w:w="8720"/>
              <w:gridCol w:w="80"/>
            </w:tblGrid>
            <w:tr>
              <w:tc>
                <w:tcPr>
                  <w:tcW w:type="dxa" w:w="24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c>
                <w:tcPr>
                  <w:tcW w:type="dxa" w:w="8720"/>
                  <w:tcBorders>
                    <w:top w:val="none" w:color="FFFFFF" w:sz="0"/>
                    <w:left w:val="none" w:color="FFFFFF" w:sz="0"/>
                    <w:bottom w:val="none" w:color="FFFFFF" w:sz="0"/>
                    <w:right w:val="none" w:color="FFFFFF" w:sz="0"/>
                  </w:tcBorders>
                  <w:shd w:fill="E0E0E0" w:val="clear"/>
                  <w:tcMar>
                    <w:top w:type="dxa" w:w="80"/>
                    <w:left w:type="dxa" w:w="120"/>
                    <w:bottom w:type="dxa" w:w="80"/>
                    <w:right w:type="dxa" w:w="120"/>
                  </w:tcMar>
                </w:tcPr>
                <w:p>
                  <w:pPr>
                    <w:spacing w:after="0" w:before="0"/>
                    <w:jc w:val="left"/>
                  </w:pPr>
                  <w:r>
                    <w:rPr>
                      <w:rFonts w:ascii="Arial" w:cs="Arial" w:eastAsia="Arial" w:hAnsi="Arial"/>
                      <w:b w:val="false"/>
                      <w:bCs w:val="false"/>
                      <w:color w:val="1A1A1A"/>
                      <w:sz w:val="20"/>
                      <w:szCs w:val="20"/>
                    </w:rPr>
                    <w:t xml:space="preserve">my back hurts a lot today</w:t>
                  </w:r>
                </w:p>
              </w:tc>
              <w:tc>
                <w:tcPr>
                  <w:tcW w:type="dxa" w:w="8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r>
          </w:tbl>
          <w:p>
            <w:pPr>
              <w:spacing w:after="60" w:before="0"/>
              <w:jc w:val="left"/>
            </w:pPr>
            <w:r>
              <w:rPr>
                <w:rFonts w:ascii="Arial" w:cs="Arial" w:eastAsia="Arial" w:hAnsi="Arial"/>
                <w:b w:val="false"/>
                <w:bCs w:val="false"/>
                <w:color w:val="5F5E5A"/>
                <w:sz w:val="16"/>
                <w:szCs w:val="16"/>
              </w:rPr>
              <w:t xml:space="preserve">Dorothy · 10:02 AM</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80"/>
              <w:gridCol w:w="8720"/>
              <w:gridCol w:w="240"/>
            </w:tblGrid>
            <w:tr>
              <w:tc>
                <w:tcPr>
                  <w:tcW w:type="dxa" w:w="8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c>
                <w:tcPr>
                  <w:tcW w:type="dxa" w:w="872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tcPr>
                <w:p>
                  <w:pPr>
                    <w:spacing w:after="0" w:before="0"/>
                    <w:jc w:val="right"/>
                  </w:pPr>
                  <w:r>
                    <w:rPr>
                      <w:rFonts w:ascii="Arial" w:cs="Arial" w:eastAsia="Arial" w:hAnsi="Arial"/>
                      <w:b w:val="false"/>
                      <w:bCs w:val="false"/>
                      <w:color w:val="FFFFFF"/>
                      <w:sz w:val="20"/>
                      <w:szCs w:val="20"/>
                    </w:rPr>
                    <w:t xml:space="preserve">Got it — I've sent that message to Sarah. She will be in touch soon. If your pain is severe or you need help right now, please call 911 or reply URGENT.</w:t>
                  </w:r>
                </w:p>
              </w:tc>
              <w:tc>
                <w:tcPr>
                  <w:tcW w:type="dxa" w:w="240"/>
                  <w:tcBorders>
                    <w:top w:val="none" w:color="FFFFFF" w:sz="0"/>
                    <w:left w:val="none" w:color="FFFFFF" w:sz="0"/>
                    <w:bottom w:val="none" w:color="FFFFFF" w:sz="0"/>
                    <w:right w:val="none" w:color="FFFFFF" w:sz="0"/>
                  </w:tcBorders>
                  <w:shd w:fill="F8F7F4" w:val="clear"/>
                </w:tcPr>
                <w:p>
                  <w:pPr>
                    <w:spacing w:after="0" w:before="0"/>
                    <w:jc w:val="left"/>
                  </w:pPr>
                  <w:r>
                    <w:rPr>
                      <w:rFonts w:ascii="Arial" w:cs="Arial" w:eastAsia="Arial" w:hAnsi="Arial"/>
                      <w:b w:val="false"/>
                      <w:bCs w:val="false"/>
                      <w:color w:val="1A1A1A"/>
                      <w:sz w:val="22"/>
                      <w:szCs w:val="22"/>
                    </w:rPr>
                    <w:t xml:space="preserve"/>
                  </w:r>
                </w:p>
              </w:tc>
            </w:tr>
          </w:tbl>
          <w:p>
            <w:pPr>
              <w:spacing w:after="60" w:before="0"/>
              <w:jc w:val="right"/>
            </w:pPr>
            <w:r>
              <w:rPr>
                <w:rFonts w:ascii="Arial" w:cs="Arial" w:eastAsia="Arial" w:hAnsi="Arial"/>
                <w:b w:val="false"/>
                <w:bCs w:val="false"/>
                <w:color w:val="5F5E5A"/>
                <w:sz w:val="16"/>
                <w:szCs w:val="16"/>
              </w:rPr>
              <w:t xml:space="preserve">Aging Gracefully · 10:02 AM</w:t>
            </w:r>
          </w:p>
        </w:tc>
      </w:tr>
    </w:tbl>
    <w:p>
      <w:pPr>
        <w:spacing w:after="0" w:before="200"/>
      </w:pPr>
      <w:r>
        <w:rPr>
          <w:rFonts w:ascii="Arial" w:cs="Arial" w:eastAsia="Arial" w:hAnsi="Arial"/>
          <w:b w:val="false"/>
          <w:bCs w:val="false"/>
          <w:color w:val="1A1A1A"/>
          <w:sz w:val="22"/>
          <w:szCs w:val="22"/>
        </w:rPr>
        <w:t xml:space="preserve"/>
      </w:r>
    </w:p>
    <w:p>
      <w:pPr>
        <w:pStyle w:val="Heading1"/>
        <w:pBdr>
          <w:bottom w:val="single" w:color="3B6D11" w:sz="6" w:space="8"/>
        </w:pBdr>
        <w:spacing w:after="120" w:before="400"/>
      </w:pPr>
      <w:r>
        <w:rPr>
          <w:rFonts w:ascii="Arial" w:cs="Arial" w:eastAsia="Arial" w:hAnsi="Arial"/>
          <w:b/>
          <w:bCs/>
          <w:color w:val="3B6D11"/>
          <w:sz w:val="34"/>
          <w:szCs w:val="34"/>
        </w:rPr>
        <w:t xml:space="preserve">6.  Voice call architecture</w:t>
      </w:r>
    </w:p>
    <w:p>
      <w:pPr>
        <w:pStyle w:val="Heading2"/>
        <w:spacing w:after="80" w:before="300"/>
      </w:pPr>
      <w:r>
        <w:rPr>
          <w:rFonts w:ascii="Arial" w:cs="Arial" w:eastAsia="Arial" w:hAnsi="Arial"/>
          <w:b/>
          <w:bCs/>
          <w:color w:val="1A1A1A"/>
          <w:sz w:val="27"/>
          <w:szCs w:val="27"/>
        </w:rPr>
        <w:t xml:space="preserve">6.1  Automated voice reminder calls</w:t>
      </w:r>
    </w:p>
    <w:p>
      <w:pPr>
        <w:spacing w:after="80" w:before="60"/>
        <w:jc w:val="left"/>
      </w:pPr>
      <w:r>
        <w:rPr>
          <w:rFonts w:ascii="Arial" w:cs="Arial" w:eastAsia="Arial" w:hAnsi="Arial"/>
          <w:b w:val="false"/>
          <w:bCs w:val="false"/>
          <w:color w:val="1A1A1A"/>
          <w:sz w:val="22"/>
          <w:szCs w:val="22"/>
        </w:rPr>
        <w:t xml:space="preserve">For parents who don't use text messages reliably — particularly those on landlines, those with low literacy, or those with vision impairments — voice calls are the right primary channel. The platform supports fully automated outbound calls with text-to-speech for reminders, and AI-assisted voice conversations for more complex interactions.</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Voice feature</w:t>
            </w:r>
          </w:p>
        </w:tc>
        <w:tc>
          <w:tcPr>
            <w:tcW w:type="dxa" w:w="3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Description</w:t>
            </w:r>
          </w:p>
        </w:tc>
        <w:tc>
          <w:tcPr>
            <w:tcW w:type="dxa" w:w="37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Technology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Outbound reminder call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Automated call for medications, appointments, and check-ins. Natural-sounding TTS with a warm, unhurried pace. DTMF keypad responses (press 1 to confirm). Voicemail fallback with callback number.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Twilio Programmable Voice + Amazon Polly (Neural TTS, 'Joanna' or 'Matthew' voice — most natural for US English)</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Two-way voice AI</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AI-assisted conversation for more complex interactions. Parent speaks naturally; AI understands and responds. Can answer questions about their schedule, medications, relay messages to family.</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Twilio Voice + Deepgram STT (speech-to-text) + Claude API for intent + Polly for response TTS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Emergency detection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During a voice call, AI monitors for distress signals: keywords ('help', 'fallen', 'chest pain'), unusual speech patterns, or long pauses. Triggers family alert and, if needed, 911 guidance.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Custom classifier on STT transcript stream</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Voicemail transcription</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If parent leaves a voicemail, it is transcribed and sent as a text message to the caregiver.</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Twilio Voicemail + Deepgram transcription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Voice preference learning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Platform learns from response patterns: if parent consistently responds better to calls than texts, it auto-migrates their preference.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A/B response rate tracking per channel</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6.2  Voice call flow — medication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1"/>
              <w:left w:val="single" w:color="888780" w:sz="1"/>
              <w:bottom w:val="single" w:color="888780" w:sz="1"/>
              <w:right w:val="single" w:color="888780" w:sz="1"/>
            </w:tcBorders>
            <w:shd w:fill="F1EFE8" w:val="clear"/>
            <w:tcMar>
              <w:top w:type="dxa" w:w="120"/>
              <w:left w:type="dxa" w:w="200"/>
              <w:bottom w:type="dxa" w:w="120"/>
              <w:right w:type="dxa" w:w="200"/>
            </w:tcMar>
          </w:tcPr>
          <w:p>
            <w:pPr>
              <w:spacing w:after="16" w:before="16"/>
              <w:jc w:val="left"/>
            </w:pPr>
            <w:r>
              <w:rPr>
                <w:rFonts w:ascii="Arial" w:cs="Arial" w:eastAsia="Arial" w:hAnsi="Arial"/>
                <w:b w:val="false"/>
                <w:bCs w:val="false"/>
                <w:color w:val="2C2C2A"/>
                <w:sz w:val="19"/>
                <w:szCs w:val="19"/>
              </w:rPr>
              <w:t xml:space="preserve">OUTBOUND CALL FLOW — Medication reminder</w:t>
            </w:r>
          </w:p>
          <w:p>
            <w:pPr>
              <w:spacing w:after="16" w:before="16"/>
              <w:jc w:val="left"/>
            </w:pPr>
            <w:r>
              <w:rPr>
                <w:rFonts w:ascii="Arial" w:cs="Arial" w:eastAsia="Arial" w:hAnsi="Arial"/>
                <w:b w:val="false"/>
                <w:bCs w:val="false"/>
                <w:color w:val="2C2C2A"/>
                <w:sz w:val="19"/>
                <w:szCs w:val="19"/>
              </w:rPr>
              <w:t xml:space="preserve">─────────────────────────────────────────────────────────────────────</w:t>
            </w:r>
          </w:p>
          <w:p>
            <w:pPr>
              <w:spacing w:after="16" w:before="16"/>
              <w:jc w:val="left"/>
            </w:pPr>
            <w:r>
              <w:rPr>
                <w:rFonts w:ascii="Arial" w:cs="Arial" w:eastAsia="Arial" w:hAnsi="Arial"/>
                <w:b w:val="false"/>
                <w:bCs w:val="false"/>
                <w:color w:val="2C2C2A"/>
                <w:sz w:val="19"/>
                <w:szCs w:val="19"/>
              </w:rPr>
              <w:t xml:space="preserve">[Platform initiates call via Twilio at scheduled time]</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SYSTEM: "Hello, this is a message for Dorothy from your family's</w:t>
            </w:r>
          </w:p>
          <w:p>
            <w:pPr>
              <w:spacing w:after="16" w:before="16"/>
              <w:jc w:val="left"/>
            </w:pPr>
            <w:r>
              <w:rPr>
                <w:rFonts w:ascii="Arial" w:cs="Arial" w:eastAsia="Arial" w:hAnsi="Arial"/>
                <w:b w:val="false"/>
                <w:bCs w:val="false"/>
                <w:color w:val="2C2C2A"/>
                <w:sz w:val="19"/>
                <w:szCs w:val="19"/>
              </w:rPr>
              <w:t xml:space="preserve">         health assistant. This is your reminder for your 8am</w:t>
            </w:r>
          </w:p>
          <w:p>
            <w:pPr>
              <w:spacing w:after="16" w:before="16"/>
              <w:jc w:val="left"/>
            </w:pPr>
            <w:r>
              <w:rPr>
                <w:rFonts w:ascii="Arial" w:cs="Arial" w:eastAsia="Arial" w:hAnsi="Arial"/>
                <w:b w:val="false"/>
                <w:bCs w:val="false"/>
                <w:color w:val="2C2C2A"/>
                <w:sz w:val="19"/>
                <w:szCs w:val="19"/>
              </w:rPr>
              <w:t xml:space="preserve">         medications."</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         "You have two medications to take: Lisinopril, for your</w:t>
            </w:r>
          </w:p>
          <w:p>
            <w:pPr>
              <w:spacing w:after="16" w:before="16"/>
              <w:jc w:val="left"/>
            </w:pPr>
            <w:r>
              <w:rPr>
                <w:rFonts w:ascii="Arial" w:cs="Arial" w:eastAsia="Arial" w:hAnsi="Arial"/>
                <w:b w:val="false"/>
                <w:bCs w:val="false"/>
                <w:color w:val="2C2C2A"/>
                <w:sz w:val="19"/>
                <w:szCs w:val="19"/>
              </w:rPr>
              <w:t xml:space="preserve">         blood pressure, and Metformin, for your blood sugar."</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         "Press 1 when you have taken your medications."</w:t>
            </w:r>
          </w:p>
          <w:p>
            <w:pPr>
              <w:spacing w:after="16" w:before="16"/>
              <w:jc w:val="left"/>
            </w:pPr>
            <w:r>
              <w:rPr>
                <w:rFonts w:ascii="Arial" w:cs="Arial" w:eastAsia="Arial" w:hAnsi="Arial"/>
                <w:b w:val="false"/>
                <w:bCs w:val="false"/>
                <w:color w:val="2C2C2A"/>
                <w:sz w:val="19"/>
                <w:szCs w:val="19"/>
              </w:rPr>
              <w:t xml:space="preserve">         "Press 2 if you are not able to take them right now."</w:t>
            </w:r>
          </w:p>
          <w:p>
            <w:pPr>
              <w:spacing w:after="16" w:before="16"/>
              <w:jc w:val="left"/>
            </w:pPr>
            <w:r>
              <w:rPr>
                <w:rFonts w:ascii="Arial" w:cs="Arial" w:eastAsia="Arial" w:hAnsi="Arial"/>
                <w:b w:val="false"/>
                <w:bCs w:val="false"/>
                <w:color w:val="2C2C2A"/>
                <w:sz w:val="19"/>
                <w:szCs w:val="19"/>
              </w:rPr>
              <w:t xml:space="preserve">         "Press 3 to hear this again."</w:t>
            </w:r>
          </w:p>
          <w:p>
            <w:pPr>
              <w:spacing w:after="16" w:before="16"/>
              <w:jc w:val="left"/>
            </w:pPr>
            <w:r>
              <w:rPr>
                <w:rFonts w:ascii="Arial" w:cs="Arial" w:eastAsia="Arial" w:hAnsi="Arial"/>
                <w:b w:val="false"/>
                <w:bCs w:val="false"/>
                <w:color w:val="2C2C2A"/>
                <w:sz w:val="19"/>
                <w:szCs w:val="19"/>
              </w:rPr>
              <w:t xml:space="preserve">         "Or simply stay on the line and I'll connect you to Sarah."</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[If parent presses 1]</w:t>
            </w:r>
          </w:p>
          <w:p>
            <w:pPr>
              <w:spacing w:after="16" w:before="16"/>
              <w:jc w:val="left"/>
            </w:pPr>
            <w:r>
              <w:rPr>
                <w:rFonts w:ascii="Arial" w:cs="Arial" w:eastAsia="Arial" w:hAnsi="Arial"/>
                <w:b w:val="false"/>
                <w:bCs w:val="false"/>
                <w:color w:val="2C2C2A"/>
                <w:sz w:val="19"/>
                <w:szCs w:val="19"/>
              </w:rPr>
              <w:t xml:space="preserve">SYSTEM: "Thank you Dorothy. Your medications have been logged.</w:t>
            </w:r>
          </w:p>
          <w:p>
            <w:pPr>
              <w:spacing w:after="16" w:before="16"/>
              <w:jc w:val="left"/>
            </w:pPr>
            <w:r>
              <w:rPr>
                <w:rFonts w:ascii="Arial" w:cs="Arial" w:eastAsia="Arial" w:hAnsi="Arial"/>
                <w:b w:val="false"/>
                <w:bCs w:val="false"/>
                <w:color w:val="2C2C2A"/>
                <w:sz w:val="19"/>
                <w:szCs w:val="19"/>
              </w:rPr>
              <w:t xml:space="preserve">         Have a wonderful morning. Goodbye."</w:t>
            </w:r>
          </w:p>
          <w:p>
            <w:pPr>
              <w:spacing w:after="16" w:before="16"/>
              <w:jc w:val="left"/>
            </w:pPr>
            <w:r>
              <w:rPr>
                <w:rFonts w:ascii="Arial" w:cs="Arial" w:eastAsia="Arial" w:hAnsi="Arial"/>
                <w:b w:val="false"/>
                <w:bCs w:val="false"/>
                <w:color w:val="2C2C2A"/>
                <w:sz w:val="19"/>
                <w:szCs w:val="19"/>
              </w:rPr>
              <w:t xml:space="preserve">[Log confirmation → notify caregiver dashboard]</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[If parent presses 2]</w:t>
            </w:r>
          </w:p>
          <w:p>
            <w:pPr>
              <w:spacing w:after="16" w:before="16"/>
              <w:jc w:val="left"/>
            </w:pPr>
            <w:r>
              <w:rPr>
                <w:rFonts w:ascii="Arial" w:cs="Arial" w:eastAsia="Arial" w:hAnsi="Arial"/>
                <w:b w:val="false"/>
                <w:bCs w:val="false"/>
                <w:color w:val="2C2C2A"/>
                <w:sz w:val="19"/>
                <w:szCs w:val="19"/>
              </w:rPr>
              <w:t xml:space="preserve">SYSTEM: "I understand. I'll let Sarah know. If you need a reminder</w:t>
            </w:r>
          </w:p>
          <w:p>
            <w:pPr>
              <w:spacing w:after="16" w:before="16"/>
              <w:jc w:val="left"/>
            </w:pPr>
            <w:r>
              <w:rPr>
                <w:rFonts w:ascii="Arial" w:cs="Arial" w:eastAsia="Arial" w:hAnsi="Arial"/>
                <w:b w:val="false"/>
                <w:bCs w:val="false"/>
                <w:color w:val="2C2C2A"/>
                <w:sz w:val="19"/>
                <w:szCs w:val="19"/>
              </w:rPr>
              <w:t xml:space="preserve">         later, just call this number back. Goodbye."</w:t>
            </w:r>
          </w:p>
          <w:p>
            <w:pPr>
              <w:spacing w:after="16" w:before="16"/>
              <w:jc w:val="left"/>
            </w:pPr>
            <w:r>
              <w:rPr>
                <w:rFonts w:ascii="Arial" w:cs="Arial" w:eastAsia="Arial" w:hAnsi="Arial"/>
                <w:b w:val="false"/>
                <w:bCs w:val="false"/>
                <w:color w:val="2C2C2A"/>
                <w:sz w:val="19"/>
                <w:szCs w:val="19"/>
              </w:rPr>
              <w:t xml:space="preserve">[Log missed dose → notify caregiver]</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[If no response after 10 seconds]</w:t>
            </w:r>
          </w:p>
          <w:p>
            <w:pPr>
              <w:spacing w:after="16" w:before="16"/>
              <w:jc w:val="left"/>
            </w:pPr>
            <w:r>
              <w:rPr>
                <w:rFonts w:ascii="Arial" w:cs="Arial" w:eastAsia="Arial" w:hAnsi="Arial"/>
                <w:b w:val="false"/>
                <w:bCs w:val="false"/>
                <w:color w:val="2C2C2A"/>
                <w:sz w:val="19"/>
                <w:szCs w:val="19"/>
              </w:rPr>
              <w:t xml:space="preserve">SYSTEM: "I'll try you again in 30 minutes. If you need help,</w:t>
            </w:r>
          </w:p>
          <w:p>
            <w:pPr>
              <w:spacing w:after="16" w:before="16"/>
              <w:jc w:val="left"/>
            </w:pPr>
            <w:r>
              <w:rPr>
                <w:rFonts w:ascii="Arial" w:cs="Arial" w:eastAsia="Arial" w:hAnsi="Arial"/>
                <w:b w:val="false"/>
                <w:bCs w:val="false"/>
                <w:color w:val="2C2C2A"/>
                <w:sz w:val="19"/>
                <w:szCs w:val="19"/>
              </w:rPr>
              <w:t xml:space="preserve">         please call Sarah at 415-555-0123. Goodbye."</w:t>
            </w:r>
          </w:p>
          <w:p>
            <w:pPr>
              <w:spacing w:after="16" w:before="16"/>
              <w:jc w:val="left"/>
            </w:pPr>
            <w:r>
              <w:rPr>
                <w:rFonts w:ascii="Arial" w:cs="Arial" w:eastAsia="Arial" w:hAnsi="Arial"/>
                <w:b w:val="false"/>
                <w:bCs w:val="false"/>
                <w:color w:val="2C2C2A"/>
                <w:sz w:val="19"/>
                <w:szCs w:val="19"/>
              </w:rPr>
              <w:t xml:space="preserve">[Queue retry → notify caregiver if second attempt also unanswered]</w:t>
            </w:r>
          </w:p>
          <w:p>
            <w:pPr>
              <w:spacing w:after="16" w:before="16"/>
              <w:jc w:val="left"/>
            </w:pPr>
            <w:r>
              <w:rPr>
                <w:rFonts w:ascii="Arial" w:cs="Arial" w:eastAsia="Arial" w:hAnsi="Arial"/>
                <w:b w:val="false"/>
                <w:bCs w:val="false"/>
                <w:color w:val="2C2C2A"/>
                <w:sz w:val="19"/>
                <w:szCs w:val="19"/>
              </w:rPr>
              <w:t xml:space="preserve"/>
            </w:r>
          </w:p>
          <w:p>
            <w:pPr>
              <w:spacing w:after="16" w:before="16"/>
              <w:jc w:val="left"/>
            </w:pPr>
            <w:r>
              <w:rPr>
                <w:rFonts w:ascii="Arial" w:cs="Arial" w:eastAsia="Arial" w:hAnsi="Arial"/>
                <w:b w:val="false"/>
                <w:bCs w:val="false"/>
                <w:color w:val="2C2C2A"/>
                <w:sz w:val="19"/>
                <w:szCs w:val="19"/>
              </w:rPr>
              <w:t xml:space="preserve">[If parent stays on line or presses 0]</w:t>
            </w:r>
          </w:p>
          <w:p>
            <w:pPr>
              <w:spacing w:after="16" w:before="16"/>
              <w:jc w:val="left"/>
            </w:pPr>
            <w:r>
              <w:rPr>
                <w:rFonts w:ascii="Arial" w:cs="Arial" w:eastAsia="Arial" w:hAnsi="Arial"/>
                <w:b w:val="false"/>
                <w:bCs w:val="false"/>
                <w:color w:val="2C2C2A"/>
                <w:sz w:val="19"/>
                <w:szCs w:val="19"/>
              </w:rPr>
              <w:t xml:space="preserve">[Transfer to Twilio conference bridge where caregiver can join,</w:t>
            </w:r>
          </w:p>
          <w:p>
            <w:pPr>
              <w:spacing w:after="16" w:before="16"/>
              <w:jc w:val="left"/>
            </w:pPr>
            <w:r>
              <w:rPr>
                <w:rFonts w:ascii="Arial" w:cs="Arial" w:eastAsia="Arial" w:hAnsi="Arial"/>
                <w:b w:val="false"/>
                <w:bCs w:val="false"/>
                <w:color w:val="2C2C2A"/>
                <w:sz w:val="19"/>
                <w:szCs w:val="19"/>
              </w:rPr>
              <w:t xml:space="preserve"> or play caregiver's callback number]</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6.3  Alexa skill architecture</w:t>
      </w:r>
    </w:p>
    <w:p>
      <w:pPr>
        <w:spacing w:after="80" w:before="60"/>
        <w:jc w:val="left"/>
      </w:pPr>
      <w:r>
        <w:rPr>
          <w:rFonts w:ascii="Arial" w:cs="Arial" w:eastAsia="Arial" w:hAnsi="Arial"/>
          <w:b w:val="false"/>
          <w:bCs w:val="false"/>
          <w:color w:val="1A1A1A"/>
          <w:sz w:val="22"/>
          <w:szCs w:val="22"/>
        </w:rPr>
        <w:t xml:space="preserve">The Alexa integration creates a proactive ambient interface in the parent's home. Unlike SMS (which requires the parent to read and respond) or voice calls (which require them to answer the phone), Alexa reminders play naturally in the room — and the parent can respond out loud.</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Alexa capability</w:t>
            </w:r>
          </w:p>
        </w:tc>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How it works</w:t>
            </w:r>
          </w:p>
        </w:tc>
        <w:tc>
          <w:tcPr>
            <w:tcW w:type="dxa" w:w="4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Parent experience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Proactive medication reminder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Platform API calls Alexa Proactive Events API to schedule a reminder. Alexa announces at the scheduled 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Alexa lights up and says: 'Dorothy, this is your 8am medication reminder from your family. Time for your Lisinopril and Metformin.' Parent says 'Alexa, I took them.' Confirmation logged.</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Appointment reminder</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Same proactive event mechanism for upcoming appointments.</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Alexa: 'Dorothy, reminder: you have a doctor's appointment with Dr. Patel tomorrow at 2:30pm. Sarah will pick you up at 2pm.'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Family message delivery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Caregiver sends a message through platform → delivered via Alexa announcement.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Alexa: 'You have a message from your daughter Sarah: Hi Mom, I'll call you tonight at 6. Love you.'</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Medication Q&amp;A</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Parent can ask Alexa questions about their medications using the platform skill.</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Parent: 'Alexa, ask my health assistant what Lisinopril is for.' Alexa: 'Lisinopril is a blood pressure medication. Your doctor prescribed it to help lower your blood pressure. You take one 10mg pill in the morning.'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Check-in response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Platform sends check-in prompt via Alexa. Parent responds vocally.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Alexa: 'Good morning Dorothy, how are you feeling today?' Parent: 'My knee is bothering me.' Alexa: 'I'll let Sarah know your knee is hurting today. Is there anything else?'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Outgoing family message</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Parent can send a voice message to the family group via Alexa.</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Parent: 'Alexa, tell my family I need more orange juice.' → Platform converts to text and pushes to family workspace + SMS to primary caregiver.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Emergency escalation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If parent says 'I need help' or 'call for help' at any point, the skill immediately notifies all family members.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Parent: 'Alexa, I fell.' → Alexa: 'I'm alerting your family right now. Sarah is being called. Do you need me to call 911?' → Family receives immediate alert with timestamp and audio clip.</w:t>
            </w:r>
          </w:p>
        </w:tc>
      </w:tr>
    </w:tbl>
    <w:p>
      <w:pPr>
        <w:spacing w:after="0" w:before="160"/>
      </w:pPr>
      <w:r>
        <w:rPr>
          <w:rFonts w:ascii="Arial" w:cs="Arial" w:eastAsia="Arial" w:hAnsi="Arial"/>
          <w:b w:val="false"/>
          <w:bCs w:val="false"/>
          <w:color w:val="1A1A1A"/>
          <w:sz w:val="22"/>
          <w:szCs w:val="22"/>
        </w:rPr>
        <w:t xml:space="preserve"/>
      </w:r>
    </w:p>
    <w:p>
      <w:pPr>
        <w:pStyle w:val="Heading2"/>
        <w:spacing w:after="80" w:before="300"/>
      </w:pPr>
      <w:r>
        <w:rPr>
          <w:rFonts w:ascii="Arial" w:cs="Arial" w:eastAsia="Arial" w:hAnsi="Arial"/>
          <w:b/>
          <w:bCs/>
          <w:color w:val="1A1A1A"/>
          <w:sz w:val="27"/>
          <w:szCs w:val="27"/>
        </w:rPr>
        <w:t xml:space="preserve">6.4  Consent, opt-in, and privacy for the parent interface</w:t>
      </w:r>
    </w:p>
    <w:p>
      <w:pPr>
        <w:spacing w:after="80" w:before="60"/>
        <w:jc w:val="left"/>
      </w:pPr>
      <w:r>
        <w:rPr>
          <w:rFonts w:ascii="Arial" w:cs="Arial" w:eastAsia="Arial" w:hAnsi="Arial"/>
          <w:b w:val="false"/>
          <w:bCs w:val="false"/>
          <w:color w:val="1A1A1A"/>
          <w:sz w:val="22"/>
          <w:szCs w:val="22"/>
        </w:rPr>
        <w:t xml:space="preserve">All parent-facing communication requires explicit consent. The caregiver cannot simply start sending messages to their parent's phone — the setup flow requires the parent (or their legal representative, if the parent lacks capacity) to opt in.</w:t>
      </w:r>
    </w:p>
    <w:p>
      <w:pPr>
        <w:spacing w:after="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Requirement</w:t>
            </w:r>
          </w:p>
        </w:tc>
        <w:tc>
          <w:tcPr>
            <w:tcW w:type="dxa" w:w="7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pPr>
              <w:spacing w:after="0" w:before="0"/>
              <w:jc w:val="left"/>
            </w:pPr>
            <w:r>
              <w:rPr>
                <w:rFonts w:ascii="Arial" w:cs="Arial" w:eastAsia="Arial" w:hAnsi="Arial"/>
                <w:b/>
                <w:bCs/>
                <w:color w:val="FFFFFF"/>
                <w:sz w:val="19"/>
                <w:szCs w:val="19"/>
              </w:rPr>
              <w:t xml:space="preserve">Design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Explicit opt-in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Caregiver initiates the parent setup flow. Platform sends the parent's phone a one-time 'welcome and consent' message that explains what messages they'll receive, how to stop them, and who to call with questions. Parent must reply YES to activate. No messages sent before this confirmation.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Carrier compliance</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All SMS campaigns registered with The Campaign Registry (TCR) for 10DLC compliance. Required by US carriers since 2021 to prevent spam classification. Use cases: healthcare reminders, family alerts. All messages include sender identification.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STOP / opt-out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Reply STOP immediately and permanently halts all messages (required by TCPA and carrier rules). Platform notifies caregiver of opt-out within 5 minutes. Caregiver must re-obtain verbal or written consent to restart — and re-initiate the opt-in flow.</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Frequency controls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Caregiver sets maximum messages per day (default: 3). Platform never sends more than this regardless of how many reminders are configured. Quiet hours enforced: no messages between 8pm and 8am unless marked urgent.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Data minimization in messages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Messages never include PHI beyond what is necessary. Drug names and dose are included (necessary for reminders) but diagnosis names, lab values, and insurance details are not sent via SMS — these require clicking a secure in-app link.</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Secure document links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Documents sent via SMS use time-limited signed URLs (48-hour default). Link click requires entering last 4 digits of parent's phone number as a lightweight second factor. After expiry, parent can reply SAVE to get a new 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Capacity considerations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jc w:val="left"/>
            </w:pPr>
            <w:r>
              <w:rPr>
                <w:rFonts w:ascii="Arial" w:cs="Arial" w:eastAsia="Arial" w:hAnsi="Arial"/>
                <w:b w:val="false"/>
                <w:bCs w:val="false"/>
                <w:color w:val="1A1A1A"/>
                <w:sz w:val="20"/>
                <w:szCs w:val="20"/>
              </w:rPr>
              <w:t xml:space="preserve">If a parent has been legally determined to lack decision-making capacity, their legal representative (who holds healthcare POA) provides consent instead. Platform documents who provided consent and in what capacity.</w:t>
            </w:r>
          </w:p>
        </w:tc>
      </w:tr>
    </w:tbl>
    <w:p>
      <w:pPr>
        <w:spacing w:after="0" w:before="200"/>
      </w:pPr>
      <w:r>
        <w:rPr>
          <w:rFonts w:ascii="Arial" w:cs="Arial" w:eastAsia="Arial" w:hAnsi="Arial"/>
          <w:b w:val="false"/>
          <w:bCs w:val="false"/>
          <w:color w:val="1A1A1A"/>
          <w:sz w:val="22"/>
          <w:szCs w:val="22"/>
        </w:rPr>
        <w:t xml:space="preserve"/>
      </w:r>
    </w:p>
    <w:p>
      <w:pPr>
        <w:pBdr>
          <w:bottom w:val="single" w:color="D3D1C7" w:sz="2" w:space="4"/>
        </w:pBdr>
        <w:spacing w:after="120" w:before="0"/>
      </w:pPr>
      <w:r>
        <w:rPr>
          <w:rFonts w:ascii="Arial" w:cs="Arial" w:eastAsia="Arial" w:hAnsi="Arial"/>
          <w:b w:val="false"/>
          <w:bCs w:val="false"/>
          <w:color w:val="1A1A1A"/>
          <w:sz w:val="22"/>
          <w:szCs w:val="22"/>
        </w:rPr>
        <w:t xml:space="preserve"/>
      </w:r>
    </w:p>
    <w:p>
      <w:pPr>
        <w:spacing w:after="0" w:before="60"/>
        <w:jc w:val="center"/>
      </w:pPr>
      <w:r>
        <w:rPr>
          <w:rFonts w:ascii="Arial" w:cs="Arial" w:eastAsia="Arial" w:hAnsi="Arial"/>
          <w:b w:val="false"/>
          <w:bCs w:val="false"/>
          <w:color w:val="5F5E5A"/>
          <w:sz w:val="18"/>
          <w:szCs w:val="18"/>
        </w:rPr>
        <w:t xml:space="preserve">Aging Gracefully — FHIR &amp; SMS/Voice Integration Architecture  ·  v1.0  ·  Confidential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6"/>
      </w:pBdr>
      <w:tabs>
        <w:tab w:val="right" w:pos="9026"/>
      </w:tabs>
      <w:spacing w:after="0" w:before="80"/>
    </w:pPr>
    <w:r>
      <w:rPr>
        <w:rFonts w:ascii="Arial" w:cs="Arial" w:eastAsia="Arial" w:hAnsi="Arial"/>
        <w:b w:val="false"/>
        <w:bCs w:val="false"/>
        <w:color w:val="5F5E5A"/>
        <w:sz w:val="16"/>
        <w:szCs w:val="16"/>
      </w:rPr>
      <w:t xml:space="preserve">© 2025 Aging Gracefully — Confidential</w:t>
    </w:r>
    <w:r>
      <w:rPr>
        <w:rFonts w:ascii="Arial" w:cs="Arial" w:eastAsia="Arial" w:hAnsi="Arial"/>
        <w:b w:val="false"/>
        <w:bCs w:val="false"/>
        <w:color w:val="5F5E5A"/>
        <w:sz w:val="16"/>
        <w:szCs w:val="16"/>
      </w:rPr>
      <w:t xml:space="preserve">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8"/>
      </w:pBdr>
      <w:tabs>
        <w:tab w:val="right" w:pos="9026"/>
      </w:tabs>
      <w:spacing w:after="100" w:before="0"/>
    </w:pPr>
    <w:r>
      <w:rPr>
        <w:rFonts w:ascii="Arial" w:cs="Arial" w:eastAsia="Arial" w:hAnsi="Arial"/>
        <w:b w:val="false"/>
        <w:bCs w:val="false"/>
        <w:color w:val="5F5E5A"/>
        <w:sz w:val="18"/>
        <w:szCs w:val="18"/>
      </w:rPr>
      <w:t xml:space="preserve">Aging Gracefully — FHIR &amp; SMS/Voice Integration Architecture</w:t>
    </w:r>
    <w:r>
      <w:rPr>
        <w:rFonts w:ascii="Arial" w:cs="Arial" w:eastAsia="Arial" w:hAnsi="Arial"/>
        <w:b/>
        <w:bCs/>
        <w:color w:val="0F6E56"/>
        <w:sz w:val="18"/>
        <w:szCs w:val="18"/>
      </w:rPr>
      <w:t xml:space="preserve">	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lvl w:ilvl="2" w15:tentative="1">
      <w:start w:val="1"/>
      <w:numFmt w:val="bullet"/>
      <w:lvlText w:val="▪"/>
      <w:lvlJc w:val="left"/>
      <w:pPr>
        <w:ind w:left="144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4"/>
      <w:szCs w:val="34"/>
    </w:rPr>
  </w:style>
  <w:style w:type="paragraph" w:styleId="Heading2">
    <w:name w:val="Heading 2"/>
    <w:basedOn w:val="Normal"/>
    <w:next w:val="Normal"/>
    <w:qFormat/>
    <w:pPr>
      <w:spacing w:after="80" w:before="300"/>
      <w:outlineLvl w:val="1"/>
    </w:pPr>
    <w:rPr>
      <w:rFonts w:ascii="Arial" w:cs="Arial" w:eastAsia="Arial" w:hAnsi="Arial"/>
      <w:b/>
      <w:bCs/>
      <w:sz w:val="27"/>
      <w:szCs w:val="27"/>
    </w:rPr>
  </w:style>
  <w:style w:type="paragraph" w:styleId="Heading3">
    <w:name w:val="Heading 3"/>
    <w:basedOn w:val="Normal"/>
    <w:next w:val="Normal"/>
    <w:qFormat/>
    <w:pPr>
      <w:spacing w:after="6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2026-04-19T02:05:33.106Z</dcterms:created>
  <dcterms:modified xsi:type="dcterms:W3CDTF">2026-04-19T02:05:33.107Z</dcterms:modified>
</cp:coreProperties>
</file>

<file path=docProps/custom.xml><?xml version="1.0" encoding="utf-8"?>
<Properties xmlns="http://schemas.openxmlformats.org/officeDocument/2006/custom-properties" xmlns:vt="http://schemas.openxmlformats.org/officeDocument/2006/docPropsVTypes"/>
</file>