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64"/>
          <w:szCs w:val="64"/>
        </w:rPr>
        <w:t xml:space="preserve">SYNCR</w:t>
      </w:r>
    </w:p>
    <w:p>
      <w:pPr>
        <w:spacing w:after="100" w:before="200"/>
        <w:jc w:val="center"/>
      </w:pPr>
      <w:r>
        <w:rPr>
          <w:rFonts w:ascii="Calibri" w:cs="Calibri" w:eastAsia="Calibri" w:hAnsi="Calibri"/>
          <w:color w:val="595959"/>
          <w:sz w:val="32"/>
          <w:szCs w:val="32"/>
        </w:rPr>
        <w:t xml:space="preserve">Business Requirements Document</w:t>
      </w:r>
    </w:p>
    <w:p>
      <w:pPr>
        <w:spacing w:after="800"/>
        <w:jc w:val="center"/>
      </w:pPr>
      <w:r>
        <w:rPr>
          <w:rFonts w:ascii="Calibri" w:cs="Calibri" w:eastAsia="Calibri" w:hAnsi="Calibri"/>
          <w:i/>
          <w:iCs/>
          <w:color w:val="595959"/>
          <w:sz w:val="22"/>
          <w:szCs w:val="22"/>
        </w:rPr>
        <w:t xml:space="preserve">Cross-Repository Component Governance Platform — v2.0</w:t>
      </w:r>
    </w:p>
    <w:p>
      <w:pPr>
        <w:spacing w:before="1600"/>
        <w:jc w:val="center"/>
      </w:pPr>
      <w:r>
        <w:rPr>
          <w:rFonts w:ascii="Calibri" w:cs="Calibri" w:eastAsia="Calibri" w:hAnsi="Calibri"/>
          <w:i/>
          <w:iCs/>
          <w:color w:val="595959"/>
          <w:sz w:val="18"/>
          <w:szCs w:val="18"/>
        </w:rPr>
        <w:t xml:space="preserve">Scope note: “enter prise” in this document means agencies, studios, and internal platform teams up to roughly 300 developers — not hyperscale organizations (Meta/Google/Microsoft-class), which run their own internal tooling and are not Syncr's addressable market. See Section 3.4.</w:t>
      </w:r>
    </w:p>
    <w:p>
      <w:r>
        <w:br w:type="page"/>
      </w:r>
    </w:p>
    <w:p>
      <w:pPr>
        <w:pStyle w:val="Heading1"/>
        <w:spacing w:after="200" w:before="400"/>
      </w:pPr>
      <w:r>
        <w:t xml:space="preserve">1. Purpose</w:t>
      </w:r>
    </w:p>
    <w:p>
      <w:pPr>
        <w:spacing w:after="140"/>
      </w:pPr>
      <w:r>
        <w:rPr>
          <w:rFonts w:ascii="Calibri" w:cs="Calibri" w:eastAsia="Calibri" w:hAnsi="Calibri"/>
          <w:sz w:val="21"/>
          <w:szCs w:val="21"/>
        </w:rPr>
        <w:t xml:space="preserve">This document defines the functional and business requirements for Syncr: what it must do, for whom, and where its responsibility ends. It supersedes assumptions in earlier planning materials that treated “industry-wide adoption” as the goal — the requirements below are scoped to a validated niche (see Section 3) and are written so a new engineer or reviewer can determine, for any feature request, whether it belongs in Syncr or not.</w:t>
      </w:r>
    </w:p>
    <w:p>
      <w:pPr>
        <w:pStyle w:val="Heading1"/>
        <w:spacing w:after="200" w:before="400"/>
      </w:pPr>
      <w:r>
        <w:t xml:space="preserve">2. Problem Statement</w:t>
      </w:r>
    </w:p>
    <w:p>
      <w:pPr>
        <w:pStyle w:val="Heading2"/>
        <w:spacing w:after="140" w:before="280"/>
      </w:pPr>
      <w:r>
        <w:t xml:space="preserve">2.1 Cross-Repository Drift</w:t>
      </w:r>
    </w:p>
    <w:p>
      <w:pPr>
        <w:spacing w:after="140"/>
      </w:pPr>
      <w:r>
        <w:rPr>
          <w:rFonts w:ascii="Calibri" w:cs="Calibri" w:eastAsia="Calibri" w:hAnsi="Calibri"/>
          <w:sz w:val="21"/>
          <w:szCs w:val="21"/>
        </w:rPr>
        <w:t xml:space="preserve">Agencies and studios reuse UI components, auth flows, and infrastructure config across many client repositories. There is no reliable mechanism to know which repos are running which version of a shared component, especially when components are copy-pasted rather than installed as packages (the dominant pattern following shadcn/ui's rise).</w:t>
      </w:r>
    </w:p>
    <w:p>
      <w:pPr>
        <w:pStyle w:val="Heading2"/>
        <w:spacing w:after="140" w:before="280"/>
      </w:pPr>
      <w:r>
        <w:t xml:space="preserve">2.2 Fragmented Security Visibility</w:t>
      </w:r>
    </w:p>
    <w:p>
      <w:pPr>
        <w:spacing w:after="140"/>
      </w:pPr>
      <w:r>
        <w:rPr>
          <w:rFonts w:ascii="Calibri" w:cs="Calibri" w:eastAsia="Calibri" w:hAnsi="Calibri"/>
          <w:sz w:val="21"/>
          <w:szCs w:val="21"/>
        </w:rPr>
        <w:t xml:space="preserve">CVE and dependency vulnerability data exists per-repo (Dependabot, npm audit). No aggregated view exists across an org's full portfolio, so a critical vulnerability in a shared component is invisible until each repo is checked individually.</w:t>
      </w:r>
    </w:p>
    <w:p>
      <w:pPr>
        <w:pStyle w:val="Heading2"/>
        <w:spacing w:after="140" w:before="280"/>
      </w:pPr>
      <w:r>
        <w:t xml:space="preserve">2.3 Onboarding &amp; Tribal Knowledge Loss</w:t>
      </w:r>
    </w:p>
    <w:p>
      <w:pPr>
        <w:spacing w:after="140"/>
      </w:pPr>
      <w:r>
        <w:rPr>
          <w:rFonts w:ascii="Calibri" w:cs="Calibri" w:eastAsia="Calibri" w:hAnsi="Calibri"/>
          <w:sz w:val="21"/>
          <w:szCs w:val="21"/>
        </w:rPr>
        <w:t xml:space="preserve">Which version of which component is “correct,” why a given repo diverged, and who approved a past exception is undocumented and lives in individual developers' memory. This is lost entirely on team turnover.</w:t>
      </w:r>
    </w:p>
    <w:p>
      <w:pPr>
        <w:pStyle w:val="Heading1"/>
        <w:spacing w:after="200" w:before="400"/>
      </w:pPr>
      <w:r>
        <w:t xml:space="preserve">3. Target Users &amp; Personas</w:t>
      </w:r>
    </w:p>
    <w:p>
      <w:pPr>
        <w:pStyle w:val="Heading2"/>
        <w:spacing w:after="140" w:before="280"/>
      </w:pPr>
      <w:r>
        <w:t xml:space="preserve">3.1 Primary Persona — Agency Lead Developer</w:t>
      </w:r>
    </w:p>
    <w:p>
      <w:pPr>
        <w:pStyle w:val="ListParagraph"/>
        <w:numPr>
          <w:ilvl w:val="0"/>
          <w:numId w:val="2"/>
        </w:numPr>
        <w:spacing w:after="60"/>
      </w:pPr>
      <w:r>
        <w:rPr>
          <w:rFonts w:ascii="Calibri" w:cs="Calibri" w:eastAsia="Calibri" w:hAnsi="Calibri"/>
          <w:sz w:val="21"/>
          <w:szCs w:val="21"/>
        </w:rPr>
        <w:t xml:space="preserve">Manages 5–30 client repositories, most sharing a common component base.</w:t>
      </w:r>
    </w:p>
    <w:p>
      <w:pPr>
        <w:pStyle w:val="ListParagraph"/>
        <w:numPr>
          <w:ilvl w:val="0"/>
          <w:numId w:val="2"/>
        </w:numPr>
        <w:spacing w:after="60"/>
      </w:pPr>
      <w:r>
        <w:rPr>
          <w:rFonts w:ascii="Calibri" w:cs="Calibri" w:eastAsia="Calibri" w:hAnsi="Calibri"/>
          <w:sz w:val="21"/>
          <w:szCs w:val="21"/>
        </w:rPr>
        <w:t xml:space="preserve">Has GitHub org admin rights; not necessarily final budget authority.</w:t>
      </w:r>
    </w:p>
    <w:p>
      <w:pPr>
        <w:pStyle w:val="ListParagraph"/>
        <w:numPr>
          <w:ilvl w:val="0"/>
          <w:numId w:val="2"/>
        </w:numPr>
        <w:spacing w:after="60"/>
      </w:pPr>
      <w:r>
        <w:rPr>
          <w:rFonts w:ascii="Calibri" w:cs="Calibri" w:eastAsia="Calibri" w:hAnsi="Calibri"/>
          <w:sz w:val="21"/>
          <w:szCs w:val="21"/>
        </w:rPr>
        <w:t xml:space="preserve">Pain: manually checking each repo for drift and CVEs before every client deliverable.</w:t>
      </w:r>
    </w:p>
    <w:p>
      <w:pPr>
        <w:pStyle w:val="Heading2"/>
        <w:spacing w:after="140" w:before="280"/>
      </w:pPr>
      <w:r>
        <w:t xml:space="preserve">3.2 Secondary Persona — Studio/Agency Owner</w:t>
      </w:r>
    </w:p>
    <w:p>
      <w:pPr>
        <w:pStyle w:val="ListParagraph"/>
        <w:numPr>
          <w:ilvl w:val="0"/>
          <w:numId w:val="2"/>
        </w:numPr>
        <w:spacing w:after="60"/>
      </w:pPr>
      <w:r>
        <w:rPr>
          <w:rFonts w:ascii="Calibri" w:cs="Calibri" w:eastAsia="Calibri" w:hAnsi="Calibri"/>
          <w:sz w:val="21"/>
          <w:szCs w:val="21"/>
        </w:rPr>
        <w:t xml:space="preserve">Approves the subscription; cares about billable-hour recovery and client trust, not implementation detail.</w:t>
      </w:r>
    </w:p>
    <w:p>
      <w:pPr>
        <w:pStyle w:val="ListParagraph"/>
        <w:numPr>
          <w:ilvl w:val="0"/>
          <w:numId w:val="2"/>
        </w:numPr>
        <w:spacing w:after="60"/>
      </w:pPr>
      <w:r>
        <w:rPr>
          <w:rFonts w:ascii="Calibri" w:cs="Calibri" w:eastAsia="Calibri" w:hAnsi="Calibri"/>
          <w:sz w:val="21"/>
          <w:szCs w:val="21"/>
        </w:rPr>
        <w:t xml:space="preserve">Wants a defensible answer to “are our client sites secure” without asking a developer to check manually.</w:t>
      </w:r>
    </w:p>
    <w:p>
      <w:pPr>
        <w:pStyle w:val="Heading2"/>
        <w:spacing w:after="140" w:before="280"/>
      </w:pPr>
      <w:r>
        <w:t xml:space="preserve">3.3 Tertiary Persona — Internal Platform Team (mid-size product company)</w:t>
      </w:r>
    </w:p>
    <w:p>
      <w:pPr>
        <w:pStyle w:val="ListParagraph"/>
        <w:numPr>
          <w:ilvl w:val="0"/>
          <w:numId w:val="2"/>
        </w:numPr>
        <w:spacing w:after="60"/>
      </w:pPr>
      <w:r>
        <w:rPr>
          <w:rFonts w:ascii="Calibri" w:cs="Calibri" w:eastAsia="Calibri" w:hAnsi="Calibri"/>
          <w:sz w:val="21"/>
          <w:szCs w:val="21"/>
        </w:rPr>
        <w:t xml:space="preserve">Maintains a design system consumed by multiple internal product teams (not client repos).</w:t>
      </w:r>
    </w:p>
    <w:p>
      <w:pPr>
        <w:pStyle w:val="ListParagraph"/>
        <w:numPr>
          <w:ilvl w:val="0"/>
          <w:numId w:val="2"/>
        </w:numPr>
        <w:spacing w:after="60"/>
      </w:pPr>
      <w:r>
        <w:rPr>
          <w:rFonts w:ascii="Calibri" w:cs="Calibri" w:eastAsia="Calibri" w:hAnsi="Calibri"/>
          <w:sz w:val="21"/>
          <w:szCs w:val="21"/>
        </w:rPr>
        <w:t xml:space="preserve">Needs the same drift/CVE visibility Syncr provides for agencies, applied to internal repos instead.</w:t>
      </w:r>
    </w:p>
    <w:p>
      <w:pPr>
        <w:pStyle w:val="Heading2"/>
        <w:spacing w:after="140" w:before="280"/>
      </w:pPr>
      <w:r>
        <w:t xml:space="preserve">3.4 Explicitly Out of Scope — Hyperscale Organizations</w:t>
      </w:r>
    </w:p>
    <w:p>
      <w:pPr>
        <w:spacing w:after="140"/>
      </w:pPr>
      <w:r>
        <w:rPr>
          <w:rFonts w:ascii="Calibri" w:cs="Calibri" w:eastAsia="Calibri" w:hAnsi="Calibri"/>
          <w:sz w:val="21"/>
          <w:szCs w:val="21"/>
        </w:rPr>
        <w:t xml:space="preserve">Organizations at Meta/Google/Microsoft scale build and maintain purpose-built internal tooling (Bazel-based monorepos, custom design-system infrastructure) integrated with internal-only systems Syncr cannot and should not attempt to replace. Treating them as a target market would pull the roadmap toward SSO/compliance/scale requirements the actual buyer (Section 3.1–3.3) doesn't need and won't pay the resulting price premium for. Any future enterprise features (Section 8) target the top of 3.3, not this segment.</w:t>
      </w:r>
    </w:p>
    <w:p>
      <w:pPr>
        <w:pStyle w:val="Heading1"/>
        <w:spacing w:after="200" w:before="400"/>
      </w:pPr>
      <w:r>
        <w:t xml:space="preserve">4. Core Use Cases</w:t>
      </w:r>
    </w:p>
    <w:p>
      <w:pPr>
        <w:spacing w:after="140"/>
      </w:pPr>
      <w:r>
        <w:rPr>
          <w:rFonts w:ascii="Calibri" w:cs="Calibri" w:eastAsia="Calibri" w:hAnsi="Calibri"/>
          <w:sz w:val="21"/>
          <w:szCs w:val="21"/>
        </w:rPr>
        <w:t xml:space="preserve">Each use case below has an ID (UC-#) referenced later in the technical design document and in test plans. “Syncr CLI” refers to the command-line tool; “Dashboard” refers to the web app.</w:t>
      </w:r>
    </w:p>
    <w:p>
      <w:pPr>
        <w:pStyle w:val="Heading2"/>
        <w:spacing w:after="140" w:before="280"/>
      </w:pPr>
      <w:r>
        <w:t xml:space="preserve">UC-1: Scaffold a New Project</w:t>
      </w:r>
    </w:p>
    <w:p>
      <w:pPr>
        <w:pStyle w:val="ListParagraph"/>
        <w:numPr>
          <w:ilvl w:val="0"/>
          <w:numId w:val="2"/>
        </w:numPr>
        <w:spacing w:after="60"/>
      </w:pPr>
      <w:r>
        <w:rPr>
          <w:rFonts w:ascii="Calibri" w:cs="Calibri" w:eastAsia="Calibri" w:hAnsi="Calibri"/>
          <w:sz w:val="21"/>
          <w:szCs w:val="21"/>
        </w:rPr>
        <w:t xml:space="preserve">Actor: developer starting a new client engagement.</w:t>
      </w:r>
    </w:p>
    <w:p>
      <w:pPr>
        <w:pStyle w:val="ListParagraph"/>
        <w:numPr>
          <w:ilvl w:val="0"/>
          <w:numId w:val="2"/>
        </w:numPr>
        <w:spacing w:after="60"/>
      </w:pPr>
      <w:r>
        <w:rPr>
          <w:rFonts w:ascii="Calibri" w:cs="Calibri" w:eastAsia="Calibri" w:hAnsi="Calibri"/>
          <w:sz w:val="21"/>
          <w:szCs w:val="21"/>
        </w:rPr>
        <w:t xml:space="preserve">Trigger: `syncr create &lt;name&gt;`.</w:t>
      </w:r>
    </w:p>
    <w:p>
      <w:pPr>
        <w:pStyle w:val="ListParagraph"/>
        <w:numPr>
          <w:ilvl w:val="0"/>
          <w:numId w:val="2"/>
        </w:numPr>
        <w:spacing w:after="60"/>
      </w:pPr>
      <w:r>
        <w:rPr>
          <w:rFonts w:ascii="Calibri" w:cs="Calibri" w:eastAsia="Calibri" w:hAnsi="Calibri"/>
          <w:sz w:val="21"/>
          <w:szCs w:val="21"/>
        </w:rPr>
        <w:t xml:space="preserve">Outcome: a new repository is created (or a local project is initialized) already wired to the org's component registry, CI scan workflow, and webhook — detection is active from commit #1, not bolted on later.</w:t>
      </w:r>
    </w:p>
    <w:p>
      <w:pPr>
        <w:pStyle w:val="Heading2"/>
        <w:spacing w:after="140" w:before="280"/>
      </w:pPr>
      <w:r>
        <w:t xml:space="preserve">UC-2: Onboard an Existing (Brownfield) Project</w:t>
      </w:r>
    </w:p>
    <w:p>
      <w:pPr>
        <w:pStyle w:val="ListParagraph"/>
        <w:numPr>
          <w:ilvl w:val="0"/>
          <w:numId w:val="2"/>
        </w:numPr>
        <w:spacing w:after="60"/>
      </w:pPr>
      <w:r>
        <w:rPr>
          <w:rFonts w:ascii="Calibri" w:cs="Calibri" w:eastAsia="Calibri" w:hAnsi="Calibri"/>
          <w:sz w:val="21"/>
          <w:szCs w:val="21"/>
        </w:rPr>
        <w:t xml:space="preserve">Actor: developer adding Syncr to a project that predates it — the more common case in practice.</w:t>
      </w:r>
    </w:p>
    <w:p>
      <w:pPr>
        <w:pStyle w:val="ListParagraph"/>
        <w:numPr>
          <w:ilvl w:val="0"/>
          <w:numId w:val="2"/>
        </w:numPr>
        <w:spacing w:after="60"/>
      </w:pPr>
      <w:r>
        <w:rPr>
          <w:rFonts w:ascii="Calibri" w:cs="Calibri" w:eastAsia="Calibri" w:hAnsi="Calibri"/>
          <w:sz w:val="21"/>
          <w:szCs w:val="21"/>
        </w:rPr>
        <w:t xml:space="preserve">Trigger: `syncr init` inside an existing repo.</w:t>
      </w:r>
    </w:p>
    <w:p>
      <w:pPr>
        <w:pStyle w:val="ListParagraph"/>
        <w:numPr>
          <w:ilvl w:val="0"/>
          <w:numId w:val="2"/>
        </w:numPr>
        <w:spacing w:after="60"/>
      </w:pPr>
      <w:r>
        <w:rPr>
          <w:rFonts w:ascii="Calibri" w:cs="Calibri" w:eastAsia="Calibri" w:hAnsi="Calibri"/>
          <w:sz w:val="21"/>
          <w:szCs w:val="21"/>
        </w:rPr>
        <w:t xml:space="preserve">Outcome: a full detection scan runs (see Technical Design §6), a baseline of what's currently installed is recorded WITHOUT opening any sync PRs, and the developer reviews/confirms low-confidence matches before the repo goes live.</w:t>
      </w:r>
    </w:p>
    <w:p>
      <w:pPr>
        <w:pStyle w:val="Heading2"/>
        <w:spacing w:after="140" w:before="280"/>
      </w:pPr>
      <w:r>
        <w:t xml:space="preserve">UC-3: Publish a Component Version</w:t>
      </w:r>
    </w:p>
    <w:p>
      <w:pPr>
        <w:pStyle w:val="ListParagraph"/>
        <w:numPr>
          <w:ilvl w:val="0"/>
          <w:numId w:val="2"/>
        </w:numPr>
        <w:spacing w:after="60"/>
      </w:pPr>
      <w:r>
        <w:rPr>
          <w:rFonts w:ascii="Calibri" w:cs="Calibri" w:eastAsia="Calibri" w:hAnsi="Calibri"/>
          <w:sz w:val="21"/>
          <w:szCs w:val="21"/>
        </w:rPr>
        <w:t xml:space="preserve">Actor: developer maintaining a SOURCE repo (or the CLI directly).</w:t>
      </w:r>
    </w:p>
    <w:p>
      <w:pPr>
        <w:pStyle w:val="ListParagraph"/>
        <w:numPr>
          <w:ilvl w:val="0"/>
          <w:numId w:val="2"/>
        </w:numPr>
        <w:spacing w:after="60"/>
      </w:pPr>
      <w:r>
        <w:rPr>
          <w:rFonts w:ascii="Calibri" w:cs="Calibri" w:eastAsia="Calibri" w:hAnsi="Calibri"/>
          <w:sz w:val="21"/>
          <w:szCs w:val="21"/>
        </w:rPr>
        <w:t xml:space="preserve">Trigger: `syncr publish` after a component change, or a merge to the SOURCE repo's default branch (configurable).</w:t>
      </w:r>
    </w:p>
    <w:p>
      <w:pPr>
        <w:pStyle w:val="ListParagraph"/>
        <w:numPr>
          <w:ilvl w:val="0"/>
          <w:numId w:val="2"/>
        </w:numPr>
        <w:spacing w:after="60"/>
      </w:pPr>
      <w:r>
        <w:rPr>
          <w:rFonts w:ascii="Calibri" w:cs="Calibri" w:eastAsia="Calibri" w:hAnsi="Calibri"/>
          <w:sz w:val="21"/>
          <w:szCs w:val="21"/>
        </w:rPr>
        <w:t xml:space="preserve">Outcome: new ComponentVersion created; drift is now flagged in every CONSUMER repo using an older version.</w:t>
      </w:r>
    </w:p>
    <w:p>
      <w:pPr>
        <w:pStyle w:val="Heading2"/>
        <w:spacing w:after="140" w:before="280"/>
      </w:pPr>
      <w:r>
        <w:t xml:space="preserve">UC-4: Review and Approve a Sync Proposal</w:t>
      </w:r>
    </w:p>
    <w:p>
      <w:pPr>
        <w:pStyle w:val="ListParagraph"/>
        <w:numPr>
          <w:ilvl w:val="0"/>
          <w:numId w:val="2"/>
        </w:numPr>
        <w:spacing w:after="60"/>
      </w:pPr>
      <w:r>
        <w:rPr>
          <w:rFonts w:ascii="Calibri" w:cs="Calibri" w:eastAsia="Calibri" w:hAnsi="Calibri"/>
          <w:sz w:val="21"/>
          <w:szCs w:val="21"/>
        </w:rPr>
        <w:t xml:space="preserve">Actor: agency lead developer.</w:t>
      </w:r>
    </w:p>
    <w:p>
      <w:pPr>
        <w:pStyle w:val="ListParagraph"/>
        <w:numPr>
          <w:ilvl w:val="0"/>
          <w:numId w:val="2"/>
        </w:numPr>
        <w:spacing w:after="60"/>
      </w:pPr>
      <w:r>
        <w:rPr>
          <w:rFonts w:ascii="Calibri" w:cs="Calibri" w:eastAsia="Calibri" w:hAnsi="Calibri"/>
          <w:sz w:val="21"/>
          <w:szCs w:val="21"/>
        </w:rPr>
        <w:t xml:space="preserve">Outcome: dashboard shows a diff, breaking-change flag, and affected repo count; approval opens (non-breaking) or requires a second approver for (breaking) changes before a PR opens.</w:t>
      </w:r>
    </w:p>
    <w:p>
      <w:pPr>
        <w:pStyle w:val="Heading2"/>
        <w:spacing w:after="140" w:before="280"/>
      </w:pPr>
      <w:r>
        <w:t xml:space="preserve">UC-5: CVE Detection and Remediation</w:t>
      </w:r>
    </w:p>
    <w:p>
      <w:pPr>
        <w:pStyle w:val="ListParagraph"/>
        <w:numPr>
          <w:ilvl w:val="0"/>
          <w:numId w:val="2"/>
        </w:numPr>
        <w:spacing w:after="60"/>
      </w:pPr>
      <w:r>
        <w:rPr>
          <w:rFonts w:ascii="Calibri" w:cs="Calibri" w:eastAsia="Calibri" w:hAnsi="Calibri"/>
          <w:sz w:val="21"/>
          <w:szCs w:val="21"/>
        </w:rPr>
        <w:t xml:space="preserve">Nightly scan across all connected repos; dashboard aggregates by severity across the whole portfolio, not per-repo.</w:t>
      </w:r>
    </w:p>
    <w:p>
      <w:pPr>
        <w:pStyle w:val="ListParagraph"/>
        <w:numPr>
          <w:ilvl w:val="0"/>
          <w:numId w:val="2"/>
        </w:numPr>
        <w:spacing w:after="60"/>
      </w:pPr>
      <w:r>
        <w:rPr>
          <w:rFonts w:ascii="Calibri" w:cs="Calibri" w:eastAsia="Calibri" w:hAnsi="Calibri"/>
          <w:sz w:val="21"/>
          <w:szCs w:val="21"/>
        </w:rPr>
        <w:t xml:space="preserve">Dismissal requires a reason (false positive / accepted risk / already mitigated) — stored for audit, never silent.</w:t>
      </w:r>
    </w:p>
    <w:p>
      <w:pPr>
        <w:pStyle w:val="Heading2"/>
        <w:spacing w:after="140" w:before="280"/>
      </w:pPr>
      <w:r>
        <w:t xml:space="preserve">UC-6: Component Deprecation</w:t>
      </w:r>
    </w:p>
    <w:p>
      <w:pPr>
        <w:pStyle w:val="ListParagraph"/>
        <w:numPr>
          <w:ilvl w:val="0"/>
          <w:numId w:val="2"/>
        </w:numPr>
        <w:spacing w:after="60"/>
      </w:pPr>
      <w:r>
        <w:rPr>
          <w:rFonts w:ascii="Calibri" w:cs="Calibri" w:eastAsia="Calibri" w:hAnsi="Calibri"/>
          <w:sz w:val="21"/>
          <w:szCs w:val="21"/>
        </w:rPr>
        <w:t xml:space="preserve">Source maintainer marks a component deprecated with a note; consuming repos see a warning (not a forced sync) unless the org config marks the org policy as “forced migration.”</w:t>
      </w:r>
    </w:p>
    <w:p>
      <w:pPr>
        <w:pStyle w:val="Heading2"/>
        <w:spacing w:after="140" w:before="280"/>
      </w:pPr>
      <w:r>
        <w:t xml:space="preserve">UC-7: Multi-Framework Organization</w:t>
      </w:r>
    </w:p>
    <w:p>
      <w:pPr>
        <w:pStyle w:val="ListParagraph"/>
        <w:numPr>
          <w:ilvl w:val="0"/>
          <w:numId w:val="2"/>
        </w:numPr>
        <w:spacing w:after="60"/>
      </w:pPr>
      <w:r>
        <w:rPr>
          <w:rFonts w:ascii="Calibri" w:cs="Calibri" w:eastAsia="Calibri" w:hAnsi="Calibri"/>
          <w:sz w:val="21"/>
          <w:szCs w:val="21"/>
        </w:rPr>
        <w:t xml:space="preserve">An org publishes both React and Vue components (e.g., an agency serving clients on different stacks).</w:t>
      </w:r>
    </w:p>
    <w:p>
      <w:pPr>
        <w:pStyle w:val="ListParagraph"/>
        <w:numPr>
          <w:ilvl w:val="0"/>
          <w:numId w:val="2"/>
        </w:numPr>
        <w:spacing w:after="60"/>
      </w:pPr>
      <w:r>
        <w:rPr>
          <w:rFonts w:ascii="Calibri" w:cs="Calibri" w:eastAsia="Calibri" w:hAnsi="Calibri"/>
          <w:sz w:val="21"/>
          <w:szCs w:val="21"/>
        </w:rPr>
        <w:t xml:space="preserve">Detection and registry both key on `Component.framework`; a React consumer never matches against a Vue version of a same-named component.</w:t>
      </w:r>
    </w:p>
    <w:p>
      <w:pPr>
        <w:pStyle w:val="Heading2"/>
        <w:spacing w:after="140" w:before="280"/>
      </w:pPr>
      <w:r>
        <w:t xml:space="preserve">UC-8: Monorepo Consumer</w:t>
      </w:r>
    </w:p>
    <w:p>
      <w:pPr>
        <w:pStyle w:val="ListParagraph"/>
        <w:numPr>
          <w:ilvl w:val="0"/>
          <w:numId w:val="2"/>
        </w:numPr>
        <w:spacing w:after="60"/>
      </w:pPr>
      <w:r>
        <w:rPr>
          <w:rFonts w:ascii="Calibri" w:cs="Calibri" w:eastAsia="Calibri" w:hAnsi="Calibri"/>
          <w:sz w:val="21"/>
          <w:szCs w:val="21"/>
        </w:rPr>
        <w:t xml:space="preserve">A client repo uses Nx/Turborepo with multiple apps in one repository.</w:t>
      </w:r>
    </w:p>
    <w:p>
      <w:pPr>
        <w:pStyle w:val="ListParagraph"/>
        <w:numPr>
          <w:ilvl w:val="0"/>
          <w:numId w:val="2"/>
        </w:numPr>
        <w:spacing w:after="60"/>
      </w:pPr>
      <w:r>
        <w:rPr>
          <w:rFonts w:ascii="Calibri" w:cs="Calibri" w:eastAsia="Calibri" w:hAnsi="Calibri"/>
          <w:sz w:val="21"/>
          <w:szCs w:val="21"/>
        </w:rPr>
        <w:t xml:space="preserve">Detection scans per-workspace, not per-repo — a single repo can have multiple RepoComponent rows against different workspace paths for the same component.</w:t>
      </w:r>
    </w:p>
    <w:p>
      <w:pPr>
        <w:pStyle w:val="Heading2"/>
        <w:spacing w:after="140" w:before="280"/>
      </w:pPr>
      <w:r>
        <w:t xml:space="preserve">UC-9: CI-Only / Headless Approval</w:t>
      </w:r>
    </w:p>
    <w:p>
      <w:pPr>
        <w:pStyle w:val="ListParagraph"/>
        <w:numPr>
          <w:ilvl w:val="0"/>
          <w:numId w:val="2"/>
        </w:numPr>
        <w:spacing w:after="60"/>
      </w:pPr>
      <w:r>
        <w:rPr>
          <w:rFonts w:ascii="Calibri" w:cs="Calibri" w:eastAsia="Calibri" w:hAnsi="Calibri"/>
          <w:sz w:val="21"/>
          <w:szCs w:val="21"/>
        </w:rPr>
        <w:t xml:space="preserve">Enterprise org policy requires sync approvals to happen through their own CI/CD gate, not the Syncr dashboard.</w:t>
      </w:r>
    </w:p>
    <w:p>
      <w:pPr>
        <w:pStyle w:val="ListParagraph"/>
        <w:numPr>
          <w:ilvl w:val="0"/>
          <w:numId w:val="2"/>
        </w:numPr>
        <w:spacing w:after="60"/>
      </w:pPr>
      <w:r>
        <w:rPr>
          <w:rFonts w:ascii="Calibri" w:cs="Calibri" w:eastAsia="Calibri" w:hAnsi="Calibri"/>
          <w:sz w:val="21"/>
          <w:szCs w:val="21"/>
        </w:rPr>
        <w:t xml:space="preserve">Outcome: `syncr sync approve --proposal-id X` is scriptable; webhook/API events fire the same as dashboard actions so external systems can react.</w:t>
      </w:r>
    </w:p>
    <w:p>
      <w:pPr>
        <w:pStyle w:val="Heading2"/>
        <w:spacing w:after="140" w:before="280"/>
      </w:pPr>
      <w:r>
        <w:t xml:space="preserve">UC-10: Component Rollback</w:t>
      </w:r>
    </w:p>
    <w:p>
      <w:pPr>
        <w:pStyle w:val="ListParagraph"/>
        <w:numPr>
          <w:ilvl w:val="0"/>
          <w:numId w:val="2"/>
        </w:numPr>
        <w:spacing w:after="60"/>
      </w:pPr>
      <w:r>
        <w:rPr>
          <w:rFonts w:ascii="Calibri" w:cs="Calibri" w:eastAsia="Calibri" w:hAnsi="Calibri"/>
          <w:sz w:val="21"/>
          <w:szCs w:val="21"/>
        </w:rPr>
        <w:t xml:space="preserve">A published version turns out to be broken.</w:t>
      </w:r>
    </w:p>
    <w:p>
      <w:pPr>
        <w:pStyle w:val="ListParagraph"/>
        <w:numPr>
          <w:ilvl w:val="0"/>
          <w:numId w:val="2"/>
        </w:numPr>
        <w:spacing w:after="60"/>
      </w:pPr>
      <w:r>
        <w:rPr>
          <w:rFonts w:ascii="Calibri" w:cs="Calibri" w:eastAsia="Calibri" w:hAnsi="Calibri"/>
          <w:sz w:val="21"/>
          <w:szCs w:val="21"/>
        </w:rPr>
        <w:t xml:space="preserve">Outcome: source maintainer marks the version deprecated and republishes a patched version; already-open sync proposals against the bad version are auto-cancelled, not silently orphaned.</w:t>
      </w:r>
    </w:p>
    <w:p>
      <w:pPr>
        <w:pStyle w:val="Heading2"/>
        <w:spacing w:after="140" w:before="280"/>
      </w:pPr>
      <w:r>
        <w:t xml:space="preserve">UC-11: Repo Ownership Transfer</w:t>
      </w:r>
    </w:p>
    <w:p>
      <w:pPr>
        <w:pStyle w:val="ListParagraph"/>
        <w:numPr>
          <w:ilvl w:val="0"/>
          <w:numId w:val="2"/>
        </w:numPr>
        <w:spacing w:after="60"/>
      </w:pPr>
      <w:r>
        <w:rPr>
          <w:rFonts w:ascii="Calibri" w:cs="Calibri" w:eastAsia="Calibri" w:hAnsi="Calibri"/>
          <w:sz w:val="21"/>
          <w:szCs w:val="21"/>
        </w:rPr>
        <w:t xml:space="preserve">A client repo is transferred to a different GitHub org (e.g., client takes ownership after the engagement ends).</w:t>
      </w:r>
    </w:p>
    <w:p>
      <w:pPr>
        <w:pStyle w:val="ListParagraph"/>
        <w:numPr>
          <w:ilvl w:val="0"/>
          <w:numId w:val="2"/>
        </w:numPr>
        <w:spacing w:after="60"/>
      </w:pPr>
      <w:r>
        <w:rPr>
          <w:rFonts w:ascii="Calibri" w:cs="Calibri" w:eastAsia="Calibri" w:hAnsi="Calibri"/>
          <w:sz w:val="21"/>
          <w:szCs w:val="21"/>
        </w:rPr>
        <w:t xml:space="preserve">Outcome: Syncr detects the GitHub webhook's repository.transferred event, prompts the org admin to confirm continued access or disconnect — access is never assumed to continue silently.</w:t>
      </w:r>
    </w:p>
    <w:p>
      <w:pPr>
        <w:pStyle w:val="Heading2"/>
        <w:spacing w:after="140" w:before="280"/>
      </w:pPr>
      <w:r>
        <w:t xml:space="preserve">UC-12: Team Offboarding</w:t>
      </w:r>
    </w:p>
    <w:p>
      <w:pPr>
        <w:pStyle w:val="ListParagraph"/>
        <w:numPr>
          <w:ilvl w:val="0"/>
          <w:numId w:val="2"/>
        </w:numPr>
        <w:spacing w:after="60"/>
      </w:pPr>
      <w:r>
        <w:rPr>
          <w:rFonts w:ascii="Calibri" w:cs="Calibri" w:eastAsia="Calibri" w:hAnsi="Calibri"/>
          <w:sz w:val="21"/>
          <w:szCs w:val="21"/>
        </w:rPr>
        <w:t xml:space="preserve">A developer leaves the agency.</w:t>
      </w:r>
    </w:p>
    <w:p>
      <w:pPr>
        <w:pStyle w:val="ListParagraph"/>
        <w:numPr>
          <w:ilvl w:val="0"/>
          <w:numId w:val="2"/>
        </w:numPr>
        <w:spacing w:after="60"/>
      </w:pPr>
      <w:r>
        <w:rPr>
          <w:rFonts w:ascii="Calibri" w:cs="Calibri" w:eastAsia="Calibri" w:hAnsi="Calibri"/>
          <w:sz w:val="21"/>
          <w:szCs w:val="21"/>
        </w:rPr>
        <w:t xml:space="preserve">Outcome: admin revokes org membership — all API tokens created by that user are auto-revoked, not left active under an orphaned identity.</w:t>
      </w:r>
    </w:p>
    <w:p>
      <w:pPr>
        <w:pStyle w:val="Heading1"/>
        <w:spacing w:after="200" w:before="400"/>
      </w:pPr>
      <w:r>
        <w:t xml:space="preserve">5. Edge Case Catalog</w:t>
      </w:r>
    </w:p>
    <w:p>
      <w:pPr>
        <w:spacing w:after="140"/>
      </w:pPr>
      <w:r>
        <w:rPr>
          <w:rFonts w:ascii="Calibri" w:cs="Calibri" w:eastAsia="Calibri" w:hAnsi="Calibri"/>
          <w:sz w:val="21"/>
          <w:szCs w:val="21"/>
        </w:rPr>
        <w:t xml:space="preserve">This is not exhaustive by construction — no such catalog is — but every row below is a case that WILL occur in real usage within the first year, based on the failure modes of the detection algorithm and the diversity of real agency repos.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50"/>
      </w:tblGrid>
      <w:tr>
        <w:trPr>
          <w:tblHeader/>
        </w:trPr>
        <w:tc>
          <w:tcPr>
            <w:tcW w:type="dxa" w:w="7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4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Edge Case</w:t>
            </w:r>
          </w:p>
        </w:tc>
        <w:tc>
          <w:tcPr>
            <w:tcW w:type="dxa" w:w="44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Expected Behavior</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Component file exists but was manually modified after copy-paste</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Hash match fails (tier 2); falls to tier 3 heuristic, surfaced as low-confidence — never silently treated as “out of sync” with false certainty.</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EC-2</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Two components have the same file name across different frameworks</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Framework field disambiguates; if still ambiguous, match is rejected rather than guessed.</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EC-3</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Repo has 10,000+ files</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Candidate-directory pre-filter (Technical Design §5) avoids a full tree walk; nightly full scan is queued, not synchronous.</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EC-4</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GitHub webhook delivery is missed (GitHub-side outage)</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Nightly full rescan catches it within 24h; delivery_id dedup prevents double-processing on retry.</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EC-5</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GitHub App installation is suspended mid-sync</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All sync/scan operations for that installation pause immediately (checked via a real column, not embedded JSON — see prior schema note); resumes automatically on reinstatement.</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EC-6</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Two orgs both publish a component with the same slug</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Slugs are unique per-organization, not globally — no collision possible by construction.</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EC-7</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A consumer repo pins an intentionally older version (client contract requires it)</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Org-level or repo-level “pin” flag suppresses proposal generation for that repo/component pair without disabling drift visibility on the dashboard.</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EC-8</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Breaking version published, but 40 repos are affected</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Proposals are generated but rate-limited on PR creation (GitHub API secondary rate limits); breaking changes always require explicit approval, never batch-auto-approved.</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EC-9</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Component deleted from registry entirely</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Existing RepoComponent rows are marked orphaned, not deleted — historical audit trail is preserved; no new proposals generated against a component that no longer exists.</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EC-10</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Repo forked, and the fork is also connected to Syncr</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Fork and upstream are tracked as separate Repo rows (different githubRepoId) — no assumption of shared state.</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EC-11</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Non-GitHub version control (GitLab, Bitbucket, Azure DevOps)</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Explicitly supported per the provider enum already in schema, but detection/webhook logic must be written provider-agnostic from day one — GitHub-only assumptions in Sprint 2–4 code are a known migration debt to flag, not silently accept.</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EC-12</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Self-hosted GitHub Enterprise Server (not github.com)</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Different API base URL and webhook payload quirks; treat as a distinct configuration path, not “same as github.com.” Out of MVP scope — explicitly listed in §8 as a later addition, not assumed to work.</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EC-13</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Org deletes their GitHub App installation without disconnecting in Syncr first</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Detected via the installation-deleted webhook; org is moved to a “disconnected” state with data retained per the org's data-retention policy, not silently orphaned.</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EC-14</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Two developers approve the same sync proposal simultaneously</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First approval wins; second request returns a conflict, not a duplicate PR.</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EC-15</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Component version string doesn't follow semver (legacy component)</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Version comparison falls back to string/date comparison with a warning flag — never crashes the scan.</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EC-16</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A CONSUMER repo is also a SOURCE for a different component</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Role is per-repo-per-relationship, not a single enum value — a repo can be SOURCE for one component and CONSUMER for another simultaneously.</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EC-17</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Free-tier org exceeds repo/scan limits mid-month</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Scans queue rather than fail; org is notified and prompted to upgrade, never silently drops data.</w:t>
            </w:r>
          </w:p>
        </w:tc>
      </w:tr>
      <w:tr>
        <w:tc>
          <w:tcPr>
            <w:tcW w:type="dxa" w:w="700"/>
            <w:tcMar>
              <w:top w:type="dxa" w:w="80"/>
              <w:left w:type="dxa" w:w="100"/>
              <w:bottom w:type="dxa" w:w="80"/>
              <w:right w:type="dxa" w:w="100"/>
            </w:tcMar>
          </w:tcPr>
          <w:p>
            <w:r>
              <w:rPr>
                <w:rFonts w:ascii="Calibri" w:cs="Calibri" w:eastAsia="Calibri" w:hAnsi="Calibri"/>
                <w:color w:val="000000"/>
                <w:sz w:val="19"/>
                <w:szCs w:val="19"/>
              </w:rPr>
              <w:t xml:space="preserve">EC-18</w:t>
            </w:r>
          </w:p>
        </w:tc>
        <w:tc>
          <w:tcPr>
            <w:tcW w:type="dxa" w:w="4200"/>
            <w:tcMar>
              <w:top w:type="dxa" w:w="80"/>
              <w:left w:type="dxa" w:w="100"/>
              <w:bottom w:type="dxa" w:w="80"/>
              <w:right w:type="dxa" w:w="100"/>
            </w:tcMar>
          </w:tcPr>
          <w:p>
            <w:r>
              <w:rPr>
                <w:rFonts w:ascii="Calibri" w:cs="Calibri" w:eastAsia="Calibri" w:hAnsi="Calibri"/>
                <w:color w:val="000000"/>
                <w:sz w:val="19"/>
                <w:szCs w:val="19"/>
              </w:rPr>
              <w:t xml:space="preserve">npm package name collides with unrelated public package during publish</w:t>
            </w:r>
          </w:p>
        </w:tc>
        <w:tc>
          <w:tcPr>
            <w:tcW w:type="dxa" w:w="4450"/>
            <w:tcMar>
              <w:top w:type="dxa" w:w="80"/>
              <w:left w:type="dxa" w:w="100"/>
              <w:bottom w:type="dxa" w:w="80"/>
              <w:right w:type="dxa" w:w="100"/>
            </w:tcMar>
          </w:tcPr>
          <w:p>
            <w:r>
              <w:rPr>
                <w:rFonts w:ascii="Calibri" w:cs="Calibri" w:eastAsia="Calibri" w:hAnsi="Calibri"/>
                <w:color w:val="000000"/>
                <w:sz w:val="19"/>
                <w:szCs w:val="19"/>
              </w:rPr>
              <w:t xml:space="preserve">Registry namespacing is org-scoped internally; nothing is ever published to the public npm registry unless the org explicitly opts a component into the marketplace (future scope, §8).</w:t>
            </w:r>
          </w:p>
        </w:tc>
      </w:tr>
    </w:tbl>
    <w:p>
      <w:pPr>
        <w:pStyle w:val="Heading1"/>
        <w:spacing w:after="200" w:before="400"/>
      </w:pPr>
      <w: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70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Performance</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A single repo scan (candidate-directory tier) completes in under 60s for repos up to 5,000 files; full nightly rescans are queued asynchronously, not user-facing-latency-sensitive.</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Availability</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Webhook ingestion must not lose events even during a deploy — raw payloads are persisted (GithubWebhookEvent) before processing, so a crash mid-processing is replayable.</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Security</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GitHub App requests least-privilege scopes; no repo content is retained longer than needed for hash comparison (store hashes, not full file contents, once processed).</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Auditability</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Every state-changing action (approval, dismissal, deprecation, token creation) is recorded in AuditLog with before/after state — no exceptions, including system/automated actions.</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Multi-tenancy</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Every query is organization-scoped at the repository layer, not just enforced at the API boundary — a bug in a route handler must not be able to leak cross-tenant data.</w:t>
            </w:r>
          </w:p>
        </w:tc>
      </w:tr>
      <w:tr>
        <w:tc>
          <w:tcPr>
            <w:tcW w:type="dxa" w:w="2300"/>
            <w:tcMar>
              <w:top w:type="dxa" w:w="80"/>
              <w:left w:type="dxa" w:w="100"/>
              <w:bottom w:type="dxa" w:w="80"/>
              <w:right w:type="dxa" w:w="100"/>
            </w:tcMar>
          </w:tcPr>
          <w:p>
            <w:r>
              <w:rPr>
                <w:rFonts w:ascii="Calibri" w:cs="Calibri" w:eastAsia="Calibri" w:hAnsi="Calibri"/>
                <w:color w:val="000000"/>
                <w:sz w:val="19"/>
                <w:szCs w:val="19"/>
              </w:rPr>
              <w:t xml:space="preserve">Data residency</w:t>
            </w:r>
          </w:p>
        </w:tc>
        <w:tc>
          <w:tcPr>
            <w:tcW w:type="dxa" w:w="7050"/>
            <w:tcMar>
              <w:top w:type="dxa" w:w="80"/>
              <w:left w:type="dxa" w:w="100"/>
              <w:bottom w:type="dxa" w:w="80"/>
              <w:right w:type="dxa" w:w="100"/>
            </w:tcMar>
          </w:tcPr>
          <w:p>
            <w:r>
              <w:rPr>
                <w:rFonts w:ascii="Calibri" w:cs="Calibri" w:eastAsia="Calibri" w:hAnsi="Calibri"/>
                <w:color w:val="000000"/>
                <w:sz w:val="19"/>
                <w:szCs w:val="19"/>
              </w:rPr>
              <w:t xml:space="preserve">MVP is single-region (US). EU data residency is a named Enterprise-tier gap, not a silent limitation — see §8.</w:t>
            </w:r>
          </w:p>
        </w:tc>
      </w:tr>
    </w:tbl>
    <w:p>
      <w:pPr>
        <w:pStyle w:val="Heading1"/>
        <w:spacing w:after="200" w:before="400"/>
      </w:pPr>
      <w:r>
        <w:t xml:space="preserve">7. Out of Scope (By Design)</w:t>
      </w:r>
    </w:p>
    <w:p>
      <w:pPr>
        <w:pStyle w:val="ListParagraph"/>
        <w:numPr>
          <w:ilvl w:val="0"/>
          <w:numId w:val="2"/>
        </w:numPr>
        <w:spacing w:after="60"/>
      </w:pPr>
      <w:r>
        <w:rPr>
          <w:rFonts w:ascii="Calibri" w:cs="Calibri" w:eastAsia="Calibri" w:hAnsi="Calibri"/>
          <w:sz w:val="21"/>
          <w:szCs w:val="21"/>
        </w:rPr>
        <w:t xml:space="preserve">Syncr is not a design-system authoring tool — it governs distribution and sync of components built elsewhere (Storybook, Figma, hand-written).</w:t>
      </w:r>
    </w:p>
    <w:p>
      <w:pPr>
        <w:pStyle w:val="ListParagraph"/>
        <w:numPr>
          <w:ilvl w:val="0"/>
          <w:numId w:val="2"/>
        </w:numPr>
        <w:spacing w:after="60"/>
      </w:pPr>
      <w:r>
        <w:rPr>
          <w:rFonts w:ascii="Calibri" w:cs="Calibri" w:eastAsia="Calibri" w:hAnsi="Calibri"/>
          <w:sz w:val="21"/>
          <w:szCs w:val="21"/>
        </w:rPr>
        <w:t xml:space="preserve">Syncr is not a general CI/CD platform — it integrates with the org's existing CI, it doesn't replace it.</w:t>
      </w:r>
    </w:p>
    <w:p>
      <w:pPr>
        <w:pStyle w:val="ListParagraph"/>
        <w:numPr>
          <w:ilvl w:val="0"/>
          <w:numId w:val="2"/>
        </w:numPr>
        <w:spacing w:after="60"/>
      </w:pPr>
      <w:r>
        <w:rPr>
          <w:rFonts w:ascii="Calibri" w:cs="Calibri" w:eastAsia="Calibri" w:hAnsi="Calibri"/>
          <w:sz w:val="21"/>
          <w:szCs w:val="21"/>
        </w:rPr>
        <w:t xml:space="preserve">Syncr is not a project management tool — no tickets, no sprints, no time tracking.</w:t>
      </w:r>
    </w:p>
    <w:p>
      <w:pPr>
        <w:pStyle w:val="ListParagraph"/>
        <w:numPr>
          <w:ilvl w:val="0"/>
          <w:numId w:val="2"/>
        </w:numPr>
        <w:spacing w:after="60"/>
      </w:pPr>
      <w:r>
        <w:rPr>
          <w:rFonts w:ascii="Calibri" w:cs="Calibri" w:eastAsia="Calibri" w:hAnsi="Calibri"/>
          <w:sz w:val="21"/>
          <w:szCs w:val="21"/>
        </w:rPr>
        <w:t xml:space="preserve">Syncr does not attempt to detect drift in non-component code (business logic, backend services) in v1 — scope is UI/shared-package components and their known dependency CVEs only.</w:t>
      </w:r>
    </w:p>
    <w:p>
      <w:pPr>
        <w:pStyle w:val="Heading1"/>
        <w:spacing w:after="200" w:before="400"/>
      </w:pPr>
      <w:r>
        <w:t xml:space="preserve">8. Deferred / Future Scope</w:t>
      </w:r>
    </w:p>
    <w:p>
      <w:pPr>
        <w:spacing w:after="140"/>
      </w:pPr>
      <w:r>
        <w:rPr>
          <w:rFonts w:ascii="Calibri" w:cs="Calibri" w:eastAsia="Calibri" w:hAnsi="Calibri"/>
          <w:sz w:val="21"/>
          <w:szCs w:val="21"/>
        </w:rPr>
        <w:t xml:space="preserve">Listed so future feature requests can be checked against an explicit decision, not re-litigated from scratch:</w:t>
      </w:r>
    </w:p>
    <w:p>
      <w:pPr>
        <w:pStyle w:val="ListParagraph"/>
        <w:numPr>
          <w:ilvl w:val="0"/>
          <w:numId w:val="2"/>
        </w:numPr>
        <w:spacing w:after="60"/>
      </w:pPr>
      <w:r>
        <w:rPr>
          <w:rFonts w:ascii="Calibri" w:cs="Calibri" w:eastAsia="Calibri" w:hAnsi="Calibri"/>
          <w:sz w:val="21"/>
          <w:szCs w:val="21"/>
        </w:rPr>
        <w:t xml:space="preserve">Component marketplace (cross-org sale of components) — Year 2 per monetization strategy.</w:t>
      </w:r>
    </w:p>
    <w:p>
      <w:pPr>
        <w:pStyle w:val="ListParagraph"/>
        <w:numPr>
          <w:ilvl w:val="0"/>
          <w:numId w:val="2"/>
        </w:numPr>
        <w:spacing w:after="60"/>
      </w:pPr>
      <w:r>
        <w:rPr>
          <w:rFonts w:ascii="Calibri" w:cs="Calibri" w:eastAsia="Calibri" w:hAnsi="Calibri"/>
          <w:sz w:val="21"/>
          <w:szCs w:val="21"/>
        </w:rPr>
        <w:t xml:space="preserve">AI-assisted component generation — Year 2, Studio tier.</w:t>
      </w:r>
    </w:p>
    <w:p>
      <w:pPr>
        <w:pStyle w:val="ListParagraph"/>
        <w:numPr>
          <w:ilvl w:val="0"/>
          <w:numId w:val="2"/>
        </w:numPr>
        <w:spacing w:after="60"/>
      </w:pPr>
      <w:r>
        <w:rPr>
          <w:rFonts w:ascii="Calibri" w:cs="Calibri" w:eastAsia="Calibri" w:hAnsi="Calibri"/>
          <w:sz w:val="21"/>
          <w:szCs w:val="21"/>
        </w:rPr>
        <w:t xml:space="preserve">Self-hosted GitHub Enterprise Server support — post-MVP, gated on actual customer demand (none validated as of this document).</w:t>
      </w:r>
    </w:p>
    <w:p>
      <w:pPr>
        <w:pStyle w:val="ListParagraph"/>
        <w:numPr>
          <w:ilvl w:val="0"/>
          <w:numId w:val="2"/>
        </w:numPr>
        <w:spacing w:after="60"/>
      </w:pPr>
      <w:r>
        <w:rPr>
          <w:rFonts w:ascii="Calibri" w:cs="Calibri" w:eastAsia="Calibri" w:hAnsi="Calibri"/>
          <w:sz w:val="21"/>
          <w:szCs w:val="21"/>
        </w:rPr>
        <w:t xml:space="preserve">SSO/SAML — Enterprise tier, gated on a signed contract requiring it, not built speculatively.</w:t>
      </w:r>
    </w:p>
    <w:p>
      <w:pPr>
        <w:pStyle w:val="ListParagraph"/>
        <w:numPr>
          <w:ilvl w:val="0"/>
          <w:numId w:val="2"/>
        </w:numPr>
        <w:spacing w:after="60"/>
      </w:pPr>
      <w:r>
        <w:rPr>
          <w:rFonts w:ascii="Calibri" w:cs="Calibri" w:eastAsia="Calibri" w:hAnsi="Calibri"/>
          <w:sz w:val="21"/>
          <w:szCs w:val="21"/>
        </w:rPr>
        <w:t xml:space="preserve">EU data residency — gated the same way as SSO.</w:t>
      </w:r>
    </w:p>
    <w:p>
      <w:pPr>
        <w:pStyle w:val="ListParagraph"/>
        <w:numPr>
          <w:ilvl w:val="0"/>
          <w:numId w:val="2"/>
        </w:numPr>
        <w:spacing w:after="60"/>
      </w:pPr>
      <w:r>
        <w:rPr>
          <w:rFonts w:ascii="Calibri" w:cs="Calibri" w:eastAsia="Calibri" w:hAnsi="Calibri"/>
          <w:sz w:val="21"/>
          <w:szCs w:val="21"/>
        </w:rPr>
        <w:t xml:space="preserve">Non-GitHub provider support (GitLab/Bitbucket/Azure DevOps) — schema already supports it (Section 5, EC-11); implementation is deferred until a paying customer needs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2026-07-11T01:59:57.268Z</dcterms:created>
  <dcterms:modified xsi:type="dcterms:W3CDTF">2026-07-11T01:59:57.281Z</dcterms:modified>
</cp:coreProperties>
</file>

<file path=docProps/custom.xml><?xml version="1.0" encoding="utf-8"?>
<Properties xmlns="http://schemas.openxmlformats.org/officeDocument/2006/custom-properties" xmlns:vt="http://schemas.openxmlformats.org/officeDocument/2006/docPropsVTypes"/>
</file>