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Syncr — 5-Year Vision &amp; Strategic Plan</w:t>
      </w:r>
    </w:p>
    <w:p>
      <w:pPr>
        <w:spacing w:after="80"/>
      </w:pPr>
      <w:r>
        <w:rPr>
          <w:i/>
          <w:iCs/>
          <w:color w:val="555555"/>
        </w:rPr>
        <w:t xml:space="preserve">CEO/CTO-level planning for a solo founder-developer — vision, market position, execution reality, and the frontend decision.</w:t>
      </w:r>
    </w:p>
    <w:p>
      <w:pPr>
        <w:spacing w:after="400"/>
      </w:pPr>
      <w:r>
        <w:rPr>
          <w:color w:val="777777"/>
          <w:sz w:val="18"/>
          <w:szCs w:val="18"/>
        </w:rPr>
        <w:t xml:space="preserve">Supersedes: AppInit-Dev-Roadmap.docx, AppInit-10-Expert-Reviews.docx, appinit-10yr-blueprint.jsx, appinit-aab.jsx, appinit-foundation.jsx (all June 2025, AppInit branding). Confirmed still accurate and NOT superseded: Syncr-Technical-Design.docx v2.0, Syncr-Multi-Tenancy-Architecture.docx v1.0 — both already match the real codebase and use correct Syncr branding.</w:t>
      </w:r>
    </w:p>
    <w:p>
      <w:pPr>
        <w:pStyle w:val="Heading1"/>
        <w:spacing w:after="160" w:before="400"/>
      </w:pPr>
      <w:r>
        <w:t xml:space="preserve">0. The Rebrand — What Changes and What Doesn't</w:t>
      </w:r>
    </w:p>
    <w:p>
      <w:pPr>
        <w:spacing w:after="160"/>
      </w:pPr>
      <w:r>
        <w:t xml:space="preserve">AppInit was diagnosed correctly in the prior brand review: the name implies project scaffolding, which is deliberately not what this product does. Syncr is the resolved name. This section is short because the rename is almost entirely cosmetic — the architecture underneath was never actually AppInit-specific.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5100"/>
      </w:tblGrid>
      <w:tr>
        <w:trPr>
          <w:tblHeader/>
        </w:trPr>
        <w:tc>
          <w:tcPr>
            <w:tcW w:type="dxa" w:w="4200"/>
            <w:shd w:fill="2E5AAC" w:val="clear"/>
            <w:tcMar>
              <w:top w:type="dxa" w:w="90"/>
              <w:left w:type="dxa" w:w="110"/>
              <w:bottom w:type="dxa" w:w="90"/>
              <w:right w:type="dxa" w:w="110"/>
            </w:tcMar>
          </w:tcPr>
          <w:p>
            <w:r>
              <w:rPr>
                <w:b/>
                <w:bCs/>
                <w:color w:val="FFFFFF"/>
                <w:sz w:val="19"/>
                <w:szCs w:val="19"/>
              </w:rPr>
              <w:t xml:space="preserve">Artifact</w:t>
            </w:r>
          </w:p>
        </w:tc>
        <w:tc>
          <w:tcPr>
            <w:tcW w:type="dxa" w:w="5100"/>
            <w:shd w:fill="2E5AAC" w:val="clear"/>
            <w:tcMar>
              <w:top w:type="dxa" w:w="90"/>
              <w:left w:type="dxa" w:w="110"/>
              <w:bottom w:type="dxa" w:w="90"/>
              <w:right w:type="dxa" w:w="110"/>
            </w:tcMar>
          </w:tcPr>
          <w:p>
            <w:r>
              <w:rPr>
                <w:b/>
                <w:bCs/>
                <w:color w:val="FFFFFF"/>
                <w:sz w:val="19"/>
                <w:szCs w:val="19"/>
              </w:rPr>
              <w:t xml:space="preserve">Verdict</w:t>
            </w:r>
          </w:p>
        </w:tc>
      </w:tr>
      <w:tr>
        <w:tc>
          <w:tcPr>
            <w:tcW w:type="dxa" w:w="4200"/>
            <w:tcMar>
              <w:top w:type="dxa" w:w="90"/>
              <w:left w:type="dxa" w:w="110"/>
              <w:bottom w:type="dxa" w:w="90"/>
              <w:right w:type="dxa" w:w="110"/>
            </w:tcMar>
          </w:tcPr>
          <w:p>
            <w:r>
              <w:rPr>
                <w:b w:val="false"/>
                <w:bCs w:val="false"/>
                <w:color w:val="000000"/>
                <w:sz w:val="19"/>
                <w:szCs w:val="19"/>
              </w:rPr>
              <w:t xml:space="preserve">Vision, mission, industry-problem framing (from PROJECT_INDEX.md, already corrected)</w:t>
            </w:r>
          </w:p>
        </w:tc>
        <w:tc>
          <w:tcPr>
            <w:tcW w:type="dxa" w:w="5100"/>
            <w:tcMar>
              <w:top w:type="dxa" w:w="90"/>
              <w:left w:type="dxa" w:w="110"/>
              <w:bottom w:type="dxa" w:w="90"/>
              <w:right w:type="dxa" w:w="110"/>
            </w:tcMar>
          </w:tcPr>
          <w:p>
            <w:r>
              <w:rPr>
                <w:b w:val="false"/>
                <w:bCs w:val="false"/>
                <w:color w:val="000000"/>
                <w:sz w:val="19"/>
                <w:szCs w:val="19"/>
              </w:rPr>
              <w:t xml:space="preserve">Keep — rename only. The problem being solved never had “AppInit” in its logic.</w:t>
            </w:r>
          </w:p>
        </w:tc>
      </w:tr>
      <w:tr>
        <w:tc>
          <w:tcPr>
            <w:tcW w:type="dxa" w:w="4200"/>
            <w:shd w:fill="F2F2F2" w:val="clear"/>
            <w:tcMar>
              <w:top w:type="dxa" w:w="90"/>
              <w:left w:type="dxa" w:w="110"/>
              <w:bottom w:type="dxa" w:w="90"/>
              <w:right w:type="dxa" w:w="110"/>
            </w:tcMar>
          </w:tcPr>
          <w:p>
            <w:r>
              <w:rPr>
                <w:b w:val="false"/>
                <w:bCs w:val="false"/>
                <w:color w:val="000000"/>
                <w:sz w:val="19"/>
                <w:szCs w:val="19"/>
              </w:rPr>
              <w:t xml:space="preserve">10-year release blueprint structure (Year 1–5… by version number)</w:t>
            </w:r>
          </w:p>
        </w:tc>
        <w:tc>
          <w:tcPr>
            <w:tcW w:type="dxa" w:w="5100"/>
            <w:shd w:fill="F2F2F2" w:val="clear"/>
            <w:tcMar>
              <w:top w:type="dxa" w:w="90"/>
              <w:left w:type="dxa" w:w="110"/>
              <w:bottom w:type="dxa" w:w="90"/>
              <w:right w:type="dxa" w:w="110"/>
            </w:tcMar>
          </w:tcPr>
          <w:p>
            <w:r>
              <w:rPr>
                <w:b w:val="false"/>
                <w:bCs w:val="false"/>
                <w:color w:val="000000"/>
                <w:sz w:val="19"/>
                <w:szCs w:val="19"/>
              </w:rPr>
              <w:t xml:space="preserve">Keep the STRUCTURE. Replace every AppInit-specific fact (Prisma, Clerk, package names @appinit/*) with what's actually true (Drizzle, custom auth, @syncr/*).</w:t>
            </w:r>
          </w:p>
        </w:tc>
      </w:tr>
      <w:tr>
        <w:tc>
          <w:tcPr>
            <w:tcW w:type="dxa" w:w="4200"/>
            <w:tcMar>
              <w:top w:type="dxa" w:w="90"/>
              <w:left w:type="dxa" w:w="110"/>
              <w:bottom w:type="dxa" w:w="90"/>
              <w:right w:type="dxa" w:w="110"/>
            </w:tcMar>
          </w:tcPr>
          <w:p>
            <w:r>
              <w:rPr>
                <w:b w:val="false"/>
                <w:bCs w:val="false"/>
                <w:color w:val="000000"/>
                <w:sz w:val="19"/>
                <w:szCs w:val="19"/>
              </w:rPr>
              <w:t xml:space="preserve">“Universal Development OS” 10-pillar architecture blueprint (appinit-aab.jsx)</w:t>
            </w:r>
          </w:p>
        </w:tc>
        <w:tc>
          <w:tcPr>
            <w:tcW w:type="dxa" w:w="5100"/>
            <w:tcMar>
              <w:top w:type="dxa" w:w="90"/>
              <w:left w:type="dxa" w:w="110"/>
              <w:bottom w:type="dxa" w:w="90"/>
              <w:right w:type="dxa" w:w="110"/>
            </w:tcMar>
          </w:tcPr>
          <w:p>
            <w:r>
              <w:rPr>
                <w:b w:val="false"/>
                <w:bCs w:val="false"/>
                <w:color w:val="000000"/>
                <w:sz w:val="19"/>
                <w:szCs w:val="19"/>
              </w:rPr>
              <w:t xml:space="preserve">Keep as Year 3–5+ aspirational north star ONLY. Do not treat any of its 10 pillars as near-term scope — see §4.</w:t>
            </w:r>
          </w:p>
        </w:tc>
      </w:tr>
      <w:tr>
        <w:tc>
          <w:tcPr>
            <w:tcW w:type="dxa" w:w="4200"/>
            <w:shd w:fill="F2F2F2" w:val="clear"/>
            <w:tcMar>
              <w:top w:type="dxa" w:w="90"/>
              <w:left w:type="dxa" w:w="110"/>
              <w:bottom w:type="dxa" w:w="90"/>
              <w:right w:type="dxa" w:w="110"/>
            </w:tcMar>
          </w:tcPr>
          <w:p>
            <w:r>
              <w:rPr>
                <w:b w:val="false"/>
                <w:bCs w:val="false"/>
                <w:color w:val="000000"/>
                <w:sz w:val="19"/>
                <w:szCs w:val="19"/>
              </w:rPr>
              <w:t xml:space="preserve">Frontend architecture review (Next.js App Router, shadcn/ui, TanStack Query)</w:t>
            </w:r>
          </w:p>
        </w:tc>
        <w:tc>
          <w:tcPr>
            <w:tcW w:type="dxa" w:w="5100"/>
            <w:shd w:fill="F2F2F2" w:val="clear"/>
            <w:tcMar>
              <w:top w:type="dxa" w:w="90"/>
              <w:left w:type="dxa" w:w="110"/>
              <w:bottom w:type="dxa" w:w="90"/>
              <w:right w:type="dxa" w:w="110"/>
            </w:tcMar>
          </w:tcPr>
          <w:p>
            <w:r>
              <w:rPr>
                <w:b w:val="false"/>
                <w:bCs w:val="false"/>
                <w:color w:val="000000"/>
                <w:sz w:val="19"/>
                <w:szCs w:val="19"/>
              </w:rPr>
              <w:t xml:space="preserve">Keep, ratify, ONLY correct Clerk → real custom auth. See §3.</w:t>
            </w:r>
          </w:p>
        </w:tc>
      </w:tr>
      <w:tr>
        <w:tc>
          <w:tcPr>
            <w:tcW w:type="dxa" w:w="4200"/>
            <w:tcMar>
              <w:top w:type="dxa" w:w="90"/>
              <w:left w:type="dxa" w:w="110"/>
              <w:bottom w:type="dxa" w:w="90"/>
              <w:right w:type="dxa" w:w="110"/>
            </w:tcMar>
          </w:tcPr>
          <w:p>
            <w:r>
              <w:rPr>
                <w:b w:val="false"/>
                <w:bCs w:val="false"/>
                <w:color w:val="000000"/>
                <w:sz w:val="19"/>
                <w:szCs w:val="19"/>
              </w:rPr>
              <w:t xml:space="preserve">Solo-founder mentor/roadmap doc's operating discipline (“ship something real every sprint,” weekly review cadence)</w:t>
            </w:r>
          </w:p>
        </w:tc>
        <w:tc>
          <w:tcPr>
            <w:tcW w:type="dxa" w:w="5100"/>
            <w:tcMar>
              <w:top w:type="dxa" w:w="90"/>
              <w:left w:type="dxa" w:w="110"/>
              <w:bottom w:type="dxa" w:w="90"/>
              <w:right w:type="dxa" w:w="110"/>
            </w:tcMar>
          </w:tcPr>
          <w:p>
            <w:r>
              <w:rPr>
                <w:b w:val="false"/>
                <w:bCs w:val="false"/>
                <w:color w:val="000000"/>
                <w:sz w:val="19"/>
                <w:szCs w:val="19"/>
              </w:rPr>
              <w:t xml:space="preserve">Keep entirely — this is good practice independent of any tech-stack fact.</w:t>
            </w:r>
          </w:p>
        </w:tc>
      </w:tr>
    </w:tbl>
    <w:p>
      <w:pPr>
        <w:spacing w:after="160"/>
      </w:pPr>
      <w:r>
        <w:t xml:space="preserve"/>
      </w:r>
    </w:p>
    <w:p>
      <w:pPr>
        <w:pStyle w:val="Heading1"/>
        <w:spacing w:after="160" w:before="400"/>
      </w:pPr>
      <w:r>
        <w:t xml:space="preserve">1. Vision &amp; Mission</w:t>
      </w:r>
    </w:p>
    <w:p>
      <w:pPr>
        <w:pStyle w:val="Heading2"/>
        <w:spacing w:after="120" w:before="280"/>
      </w:pPr>
      <w:r>
        <w:t xml:space="preserve">Vision</w:t>
      </w:r>
    </w:p>
    <w:p>
      <w:pPr>
        <w:spacing w:after="160"/>
      </w:pPr>
      <w:r>
        <w:t xml:space="preserve">Syncr keeps shared code consistent across every repository an organization owns, in a world where AI coding assistants make it cheaper than ever to generate a slightly different version of the same component in every repo that needs one.</w:t>
      </w:r>
    </w:p>
    <w:p>
      <w:pPr>
        <w:pStyle w:val="Heading2"/>
        <w:spacing w:after="120" w:before="280"/>
      </w:pPr>
      <w:r>
        <w:t xml:space="preserve">Mission</w:t>
      </w:r>
    </w:p>
    <w:p>
      <w:pPr>
        <w:spacing w:after="160"/>
      </w:pPr>
      <w:r>
        <w:t xml:space="preserve">Ship a component once. Know everywhere it's used. See the moment it drifts. Fix it with a real, reviewable pull request — automatically.</w:t>
      </w:r>
    </w:p>
    <w:p>
      <w:pPr>
        <w:pStyle w:val="Heading2"/>
        <w:spacing w:after="120" w:before="280"/>
      </w:pPr>
      <w:r>
        <w:t xml:space="preserve">The industry problem, stated precisely</w:t>
      </w:r>
    </w:p>
    <w:p>
      <w:pPr>
        <w:spacing w:after="160"/>
      </w:pPr>
      <w:r>
        <w:t xml:space="preserve">Cursor, GitHub Copilot, ChatGPT, and Claude are extraordinary at generating and editing code within a session, in one repository at a time. None of them maintain a standing, queryable registry of “every repository across an organization that copied this specific component, and which ones have since diverged.” That is not a context-window limitation that better models close over time — it is a different kind of system: a persistent, cross-repo index that exists independently of any single coding session.</w:t>
      </w:r>
    </w:p>
    <w:p>
      <w:pPr>
        <w:spacing w:after="160"/>
      </w:pPr>
      <w:r>
        <w:t xml:space="preserve">The mechanism worth being explicit about: an AI pair programmer makes it cheap to regenerate a Button component slightly differently in every repo that needs one, fast, with no mechanism to know a canonical version already exists elsewhere in the org. More AI-generated code, generated faster, across more repos, means more silent component drift — a retrieval-and-governance gap, not a generation-quality gap, and one that grows as the underlying models improve rather than shrinking.</w:t>
      </w:r>
    </w:p>
    <w:p>
      <w:pPr>
        <w:pBdr>
          <w:left w:val="single" w:color="B00020" w:sz="18" w:space="8"/>
        </w:pBdr>
        <w:spacing w:after="200" w:before="80"/>
        <w:ind w:left="200"/>
      </w:pPr>
      <w:r>
        <w:rPr>
          <w:i/>
          <w:iCs/>
          <w:color w:val="444444"/>
        </w:rPr>
        <w:t xml:space="preserve">Honest counter-risk, tracked not dismissed: GitHub already has repo-scale access across every org on the platform and is extending Copilot Enterprise with governance-adjacent features. A well-funded competitor building native component-drift detection starts with a distribution advantage Syncr doesn't have. This is exactly why Year 1 (§2) is entirely about proving the wedge with a real agency before assuming there's time to build a moat around it.</w:t>
      </w:r>
    </w:p>
    <w:p>
      <w:pPr>
        <w:pStyle w:val="Heading1"/>
        <w:spacing w:after="160" w:before="400"/>
      </w:pPr>
      <w:r>
        <w:t xml:space="preserve">2. Five-Year Horizon</w:t>
      </w:r>
    </w:p>
    <w:p>
      <w:pPr>
        <w:spacing w:after="160"/>
      </w:pPr>
      <w:r>
        <w:t xml:space="preserve">Each year has one job. Don't start the next year's job early — that's the same scope-creep failure mode already caught once in this project (the 134-screen “MVP” definition that contradicted the real roadmap).</w:t>
      </w:r>
    </w:p>
    <w:p>
      <w:pPr>
        <w:pStyle w:val="Heading2"/>
        <w:spacing w:after="120" w:before="280"/>
      </w:pPr>
      <w:r>
        <w:t xml:space="preserve">Year 1 (current) — Prove It Works</w:t>
      </w:r>
    </w:p>
    <w:p>
      <w:pPr>
        <w:spacing w:after="160"/>
      </w:pPr>
      <w:r>
        <w:t xml:space="preserve">Job: one real agency connects a repo, sees real drift, merges a real auto-generated PR. Nothing else matters this year — not billing, not CVE scanning, not custom roles.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700"/>
        <w:gridCol w:w="4600"/>
      </w:tblGrid>
      <w:tr>
        <w:trPr>
          <w:tblHeader/>
        </w:trPr>
        <w:tc>
          <w:tcPr>
            <w:tcW w:type="dxa" w:w="4700"/>
            <w:shd w:fill="2E5AAC" w:val="clear"/>
            <w:tcMar>
              <w:top w:type="dxa" w:w="90"/>
              <w:left w:type="dxa" w:w="110"/>
              <w:bottom w:type="dxa" w:w="90"/>
              <w:right w:type="dxa" w:w="110"/>
            </w:tcMar>
          </w:tcPr>
          <w:p>
            <w:r>
              <w:rPr>
                <w:b/>
                <w:bCs/>
                <w:color w:val="FFFFFF"/>
                <w:sz w:val="19"/>
                <w:szCs w:val="19"/>
              </w:rPr>
              <w:t xml:space="preserve">Milestone</w:t>
            </w:r>
          </w:p>
        </w:tc>
        <w:tc>
          <w:tcPr>
            <w:tcW w:type="dxa" w:w="4600"/>
            <w:shd w:fill="2E5AAC" w:val="clear"/>
            <w:tcMar>
              <w:top w:type="dxa" w:w="90"/>
              <w:left w:type="dxa" w:w="110"/>
              <w:bottom w:type="dxa" w:w="90"/>
              <w:right w:type="dxa" w:w="110"/>
            </w:tcMar>
          </w:tcPr>
          <w:p>
            <w:r>
              <w:rPr>
                <w:b/>
                <w:bCs/>
                <w:color w:val="FFFFFF"/>
                <w:sz w:val="19"/>
                <w:szCs w:val="19"/>
              </w:rPr>
              <w:t xml:space="preserve">What it proves</w:t>
            </w:r>
          </w:p>
        </w:tc>
      </w:tr>
      <w:tr>
        <w:tc>
          <w:tcPr>
            <w:tcW w:type="dxa" w:w="4700"/>
            <w:tcMar>
              <w:top w:type="dxa" w:w="90"/>
              <w:left w:type="dxa" w:w="110"/>
              <w:bottom w:type="dxa" w:w="90"/>
              <w:right w:type="dxa" w:w="110"/>
            </w:tcMar>
          </w:tcPr>
          <w:p>
            <w:r>
              <w:rPr>
                <w:b w:val="false"/>
                <w:bCs w:val="false"/>
                <w:color w:val="000000"/>
                <w:sz w:val="19"/>
                <w:szCs w:val="19"/>
              </w:rPr>
              <w:t xml:space="preserve">v0.1.0 — GitHub App installed, webhooks flowing</w:t>
            </w:r>
          </w:p>
        </w:tc>
        <w:tc>
          <w:tcPr>
            <w:tcW w:type="dxa" w:w="4600"/>
            <w:tcMar>
              <w:top w:type="dxa" w:w="90"/>
              <w:left w:type="dxa" w:w="110"/>
              <w:bottom w:type="dxa" w:w="90"/>
              <w:right w:type="dxa" w:w="110"/>
            </w:tcMar>
          </w:tcPr>
          <w:p>
            <w:r>
              <w:rPr>
                <w:b w:val="false"/>
                <w:bCs w:val="false"/>
                <w:color w:val="000000"/>
                <w:sz w:val="19"/>
                <w:szCs w:val="19"/>
              </w:rPr>
              <w:t xml:space="preserve">The integration layer works</w:t>
            </w:r>
          </w:p>
        </w:tc>
      </w:tr>
      <w:tr>
        <w:tc>
          <w:tcPr>
            <w:tcW w:type="dxa" w:w="4700"/>
            <w:shd w:fill="F2F2F2" w:val="clear"/>
            <w:tcMar>
              <w:top w:type="dxa" w:w="90"/>
              <w:left w:type="dxa" w:w="110"/>
              <w:bottom w:type="dxa" w:w="90"/>
              <w:right w:type="dxa" w:w="110"/>
            </w:tcMar>
          </w:tcPr>
          <w:p>
            <w:r>
              <w:rPr>
                <w:b w:val="false"/>
                <w:bCs w:val="false"/>
                <w:color w:val="000000"/>
                <w:sz w:val="19"/>
                <w:szCs w:val="19"/>
              </w:rPr>
              <w:t xml:space="preserve">v0.3.0 — CLI publish/pull round-trips correctly</w:t>
            </w:r>
          </w:p>
        </w:tc>
        <w:tc>
          <w:tcPr>
            <w:tcW w:type="dxa" w:w="4600"/>
            <w:shd w:fill="F2F2F2" w:val="clear"/>
            <w:tcMar>
              <w:top w:type="dxa" w:w="90"/>
              <w:left w:type="dxa" w:w="110"/>
              <w:bottom w:type="dxa" w:w="90"/>
              <w:right w:type="dxa" w:w="110"/>
            </w:tcMar>
          </w:tcPr>
          <w:p>
            <w:r>
              <w:rPr>
                <w:b w:val="false"/>
                <w:bCs w:val="false"/>
                <w:color w:val="000000"/>
                <w:sz w:val="19"/>
                <w:szCs w:val="19"/>
              </w:rPr>
              <w:t xml:space="preserve">The registry is real, not a demo</w:t>
            </w:r>
          </w:p>
        </w:tc>
      </w:tr>
      <w:tr>
        <w:tc>
          <w:tcPr>
            <w:tcW w:type="dxa" w:w="4700"/>
            <w:tcMar>
              <w:top w:type="dxa" w:w="90"/>
              <w:left w:type="dxa" w:w="110"/>
              <w:bottom w:type="dxa" w:w="90"/>
              <w:right w:type="dxa" w:w="110"/>
            </w:tcMar>
          </w:tcPr>
          <w:p>
            <w:r>
              <w:rPr>
                <w:b w:val="false"/>
                <w:bCs w:val="false"/>
                <w:color w:val="000000"/>
                <w:sz w:val="19"/>
                <w:szCs w:val="19"/>
              </w:rPr>
              <w:t xml:space="preserve">v0.5.0 — Drift detected, proposal generated</w:t>
            </w:r>
          </w:p>
        </w:tc>
        <w:tc>
          <w:tcPr>
            <w:tcW w:type="dxa" w:w="4600"/>
            <w:tcMar>
              <w:top w:type="dxa" w:w="90"/>
              <w:left w:type="dxa" w:w="110"/>
              <w:bottom w:type="dxa" w:w="90"/>
              <w:right w:type="dxa" w:w="110"/>
            </w:tcMar>
          </w:tcPr>
          <w:p>
            <w:r>
              <w:rPr>
                <w:b w:val="false"/>
                <w:bCs w:val="false"/>
                <w:color w:val="000000"/>
                <w:sz w:val="19"/>
                <w:szCs w:val="19"/>
              </w:rPr>
              <w:t xml:space="preserve">The core detection thesis holds — the single riskiest unproven piece, per §5</w:t>
            </w:r>
          </w:p>
        </w:tc>
      </w:tr>
      <w:tr>
        <w:tc>
          <w:tcPr>
            <w:tcW w:type="dxa" w:w="4700"/>
            <w:shd w:fill="F2F2F2" w:val="clear"/>
            <w:tcMar>
              <w:top w:type="dxa" w:w="90"/>
              <w:left w:type="dxa" w:w="110"/>
              <w:bottom w:type="dxa" w:w="90"/>
              <w:right w:type="dxa" w:w="110"/>
            </w:tcMar>
          </w:tcPr>
          <w:p>
            <w:r>
              <w:rPr>
                <w:b w:val="false"/>
                <w:bCs w:val="false"/>
                <w:color w:val="000000"/>
                <w:sz w:val="19"/>
                <w:szCs w:val="19"/>
              </w:rPr>
              <w:t xml:space="preserve">v0.8.0 — Real PR opened, merged from dashboard</w:t>
            </w:r>
          </w:p>
        </w:tc>
        <w:tc>
          <w:tcPr>
            <w:tcW w:type="dxa" w:w="4600"/>
            <w:shd w:fill="F2F2F2" w:val="clear"/>
            <w:tcMar>
              <w:top w:type="dxa" w:w="90"/>
              <w:left w:type="dxa" w:w="110"/>
              <w:bottom w:type="dxa" w:w="90"/>
              <w:right w:type="dxa" w:w="110"/>
            </w:tcMar>
          </w:tcPr>
          <w:p>
            <w:r>
              <w:rPr>
                <w:b w:val="false"/>
                <w:bCs w:val="false"/>
                <w:color w:val="000000"/>
                <w:sz w:val="19"/>
                <w:szCs w:val="19"/>
              </w:rPr>
              <w:t xml:space="preserve">The full loop works end to end — pilot-ready</w:t>
            </w:r>
          </w:p>
        </w:tc>
      </w:tr>
      <w:tr>
        <w:tc>
          <w:tcPr>
            <w:tcW w:type="dxa" w:w="4700"/>
            <w:tcMar>
              <w:top w:type="dxa" w:w="90"/>
              <w:left w:type="dxa" w:w="110"/>
              <w:bottom w:type="dxa" w:w="90"/>
              <w:right w:type="dxa" w:w="110"/>
            </w:tcMar>
          </w:tcPr>
          <w:p>
            <w:r>
              <w:rPr>
                <w:b w:val="false"/>
                <w:bCs w:val="false"/>
                <w:color w:val="000000"/>
                <w:sz w:val="19"/>
                <w:szCs w:val="19"/>
              </w:rPr>
              <w:t xml:space="preserve">v1.0.0 — One real agency has used the full loop on a real repo</w:t>
            </w:r>
          </w:p>
        </w:tc>
        <w:tc>
          <w:tcPr>
            <w:tcW w:type="dxa" w:w="4600"/>
            <w:tcMar>
              <w:top w:type="dxa" w:w="90"/>
              <w:left w:type="dxa" w:w="110"/>
              <w:bottom w:type="dxa" w:w="90"/>
              <w:right w:type="dxa" w:w="110"/>
            </w:tcMar>
          </w:tcPr>
          <w:p>
            <w:r>
              <w:rPr>
                <w:b w:val="false"/>
                <w:bCs w:val="false"/>
                <w:color w:val="000000"/>
                <w:sz w:val="19"/>
                <w:szCs w:val="19"/>
              </w:rPr>
              <w:t xml:space="preserve">Year 1's actual job is done — not a date, this exact outcome</w:t>
            </w:r>
          </w:p>
        </w:tc>
      </w:tr>
    </w:tbl>
    <w:p>
      <w:pPr>
        <w:spacing w:after="160"/>
      </w:pPr>
      <w:r>
        <w:t xml:space="preserve"/>
      </w:r>
    </w:p>
    <w:p>
      <w:pPr>
        <w:pStyle w:val="Heading2"/>
        <w:spacing w:after="120" w:before="280"/>
      </w:pPr>
      <w:r>
        <w:t xml:space="preserve">Year 2 — Prove It's Worth Paying For</w:t>
      </w:r>
    </w:p>
    <w:p>
      <w:pPr>
        <w:spacing w:after="160"/>
      </w:pPr>
      <w:r>
        <w:t xml:space="preserve">Job: convert the Year 1 pilot relationship (and 3–5 more like it) into paying customers. Everything here is gated on Year 1's outcome actually happening — building Year 2 features before that is the roadmap's own explicitly-stated mistake to avoid.</w:t>
      </w:r>
    </w:p>
    <w:p>
      <w:pPr>
        <w:pStyle w:val="ListParagraph"/>
        <w:numPr>
          <w:ilvl w:val="0"/>
          <w:numId w:val="1"/>
        </w:numPr>
        <w:spacing w:after="70"/>
      </w:pPr>
      <w:r>
        <w:t xml:space="preserve">Billing (Stripe) — FREE / STARTER $49 / AGENCY $199 / STUDIO $499 / ENTERPRISE custom. This pricing anchor is inherited from the original planning pass and is still a reasonable starting point — validate against what the Year 1 pilot agency actually says they'd pay, don't assume it.</w:t>
      </w:r>
    </w:p>
    <w:p>
      <w:pPr>
        <w:pStyle w:val="ListParagraph"/>
        <w:numPr>
          <w:ilvl w:val="0"/>
          <w:numId w:val="1"/>
        </w:numPr>
        <w:spacing w:after="70"/>
      </w:pPr>
      <w:r>
        <w:t xml:space="preserve">CVE scanning (the schema already supports it — scans, vulnerabilities tables exist, unused). Second differentiator, built only after the first one (drift detection) is validated as sellable.</w:t>
      </w:r>
    </w:p>
    <w:p>
      <w:pPr>
        <w:pStyle w:val="ListParagraph"/>
        <w:numPr>
          <w:ilvl w:val="0"/>
          <w:numId w:val="1"/>
        </w:numPr>
        <w:spacing w:after="70"/>
      </w:pPr>
      <w:r>
        <w:t xml:space="preserve">Custom RBAC roles beyond the four system roles — only when a real paying customer asks, not speculatively.</w:t>
      </w:r>
    </w:p>
    <w:p>
      <w:pPr>
        <w:pStyle w:val="ListParagraph"/>
        <w:numPr>
          <w:ilvl w:val="0"/>
          <w:numId w:val="1"/>
        </w:numPr>
        <w:spacing w:after="70"/>
      </w:pPr>
      <w:r>
        <w:t xml:space="preserve">First real operational hardening: alerting, on-call-for-one (see §6), backup/restore drill actually performed once, not just documented.</w:t>
      </w:r>
    </w:p>
    <w:p>
      <w:pPr>
        <w:pStyle w:val="Heading2"/>
        <w:spacing w:after="120" w:before="280"/>
      </w:pPr>
      <w:r>
        <w:t xml:space="preserve">Year 3 — Expand the Wedge, Selectively</w:t>
      </w:r>
    </w:p>
    <w:p>
      <w:pPr>
        <w:spacing w:after="160"/>
      </w:pPr>
      <w:r>
        <w:t xml:space="preserve">Job: turn one working product into a platform with 2–3 more paid surfaces, chosen from validated customer requests — not from the full 10-pillar “Universal Development OS” blueprint wholesale. That blueprint is a genuinely useful long-range map (kept, see §4), but treating all 10 pillars as a Year 3 backlog would repeat the exact scope-inflation mistake already caught once.</w:t>
      </w:r>
    </w:p>
    <w:p>
      <w:pPr>
        <w:pStyle w:val="ListParagraph"/>
        <w:numPr>
          <w:ilvl w:val="0"/>
          <w:numId w:val="1"/>
        </w:numPr>
        <w:spacing w:after="70"/>
      </w:pPr>
      <w:r>
        <w:t xml:space="preserve">Multi-workspace UI — the schema already supports it (org → workspace → project → repository, built since Year 1); this is a UI-only addition, no migration needed. Natural Year 3 candidate since agencies splitting “Client A” vs “Client B” workspaces is a real, likely-requested feature by this point.</w:t>
      </w:r>
    </w:p>
    <w:p>
      <w:pPr>
        <w:pStyle w:val="ListParagraph"/>
        <w:numPr>
          <w:ilvl w:val="0"/>
          <w:numId w:val="1"/>
        </w:numPr>
        <w:spacing w:after="70"/>
      </w:pPr>
      <w:r>
        <w:t xml:space="preserve">Non-GitHub provider support (GitLab/Bitbucket) — only if Year 1–2 customers are asking, and only because the detection service was deliberately written against a provider-shaped interface from the start (Technical Design §7) specifically to make this possible without a rewrite.</w:t>
      </w:r>
    </w:p>
    <w:p>
      <w:pPr>
        <w:pStyle w:val="ListParagraph"/>
        <w:numPr>
          <w:ilvl w:val="0"/>
          <w:numId w:val="1"/>
        </w:numPr>
        <w:spacing w:after="70"/>
      </w:pPr>
      <w:r>
        <w:t xml:space="preserve">One AAB pillar, chosen by actual demand — most likely candidate is a Plugin/Marketplace surface for component templates, since it's the most directly adjacent to the existing registry rather than a new product line.</w:t>
      </w:r>
    </w:p>
    <w:p>
      <w:pPr>
        <w:pStyle w:val="Heading2"/>
        <w:spacing w:after="120" w:before="280"/>
      </w:pPr>
      <w:r>
        <w:t xml:space="preserve">Years 4–5 — Category Position</w:t>
      </w:r>
    </w:p>
    <w:p>
      <w:pPr>
        <w:spacing w:after="160"/>
      </w:pPr>
      <w:r>
        <w:t xml:space="preserve">Job: be the recognized governance layer for shared code in an AI-generated-code world — not “a sync tool,” a category. This is the AAB blueprint's long-range ambition (Federation &amp; Enterprise, Governance &amp; Compliance Layer, Ecosystem Intelligence) and it is honestly a 4–5-year outcome, not a Year 1–2 one — stated here so it's not lost, and explicitly not scheduled.</w:t>
      </w:r>
    </w:p>
    <w:p>
      <w:pPr>
        <w:pBdr>
          <w:left w:val="single" w:color="B26A00" w:sz="18" w:space="8"/>
        </w:pBdr>
        <w:spacing w:after="200" w:before="80"/>
        <w:ind w:left="200"/>
      </w:pPr>
      <w:r>
        <w:rPr>
          <w:i/>
          <w:iCs/>
          <w:color w:val="444444"/>
        </w:rPr>
        <w:t xml:space="preserve">The single biggest risk to reaching Year 4–5 isn't a missing feature — it's Year 1's detection algorithm turning out to be inaccurate enough that no agency trusts it past a pilot. Every later year is downstream of that one technical bet paying off. See §5.</w:t>
      </w:r>
    </w:p>
    <w:p>
      <w:pPr>
        <w:pStyle w:val="Heading1"/>
        <w:spacing w:after="160" w:before="400"/>
      </w:pPr>
      <w:r>
        <w:t xml:space="preserve">3. Frontend Framework Decision</w:t>
      </w:r>
    </w:p>
    <w:p>
      <w:pPr>
        <w:spacing w:after="160"/>
      </w:pPr>
      <w:r>
        <w:t xml:space="preserve">This was already decided once, correctly, in the prior planning pass (“08 Staff Frontend Engineer” review) — it needs ratifying and one correction, not re-litigating from scratch.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00"/>
      </w:tblGrid>
      <w:tr>
        <w:trPr>
          <w:tblHeader/>
        </w:trPr>
        <w:tc>
          <w:tcPr>
            <w:tcW w:type="dxa" w:w="1800"/>
            <w:shd w:fill="2E5AAC" w:val="clear"/>
            <w:tcMar>
              <w:top w:type="dxa" w:w="90"/>
              <w:left w:type="dxa" w:w="110"/>
              <w:bottom w:type="dxa" w:w="90"/>
              <w:right w:type="dxa" w:w="110"/>
            </w:tcMar>
          </w:tcPr>
          <w:p>
            <w:r>
              <w:rPr>
                <w:b/>
                <w:bCs/>
                <w:color w:val="FFFFFF"/>
                <w:sz w:val="19"/>
                <w:szCs w:val="19"/>
              </w:rPr>
              <w:t xml:space="preserve">Decision</w:t>
            </w:r>
          </w:p>
        </w:tc>
        <w:tc>
          <w:tcPr>
            <w:tcW w:type="dxa" w:w="2400"/>
            <w:shd w:fill="2E5AAC" w:val="clear"/>
            <w:tcMar>
              <w:top w:type="dxa" w:w="90"/>
              <w:left w:type="dxa" w:w="110"/>
              <w:bottom w:type="dxa" w:w="90"/>
              <w:right w:type="dxa" w:w="110"/>
            </w:tcMar>
          </w:tcPr>
          <w:p>
            <w:r>
              <w:rPr>
                <w:b/>
                <w:bCs/>
                <w:color w:val="FFFFFF"/>
                <w:sz w:val="19"/>
                <w:szCs w:val="19"/>
              </w:rPr>
              <w:t xml:space="preserve">Choice</w:t>
            </w:r>
          </w:p>
        </w:tc>
        <w:tc>
          <w:tcPr>
            <w:tcW w:type="dxa" w:w="5100"/>
            <w:shd w:fill="2E5AAC" w:val="clear"/>
            <w:tcMar>
              <w:top w:type="dxa" w:w="90"/>
              <w:left w:type="dxa" w:w="110"/>
              <w:bottom w:type="dxa" w:w="90"/>
              <w:right w:type="dxa" w:w="110"/>
            </w:tcMar>
          </w:tcPr>
          <w:p>
            <w:r>
              <w:rPr>
                <w:b/>
                <w:bCs/>
                <w:color w:val="FFFFFF"/>
                <w:sz w:val="19"/>
                <w:szCs w:val="19"/>
              </w:rPr>
              <w:t xml:space="preserve">Why</w:t>
            </w:r>
          </w:p>
        </w:tc>
      </w:tr>
      <w:tr>
        <w:tc>
          <w:tcPr>
            <w:tcW w:type="dxa" w:w="1800"/>
            <w:tcMar>
              <w:top w:type="dxa" w:w="90"/>
              <w:left w:type="dxa" w:w="110"/>
              <w:bottom w:type="dxa" w:w="90"/>
              <w:right w:type="dxa" w:w="110"/>
            </w:tcMar>
          </w:tcPr>
          <w:p>
            <w:r>
              <w:rPr>
                <w:b w:val="false"/>
                <w:bCs w:val="false"/>
                <w:color w:val="000000"/>
                <w:sz w:val="19"/>
                <w:szCs w:val="19"/>
              </w:rPr>
              <w:t xml:space="preserve">Framework</w:t>
            </w:r>
          </w:p>
        </w:tc>
        <w:tc>
          <w:tcPr>
            <w:tcW w:type="dxa" w:w="2400"/>
            <w:tcMar>
              <w:top w:type="dxa" w:w="90"/>
              <w:left w:type="dxa" w:w="110"/>
              <w:bottom w:type="dxa" w:w="90"/>
              <w:right w:type="dxa" w:w="110"/>
            </w:tcMar>
          </w:tcPr>
          <w:p>
            <w:r>
              <w:rPr>
                <w:b w:val="false"/>
                <w:bCs w:val="false"/>
                <w:color w:val="000000"/>
                <w:sz w:val="19"/>
                <w:szCs w:val="19"/>
              </w:rPr>
              <w:t xml:space="preserve">Next.js 15, App Router</w:t>
            </w:r>
          </w:p>
        </w:tc>
        <w:tc>
          <w:tcPr>
            <w:tcW w:type="dxa" w:w="5100"/>
            <w:tcMar>
              <w:top w:type="dxa" w:w="90"/>
              <w:left w:type="dxa" w:w="110"/>
              <w:bottom w:type="dxa" w:w="90"/>
              <w:right w:type="dxa" w:w="110"/>
            </w:tcMar>
          </w:tcPr>
          <w:p>
            <w:r>
              <w:rPr>
                <w:b w:val="false"/>
                <w:bCs w:val="false"/>
                <w:color w:val="000000"/>
                <w:sz w:val="19"/>
                <w:szCs w:val="19"/>
              </w:rPr>
              <w:t xml:space="preserve">You already know React. App Router's Server Components mean the dashboard's data-heavy pages (repo list, drift status) render on the server by default — faster, smaller client bundle, and it's the correct default per the existing frontend review: “the dashboard overview page should have zero client components at the top level.”</w:t>
            </w:r>
          </w:p>
        </w:tc>
      </w:tr>
      <w:tr>
        <w:tc>
          <w:tcPr>
            <w:tcW w:type="dxa" w:w="1800"/>
            <w:shd w:fill="F2F2F2" w:val="clear"/>
            <w:tcMar>
              <w:top w:type="dxa" w:w="90"/>
              <w:left w:type="dxa" w:w="110"/>
              <w:bottom w:type="dxa" w:w="90"/>
              <w:right w:type="dxa" w:w="110"/>
            </w:tcMar>
          </w:tcPr>
          <w:p>
            <w:r>
              <w:rPr>
                <w:b w:val="false"/>
                <w:bCs w:val="false"/>
                <w:color w:val="000000"/>
                <w:sz w:val="19"/>
                <w:szCs w:val="19"/>
              </w:rPr>
              <w:t xml:space="preserve">Component library</w:t>
            </w:r>
          </w:p>
        </w:tc>
        <w:tc>
          <w:tcPr>
            <w:tcW w:type="dxa" w:w="2400"/>
            <w:shd w:fill="F2F2F2" w:val="clear"/>
            <w:tcMar>
              <w:top w:type="dxa" w:w="90"/>
              <w:left w:type="dxa" w:w="110"/>
              <w:bottom w:type="dxa" w:w="90"/>
              <w:right w:type="dxa" w:w="110"/>
            </w:tcMar>
          </w:tcPr>
          <w:p>
            <w:r>
              <w:rPr>
                <w:b w:val="false"/>
                <w:bCs w:val="false"/>
                <w:color w:val="000000"/>
                <w:sz w:val="19"/>
                <w:szCs w:val="19"/>
              </w:rPr>
              <w:t xml:space="preserve">shadcn/ui + Tailwind</w:t>
            </w:r>
          </w:p>
        </w:tc>
        <w:tc>
          <w:tcPr>
            <w:tcW w:type="dxa" w:w="5100"/>
            <w:shd w:fill="F2F2F2" w:val="clear"/>
            <w:tcMar>
              <w:top w:type="dxa" w:w="90"/>
              <w:left w:type="dxa" w:w="110"/>
              <w:bottom w:type="dxa" w:w="90"/>
              <w:right w:type="dxa" w:w="110"/>
            </w:tcMar>
          </w:tcPr>
          <w:p>
            <w:r>
              <w:rPr>
                <w:b w:val="false"/>
                <w:bCs w:val="false"/>
                <w:color w:val="000000"/>
                <w:sz w:val="19"/>
                <w:szCs w:val="19"/>
              </w:rPr>
              <w:t xml:space="preserve">Copy-in components you own and can modify, not an opaque npm dependency. Matches the CLI's own template system philosophy (Technical Design §2.2) — consistent taste across the whole product, not a coincidence.</w:t>
            </w:r>
          </w:p>
        </w:tc>
      </w:tr>
      <w:tr>
        <w:tc>
          <w:tcPr>
            <w:tcW w:type="dxa" w:w="1800"/>
            <w:tcMar>
              <w:top w:type="dxa" w:w="90"/>
              <w:left w:type="dxa" w:w="110"/>
              <w:bottom w:type="dxa" w:w="90"/>
              <w:right w:type="dxa" w:w="110"/>
            </w:tcMar>
          </w:tcPr>
          <w:p>
            <w:r>
              <w:rPr>
                <w:b w:val="false"/>
                <w:bCs w:val="false"/>
                <w:color w:val="000000"/>
                <w:sz w:val="19"/>
                <w:szCs w:val="19"/>
              </w:rPr>
              <w:t xml:space="preserve">Server state</w:t>
            </w:r>
          </w:p>
        </w:tc>
        <w:tc>
          <w:tcPr>
            <w:tcW w:type="dxa" w:w="2400"/>
            <w:tcMar>
              <w:top w:type="dxa" w:w="90"/>
              <w:left w:type="dxa" w:w="110"/>
              <w:bottom w:type="dxa" w:w="90"/>
              <w:right w:type="dxa" w:w="110"/>
            </w:tcMar>
          </w:tcPr>
          <w:p>
            <w:r>
              <w:rPr>
                <w:b w:val="false"/>
                <w:bCs w:val="false"/>
                <w:color w:val="000000"/>
                <w:sz w:val="19"/>
                <w:szCs w:val="19"/>
              </w:rPr>
              <w:t xml:space="preserve">TanStack Query</w:t>
            </w:r>
          </w:p>
        </w:tc>
        <w:tc>
          <w:tcPr>
            <w:tcW w:type="dxa" w:w="5100"/>
            <w:tcMar>
              <w:top w:type="dxa" w:w="90"/>
              <w:left w:type="dxa" w:w="110"/>
              <w:bottom w:type="dxa" w:w="90"/>
              <w:right w:type="dxa" w:w="110"/>
            </w:tcMar>
          </w:tcPr>
          <w:p>
            <w:r>
              <w:rPr>
                <w:b w:val="false"/>
                <w:bCs w:val="false"/>
                <w:color w:val="000000"/>
                <w:sz w:val="19"/>
                <w:szCs w:val="19"/>
              </w:rPr>
              <w:t xml:space="preserve">Handles caching, refetching, and loading/error states for API-backed data (repos, components, sync proposals) without hand-rolling any of it.</w:t>
            </w:r>
          </w:p>
        </w:tc>
      </w:tr>
      <w:tr>
        <w:tc>
          <w:tcPr>
            <w:tcW w:type="dxa" w:w="1800"/>
            <w:shd w:fill="F2F2F2" w:val="clear"/>
            <w:tcMar>
              <w:top w:type="dxa" w:w="90"/>
              <w:left w:type="dxa" w:w="110"/>
              <w:bottom w:type="dxa" w:w="90"/>
              <w:right w:type="dxa" w:w="110"/>
            </w:tcMar>
          </w:tcPr>
          <w:p>
            <w:r>
              <w:rPr>
                <w:b w:val="false"/>
                <w:bCs w:val="false"/>
                <w:color w:val="000000"/>
                <w:sz w:val="19"/>
                <w:szCs w:val="19"/>
              </w:rPr>
              <w:t xml:space="preserve">Client-only UI state</w:t>
            </w:r>
          </w:p>
        </w:tc>
        <w:tc>
          <w:tcPr>
            <w:tcW w:type="dxa" w:w="2400"/>
            <w:shd w:fill="F2F2F2" w:val="clear"/>
            <w:tcMar>
              <w:top w:type="dxa" w:w="90"/>
              <w:left w:type="dxa" w:w="110"/>
              <w:bottom w:type="dxa" w:w="90"/>
              <w:right w:type="dxa" w:w="110"/>
            </w:tcMar>
          </w:tcPr>
          <w:p>
            <w:r>
              <w:rPr>
                <w:b w:val="false"/>
                <w:bCs w:val="false"/>
                <w:color w:val="000000"/>
                <w:sz w:val="19"/>
                <w:szCs w:val="19"/>
              </w:rPr>
              <w:t xml:space="preserve">Zustand</w:t>
            </w:r>
          </w:p>
        </w:tc>
        <w:tc>
          <w:tcPr>
            <w:tcW w:type="dxa" w:w="5100"/>
            <w:shd w:fill="F2F2F2" w:val="clear"/>
            <w:tcMar>
              <w:top w:type="dxa" w:w="90"/>
              <w:left w:type="dxa" w:w="110"/>
              <w:bottom w:type="dxa" w:w="90"/>
              <w:right w:type="dxa" w:w="110"/>
            </w:tcMar>
          </w:tcPr>
          <w:p>
            <w:r>
              <w:rPr>
                <w:b w:val="false"/>
                <w:bCs w:val="false"/>
                <w:color w:val="000000"/>
                <w:sz w:val="19"/>
                <w:szCs w:val="19"/>
              </w:rPr>
              <w:t xml:space="preserve">Checkbox selection, modal open/closed, bulk-approve state — explicitly NOT server data, kept out of TanStack Query on purpose so the two systems don't fight over what owns a given piece of state.</w:t>
            </w:r>
          </w:p>
        </w:tc>
      </w:tr>
      <w:tr>
        <w:tc>
          <w:tcPr>
            <w:tcW w:type="dxa" w:w="1800"/>
            <w:tcMar>
              <w:top w:type="dxa" w:w="90"/>
              <w:left w:type="dxa" w:w="110"/>
              <w:bottom w:type="dxa" w:w="90"/>
              <w:right w:type="dxa" w:w="110"/>
            </w:tcMar>
          </w:tcPr>
          <w:p>
            <w:r>
              <w:rPr>
                <w:b w:val="false"/>
                <w:bCs w:val="false"/>
                <w:color w:val="000000"/>
                <w:sz w:val="19"/>
                <w:szCs w:val="19"/>
              </w:rPr>
              <w:t xml:space="preserve">Auth on the frontend</w:t>
            </w:r>
          </w:p>
        </w:tc>
        <w:tc>
          <w:tcPr>
            <w:tcW w:type="dxa" w:w="2400"/>
            <w:tcMar>
              <w:top w:type="dxa" w:w="90"/>
              <w:left w:type="dxa" w:w="110"/>
              <w:bottom w:type="dxa" w:w="90"/>
              <w:right w:type="dxa" w:w="110"/>
            </w:tcMar>
          </w:tcPr>
          <w:p>
            <w:r>
              <w:rPr>
                <w:b w:val="false"/>
                <w:bCs w:val="false"/>
                <w:color w:val="000000"/>
                <w:sz w:val="19"/>
                <w:szCs w:val="19"/>
              </w:rPr>
              <w:t xml:space="preserve">Cookie/JWT session issued by the real custom auth service</w:t>
            </w:r>
          </w:p>
        </w:tc>
        <w:tc>
          <w:tcPr>
            <w:tcW w:type="dxa" w:w="5100"/>
            <w:tcMar>
              <w:top w:type="dxa" w:w="90"/>
              <w:left w:type="dxa" w:w="110"/>
              <w:bottom w:type="dxa" w:w="90"/>
              <w:right w:type="dxa" w:w="110"/>
            </w:tcMar>
          </w:tcPr>
          <w:p>
            <w:r>
              <w:rPr>
                <w:b w:val="false"/>
                <w:bCs w:val="false"/>
                <w:color w:val="000000"/>
                <w:sz w:val="19"/>
                <w:szCs w:val="19"/>
              </w:rPr>
              <w:t xml:space="preserve">**Correction from the original review**, which specified Clerk. The actual codebase has a fully custom auth service (device-level revocation, tokenVersion-based force-logout) — the dashboard talks to that, not a third-party auth provider. Nothing else in this row changes.</w:t>
            </w:r>
          </w:p>
        </w:tc>
      </w:tr>
    </w:tbl>
    <w:p>
      <w:pPr>
        <w:spacing w:after="160"/>
      </w:pPr>
      <w:r>
        <w:t xml:space="preserve"/>
      </w:r>
    </w:p>
    <w:p>
      <w:pPr>
        <w:spacing w:after="160"/>
      </w:pPr>
      <w:r>
        <w:t xml:space="preserve">Why not Vue: not a wrong choice technically, but it would mean re-deriving state-management and component-library conventions from scratch on top of a smaller ecosystem for this specific shape of app (data-dense admin dashboard). Every concrete architectural decision above (Server Components, shadcn/ui, TanStack Query) already assumes React, and re-deriving Vue equivalents for a solo developer is pure switching cost with no offsetting benefit here.</w:t>
      </w:r>
    </w:p>
    <w:p>
      <w:pPr>
        <w:pBdr>
          <w:left w:val="single" w:color="2E5AAC" w:sz="18" w:space="8"/>
        </w:pBdr>
        <w:spacing w:after="200" w:before="80"/>
        <w:ind w:left="200"/>
      </w:pPr>
      <w:r>
        <w:rPr>
          <w:i/>
          <w:iCs/>
          <w:color w:val="444444"/>
        </w:rPr>
        <w:t xml:space="preserve">Log this as DECISION_LOG.md DEC-018 (frontend stack, corrected) and DEC-019 (AppInit → Syncr rename) — the original decision log had no frontend entry at all, which is itself a small instance of the same discipline gap that caused the larger drift.</w:t>
      </w:r>
    </w:p>
    <w:p>
      <w:pPr>
        <w:pStyle w:val="Heading1"/>
        <w:spacing w:after="160" w:before="400"/>
      </w:pPr>
      <w:r>
        <w:t xml:space="preserve">4. What NOT to Build Yet (Explicit, So It Isn't Re-litigated)</w:t>
      </w:r>
    </w:p>
    <w:p>
      <w:pPr>
        <w:spacing w:after="160"/>
      </w:pPr>
      <w:r>
        <w:t xml:space="preserve">The AAB blueprint's 10 pillars (@syncr/cli, engine, ui, registry, ai, marketplace, plugins, cloud, analytics, devos) are a legitimate long-range vision — kept in §2 as Years 3–5 framing. Named here explicitly as NOT current scope, because a document this ambitious sitting in the repo is exactly the kind of thing that quietly becomes “what we're building next” without anyone deciding that on purpose.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5100"/>
      </w:tblGrid>
      <w:tr>
        <w:trPr>
          <w:tblHeader/>
        </w:trPr>
        <w:tc>
          <w:tcPr>
            <w:tcW w:type="dxa" w:w="4200"/>
            <w:shd w:fill="2E5AAC" w:val="clear"/>
            <w:tcMar>
              <w:top w:type="dxa" w:w="90"/>
              <w:left w:type="dxa" w:w="110"/>
              <w:bottom w:type="dxa" w:w="90"/>
              <w:right w:type="dxa" w:w="110"/>
            </w:tcMar>
          </w:tcPr>
          <w:p>
            <w:r>
              <w:rPr>
                <w:b/>
                <w:bCs/>
                <w:color w:val="FFFFFF"/>
                <w:sz w:val="19"/>
                <w:szCs w:val="19"/>
              </w:rPr>
              <w:t xml:space="preserve">AAB Pillar</w:t>
            </w:r>
          </w:p>
        </w:tc>
        <w:tc>
          <w:tcPr>
            <w:tcW w:type="dxa" w:w="5100"/>
            <w:shd w:fill="2E5AAC" w:val="clear"/>
            <w:tcMar>
              <w:top w:type="dxa" w:w="90"/>
              <w:left w:type="dxa" w:w="110"/>
              <w:bottom w:type="dxa" w:w="90"/>
              <w:right w:type="dxa" w:w="110"/>
            </w:tcMar>
          </w:tcPr>
          <w:p>
            <w:r>
              <w:rPr>
                <w:b/>
                <w:bCs/>
                <w:color w:val="FFFFFF"/>
                <w:sz w:val="19"/>
                <w:szCs w:val="19"/>
              </w:rPr>
              <w:t xml:space="preserve">Status</w:t>
            </w:r>
          </w:p>
        </w:tc>
      </w:tr>
      <w:tr>
        <w:tc>
          <w:tcPr>
            <w:tcW w:type="dxa" w:w="4200"/>
            <w:tcMar>
              <w:top w:type="dxa" w:w="90"/>
              <w:left w:type="dxa" w:w="110"/>
              <w:bottom w:type="dxa" w:w="90"/>
              <w:right w:type="dxa" w:w="110"/>
            </w:tcMar>
          </w:tcPr>
          <w:p>
            <w:r>
              <w:rPr>
                <w:b w:val="false"/>
                <w:bCs w:val="false"/>
                <w:color w:val="000000"/>
                <w:sz w:val="19"/>
                <w:szCs w:val="19"/>
              </w:rPr>
              <w:t xml:space="preserve">@syncr/ai (AI Setup Assistant, Component Generator, Migration Agent)</w:t>
            </w:r>
          </w:p>
        </w:tc>
        <w:tc>
          <w:tcPr>
            <w:tcW w:type="dxa" w:w="5100"/>
            <w:tcMar>
              <w:top w:type="dxa" w:w="90"/>
              <w:left w:type="dxa" w:w="110"/>
              <w:bottom w:type="dxa" w:w="90"/>
              <w:right w:type="dxa" w:w="110"/>
            </w:tcMar>
          </w:tcPr>
          <w:p>
            <w:r>
              <w:rPr>
                <w:b w:val="false"/>
                <w:bCs w:val="false"/>
                <w:color w:val="000000"/>
                <w:sz w:val="19"/>
                <w:szCs w:val="19"/>
              </w:rPr>
              <w:t xml:space="preserve">LATER — not gated on anything yet; needs its own persona and BRD case first, per the roadmap's own top-line rule</w:t>
            </w:r>
          </w:p>
        </w:tc>
      </w:tr>
      <w:tr>
        <w:tc>
          <w:tcPr>
            <w:tcW w:type="dxa" w:w="4200"/>
            <w:shd w:fill="F2F2F2" w:val="clear"/>
            <w:tcMar>
              <w:top w:type="dxa" w:w="90"/>
              <w:left w:type="dxa" w:w="110"/>
              <w:bottom w:type="dxa" w:w="90"/>
              <w:right w:type="dxa" w:w="110"/>
            </w:tcMar>
          </w:tcPr>
          <w:p>
            <w:r>
              <w:rPr>
                <w:b w:val="false"/>
                <w:bCs w:val="false"/>
                <w:color w:val="000000"/>
                <w:sz w:val="19"/>
                <w:szCs w:val="19"/>
              </w:rPr>
              <w:t xml:space="preserve">@syncr/marketplace (Marketplace Beta, Commission, Analytics)</w:t>
            </w:r>
          </w:p>
        </w:tc>
        <w:tc>
          <w:tcPr>
            <w:tcW w:type="dxa" w:w="5100"/>
            <w:shd w:fill="F2F2F2" w:val="clear"/>
            <w:tcMar>
              <w:top w:type="dxa" w:w="90"/>
              <w:left w:type="dxa" w:w="110"/>
              <w:bottom w:type="dxa" w:w="90"/>
              <w:right w:type="dxa" w:w="110"/>
            </w:tcMar>
          </w:tcPr>
          <w:p>
            <w:r>
              <w:rPr>
                <w:b w:val="false"/>
                <w:bCs w:val="false"/>
                <w:color w:val="000000"/>
                <w:sz w:val="19"/>
                <w:szCs w:val="19"/>
              </w:rPr>
              <w:t xml:space="preserve">Year 3+ candidate at earliest, and only one surface of it (see §2)</w:t>
            </w:r>
          </w:p>
        </w:tc>
      </w:tr>
      <w:tr>
        <w:tc>
          <w:tcPr>
            <w:tcW w:type="dxa" w:w="4200"/>
            <w:tcMar>
              <w:top w:type="dxa" w:w="90"/>
              <w:left w:type="dxa" w:w="110"/>
              <w:bottom w:type="dxa" w:w="90"/>
              <w:right w:type="dxa" w:w="110"/>
            </w:tcMar>
          </w:tcPr>
          <w:p>
            <w:r>
              <w:rPr>
                <w:b w:val="false"/>
                <w:bCs w:val="false"/>
                <w:color w:val="000000"/>
                <w:sz w:val="19"/>
                <w:szCs w:val="19"/>
              </w:rPr>
              <w:t xml:space="preserve">@syncr/cloud (One-Click Deployment, Cloud Deployments)</w:t>
            </w:r>
          </w:p>
        </w:tc>
        <w:tc>
          <w:tcPr>
            <w:tcW w:type="dxa" w:w="5100"/>
            <w:tcMar>
              <w:top w:type="dxa" w:w="90"/>
              <w:left w:type="dxa" w:w="110"/>
              <w:bottom w:type="dxa" w:w="90"/>
              <w:right w:type="dxa" w:w="110"/>
            </w:tcMar>
          </w:tcPr>
          <w:p>
            <w:r>
              <w:rPr>
                <w:b w:val="false"/>
                <w:bCs w:val="false"/>
                <w:color w:val="000000"/>
                <w:sz w:val="19"/>
                <w:szCs w:val="19"/>
              </w:rPr>
              <w:t xml:space="preserve">LATER — real scope creep risk: this is a different product (hosting) bolted onto a governance tool</w:t>
            </w:r>
          </w:p>
        </w:tc>
      </w:tr>
      <w:tr>
        <w:tc>
          <w:tcPr>
            <w:tcW w:type="dxa" w:w="4200"/>
            <w:shd w:fill="F2F2F2" w:val="clear"/>
            <w:tcMar>
              <w:top w:type="dxa" w:w="90"/>
              <w:left w:type="dxa" w:w="110"/>
              <w:bottom w:type="dxa" w:w="90"/>
              <w:right w:type="dxa" w:w="110"/>
            </w:tcMar>
          </w:tcPr>
          <w:p>
            <w:r>
              <w:rPr>
                <w:b w:val="false"/>
                <w:bCs w:val="false"/>
                <w:color w:val="000000"/>
                <w:sz w:val="19"/>
                <w:szCs w:val="19"/>
              </w:rPr>
              <w:t xml:space="preserve">@syncr/devos (“Full DevOS”, Federation &amp; Enterprise)</w:t>
            </w:r>
          </w:p>
        </w:tc>
        <w:tc>
          <w:tcPr>
            <w:tcW w:type="dxa" w:w="5100"/>
            <w:shd w:fill="F2F2F2" w:val="clear"/>
            <w:tcMar>
              <w:top w:type="dxa" w:w="90"/>
              <w:left w:type="dxa" w:w="110"/>
              <w:bottom w:type="dxa" w:w="90"/>
              <w:right w:type="dxa" w:w="110"/>
            </w:tcMar>
          </w:tcPr>
          <w:p>
            <w:r>
              <w:rPr>
                <w:b w:val="false"/>
                <w:bCs w:val="false"/>
                <w:color w:val="000000"/>
                <w:sz w:val="19"/>
                <w:szCs w:val="19"/>
              </w:rPr>
              <w:t xml:space="preserve">Years 4–5 category-position language, not a buildable feature</w:t>
            </w:r>
          </w:p>
        </w:tc>
      </w:tr>
      <w:tr>
        <w:tc>
          <w:tcPr>
            <w:tcW w:type="dxa" w:w="4200"/>
            <w:tcMar>
              <w:top w:type="dxa" w:w="90"/>
              <w:left w:type="dxa" w:w="110"/>
              <w:bottom w:type="dxa" w:w="90"/>
              <w:right w:type="dxa" w:w="110"/>
            </w:tcMar>
          </w:tcPr>
          <w:p>
            <w:r>
              <w:rPr>
                <w:b w:val="false"/>
                <w:bCs w:val="false"/>
                <w:color w:val="000000"/>
                <w:sz w:val="19"/>
                <w:szCs w:val="19"/>
              </w:rPr>
              <w:t xml:space="preserve">@syncr/analytics (DORA metrics, Developer Productivity)</w:t>
            </w:r>
          </w:p>
        </w:tc>
        <w:tc>
          <w:tcPr>
            <w:tcW w:type="dxa" w:w="5100"/>
            <w:tcMar>
              <w:top w:type="dxa" w:w="90"/>
              <w:left w:type="dxa" w:w="110"/>
              <w:bottom w:type="dxa" w:w="90"/>
              <w:right w:type="dxa" w:w="110"/>
            </w:tcMar>
          </w:tcPr>
          <w:p>
            <w:r>
              <w:rPr>
                <w:b w:val="false"/>
                <w:bCs w:val="false"/>
                <w:color w:val="000000"/>
                <w:sz w:val="19"/>
                <w:szCs w:val="19"/>
              </w:rPr>
              <w:t xml:space="preserve">NEXT-tier at earliest — needs Deployment/PipelineRun tables that don't exist yet</w:t>
            </w:r>
          </w:p>
        </w:tc>
      </w:tr>
    </w:tbl>
    <w:p>
      <w:pPr>
        <w:spacing w:after="160"/>
      </w:pPr>
      <w:r>
        <w:t xml:space="preserve"/>
      </w:r>
    </w:p>
    <w:p>
      <w:pPr>
        <w:pStyle w:val="Heading1"/>
        <w:spacing w:after="160" w:before="400"/>
      </w:pPr>
      <w:r>
        <w:t xml:space="preserve">5. The Single Biggest Risk</w:t>
      </w:r>
    </w:p>
    <w:p>
      <w:pPr>
        <w:spacing w:after="160"/>
      </w:pPr>
      <w:r>
        <w:t xml:space="preserve">Named once already during the codebase review, repeated here because it's the fulcrum the entire 5-year plan rests on: the 3-tier detection algorithm (filename → import-path → content-hash) is the least-proven part of the whole system, and every year after Year 1 depends on it being accurate enough that an agency trusts its output on the first real pilot. False positives (flagging identical components as drifted) are a bigger threat to the company's future than any competitor named in §1 — they don't just lose one deal, they cost the trust needed to get a second pilot after the first one goes badly.</w:t>
      </w:r>
    </w:p>
    <w:p>
      <w:pPr>
        <w:pBdr>
          <w:left w:val="single" w:color="B00020" w:sz="18" w:space="8"/>
        </w:pBdr>
        <w:spacing w:after="200" w:before="80"/>
        <w:ind w:left="200"/>
      </w:pPr>
      <w:r>
        <w:rPr>
          <w:i/>
          <w:iCs/>
          <w:color w:val="444444"/>
        </w:rPr>
        <w:t xml:space="preserve">Definition of done for that algorithm is not “runs without crashing” — it's a measured false-positive/false-negative rate against a real test corpus, checked before the first real agency ever sees it. This bar was already set correctly in the MVP Execution Plan; restating it here because it's the one place where cutting a corner has 5-year consequences, not 2-week ones.</w:t>
      </w:r>
    </w:p>
    <w:p>
      <w:pPr>
        <w:pStyle w:val="Heading1"/>
        <w:spacing w:after="160" w:before="400"/>
      </w:pPr>
      <w:r>
        <w:t xml:space="preserve">6. Solo-Developer Operating Model</w:t>
      </w:r>
    </w:p>
    <w:p>
      <w:pPr>
        <w:spacing w:after="160"/>
      </w:pPr>
      <w:r>
        <w:t xml:space="preserve">Every sprint estimate produced earlier in this project (the 10-sprint MVP Execution Plan) assumed 2 engineers. That assumption is now known to be wrong. This section replaces it, not adjusts it — solo work isn't “half as fast,” it also loses all parallelization, which changes which risks matter most, not just the calendar.</w:t>
      </w:r>
    </w:p>
    <w:p>
      <w:pPr>
        <w:pStyle w:val="Heading2"/>
        <w:spacing w:after="120" w:before="280"/>
      </w:pPr>
      <w:r>
        <w:t xml:space="preserve">6.1 Realistic pace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00"/>
      </w:tblGrid>
      <w:tr>
        <w:trPr>
          <w:tblHeader/>
        </w:trPr>
        <w:tc>
          <w:tcPr>
            <w:tcW w:type="dxa" w:w="2600"/>
            <w:shd w:fill="2E5AAC" w:val="clear"/>
            <w:tcMar>
              <w:top w:type="dxa" w:w="90"/>
              <w:left w:type="dxa" w:w="110"/>
              <w:bottom w:type="dxa" w:w="90"/>
              <w:right w:type="dxa" w:w="110"/>
            </w:tcMar>
          </w:tcPr>
          <w:p>
            <w:r>
              <w:rPr>
                <w:b/>
                <w:bCs/>
                <w:color w:val="FFFFFF"/>
                <w:sz w:val="19"/>
                <w:szCs w:val="19"/>
              </w:rPr>
              <w:t xml:space="preserve">Assumption</w:t>
            </w:r>
          </w:p>
        </w:tc>
        <w:tc>
          <w:tcPr>
            <w:tcW w:type="dxa" w:w="3200"/>
            <w:shd w:fill="2E5AAC" w:val="clear"/>
            <w:tcMar>
              <w:top w:type="dxa" w:w="90"/>
              <w:left w:type="dxa" w:w="110"/>
              <w:bottom w:type="dxa" w:w="90"/>
              <w:right w:type="dxa" w:w="110"/>
            </w:tcMar>
          </w:tcPr>
          <w:p>
            <w:r>
              <w:rPr>
                <w:b/>
                <w:bCs/>
                <w:color w:val="FFFFFF"/>
                <w:sz w:val="19"/>
                <w:szCs w:val="19"/>
              </w:rPr>
              <w:t xml:space="preserve">2-engineer plan (original)</w:t>
            </w:r>
          </w:p>
        </w:tc>
        <w:tc>
          <w:tcPr>
            <w:tcW w:type="dxa" w:w="3500"/>
            <w:shd w:fill="2E5AAC" w:val="clear"/>
            <w:tcMar>
              <w:top w:type="dxa" w:w="90"/>
              <w:left w:type="dxa" w:w="110"/>
              <w:bottom w:type="dxa" w:w="90"/>
              <w:right w:type="dxa" w:w="110"/>
            </w:tcMar>
          </w:tcPr>
          <w:p>
            <w:r>
              <w:rPr>
                <w:b/>
                <w:bCs/>
                <w:color w:val="FFFFFF"/>
                <w:sz w:val="19"/>
                <w:szCs w:val="19"/>
              </w:rPr>
              <w:t xml:space="preserve">Solo reality</w:t>
            </w:r>
          </w:p>
        </w:tc>
      </w:tr>
      <w:tr>
        <w:tc>
          <w:tcPr>
            <w:tcW w:type="dxa" w:w="2600"/>
            <w:tcMar>
              <w:top w:type="dxa" w:w="90"/>
              <w:left w:type="dxa" w:w="110"/>
              <w:bottom w:type="dxa" w:w="90"/>
              <w:right w:type="dxa" w:w="110"/>
            </w:tcMar>
          </w:tcPr>
          <w:p>
            <w:r>
              <w:rPr>
                <w:b w:val="false"/>
                <w:bCs w:val="false"/>
                <w:color w:val="000000"/>
                <w:sz w:val="19"/>
                <w:szCs w:val="19"/>
              </w:rPr>
              <w:t xml:space="preserve">Hours/week available</w:t>
            </w:r>
          </w:p>
        </w:tc>
        <w:tc>
          <w:tcPr>
            <w:tcW w:type="dxa" w:w="3200"/>
            <w:tcMar>
              <w:top w:type="dxa" w:w="90"/>
              <w:left w:type="dxa" w:w="110"/>
              <w:bottom w:type="dxa" w:w="90"/>
              <w:right w:type="dxa" w:w="110"/>
            </w:tcMar>
          </w:tcPr>
          <w:p>
            <w:r>
              <w:rPr>
                <w:b w:val="false"/>
                <w:bCs w:val="false"/>
                <w:color w:val="000000"/>
                <w:sz w:val="19"/>
                <w:szCs w:val="19"/>
              </w:rPr>
              <w:t xml:space="preserve">80 (2 × 40)</w:t>
            </w:r>
          </w:p>
        </w:tc>
        <w:tc>
          <w:tcPr>
            <w:tcW w:type="dxa" w:w="3500"/>
            <w:tcMar>
              <w:top w:type="dxa" w:w="90"/>
              <w:left w:type="dxa" w:w="110"/>
              <w:bottom w:type="dxa" w:w="90"/>
              <w:right w:type="dxa" w:w="110"/>
            </w:tcMar>
          </w:tcPr>
          <w:p>
            <w:r>
              <w:rPr>
                <w:b w:val="false"/>
                <w:bCs w:val="false"/>
                <w:color w:val="000000"/>
                <w:sz w:val="19"/>
                <w:szCs w:val="19"/>
              </w:rPr>
              <w:t xml:space="preserve">~30 (5–6 hrs/day, per the original solo-founder plan's own stated pace)</w:t>
            </w:r>
          </w:p>
        </w:tc>
      </w:tr>
      <w:tr>
        <w:tc>
          <w:tcPr>
            <w:tcW w:type="dxa" w:w="2600"/>
            <w:shd w:fill="F2F2F2" w:val="clear"/>
            <w:tcMar>
              <w:top w:type="dxa" w:w="90"/>
              <w:left w:type="dxa" w:w="110"/>
              <w:bottom w:type="dxa" w:w="90"/>
              <w:right w:type="dxa" w:w="110"/>
            </w:tcMar>
          </w:tcPr>
          <w:p>
            <w:r>
              <w:rPr>
                <w:b w:val="false"/>
                <w:bCs w:val="false"/>
                <w:color w:val="000000"/>
                <w:sz w:val="19"/>
                <w:szCs w:val="19"/>
              </w:rPr>
              <w:t xml:space="preserve">Parallel work possible</w:t>
            </w:r>
          </w:p>
        </w:tc>
        <w:tc>
          <w:tcPr>
            <w:tcW w:type="dxa" w:w="3200"/>
            <w:shd w:fill="F2F2F2" w:val="clear"/>
            <w:tcMar>
              <w:top w:type="dxa" w:w="90"/>
              <w:left w:type="dxa" w:w="110"/>
              <w:bottom w:type="dxa" w:w="90"/>
              <w:right w:type="dxa" w:w="110"/>
            </w:tcMar>
          </w:tcPr>
          <w:p>
            <w:r>
              <w:rPr>
                <w:b w:val="false"/>
                <w:bCs w:val="false"/>
                <w:color w:val="000000"/>
                <w:sz w:val="19"/>
                <w:szCs w:val="19"/>
              </w:rPr>
              <w:t xml:space="preserve">Yes — e.g. one engineer on CLI while another starts detection research</w:t>
            </w:r>
          </w:p>
        </w:tc>
        <w:tc>
          <w:tcPr>
            <w:tcW w:type="dxa" w:w="3500"/>
            <w:shd w:fill="F2F2F2" w:val="clear"/>
            <w:tcMar>
              <w:top w:type="dxa" w:w="90"/>
              <w:left w:type="dxa" w:w="110"/>
              <w:bottom w:type="dxa" w:w="90"/>
              <w:right w:type="dxa" w:w="110"/>
            </w:tcMar>
          </w:tcPr>
          <w:p>
            <w:r>
              <w:rPr>
                <w:b w:val="false"/>
                <w:bCs w:val="false"/>
                <w:color w:val="000000"/>
                <w:sz w:val="19"/>
                <w:szCs w:val="19"/>
              </w:rPr>
              <w:t xml:space="preserve">No — strictly sequential, one thing at a time</w:t>
            </w:r>
          </w:p>
        </w:tc>
      </w:tr>
      <w:tr>
        <w:tc>
          <w:tcPr>
            <w:tcW w:type="dxa" w:w="2600"/>
            <w:tcMar>
              <w:top w:type="dxa" w:w="90"/>
              <w:left w:type="dxa" w:w="110"/>
              <w:bottom w:type="dxa" w:w="90"/>
              <w:right w:type="dxa" w:w="110"/>
            </w:tcMar>
          </w:tcPr>
          <w:p>
            <w:r>
              <w:rPr>
                <w:b w:val="false"/>
                <w:bCs w:val="false"/>
                <w:color w:val="000000"/>
                <w:sz w:val="19"/>
                <w:szCs w:val="19"/>
              </w:rPr>
              <w:t xml:space="preserve">Total calendar to MVP (v1.0.0)</w:t>
            </w:r>
          </w:p>
        </w:tc>
        <w:tc>
          <w:tcPr>
            <w:tcW w:type="dxa" w:w="3200"/>
            <w:tcMar>
              <w:top w:type="dxa" w:w="90"/>
              <w:left w:type="dxa" w:w="110"/>
              <w:bottom w:type="dxa" w:w="90"/>
              <w:right w:type="dxa" w:w="110"/>
            </w:tcMar>
          </w:tcPr>
          <w:p>
            <w:r>
              <w:rPr>
                <w:b w:val="false"/>
                <w:bCs w:val="false"/>
                <w:color w:val="000000"/>
                <w:sz w:val="19"/>
                <w:szCs w:val="19"/>
              </w:rPr>
              <w:t xml:space="preserve">~20 weeks</w:t>
            </w:r>
          </w:p>
        </w:tc>
        <w:tc>
          <w:tcPr>
            <w:tcW w:type="dxa" w:w="3500"/>
            <w:tcMar>
              <w:top w:type="dxa" w:w="90"/>
              <w:left w:type="dxa" w:w="110"/>
              <w:bottom w:type="dxa" w:w="90"/>
              <w:right w:type="dxa" w:w="110"/>
            </w:tcMar>
          </w:tcPr>
          <w:p>
            <w:r>
              <w:rPr>
                <w:b w:val="false"/>
                <w:bCs w:val="false"/>
                <w:color w:val="000000"/>
                <w:sz w:val="19"/>
                <w:szCs w:val="19"/>
              </w:rPr>
              <w:t xml:space="preserve">~45–55 weeks at the same total scope — not a clean multiplier, because losing parallelization also removes the ability to keep a second track moving while stuck on the detection algorithm (§5)</w:t>
            </w:r>
          </w:p>
        </w:tc>
      </w:tr>
    </w:tbl>
    <w:p>
      <w:pPr>
        <w:spacing w:after="160"/>
      </w:pPr>
      <w:r>
        <w:t xml:space="preserve"/>
      </w:r>
    </w:p>
    <w:p>
      <w:pPr>
        <w:pBdr>
          <w:left w:val="single" w:color="B26A00" w:sz="18" w:space="8"/>
        </w:pBdr>
        <w:spacing w:after="200" w:before="80"/>
        <w:ind w:left="200"/>
      </w:pPr>
      <w:r>
        <w:rPr>
          <w:i/>
          <w:iCs/>
          <w:color w:val="444444"/>
        </w:rPr>
        <w:t xml:space="preserve">This number is a planning input, not a promise — restate it honestly to yourself (or an investor) as “about a year to MVP, solo, part-time-equivalent hours,” not a specific week count. The original 2-engineer plan's sprint SEQUENCE is still correct — what changes is calendar time and how much slack exists around the risky sprints.</w:t>
      </w:r>
    </w:p>
    <w:p>
      <w:pPr>
        <w:pStyle w:val="Heading2"/>
        <w:spacing w:after="120" w:before="280"/>
      </w:pPr>
      <w:r>
        <w:t xml:space="preserve">6.2 What changes in priority, not just pace</w:t>
      </w:r>
    </w:p>
    <w:p>
      <w:pPr>
        <w:pStyle w:val="ListParagraph"/>
        <w:numPr>
          <w:ilvl w:val="0"/>
          <w:numId w:val="1"/>
        </w:numPr>
        <w:spacing w:after="70"/>
      </w:pPr>
      <w:r>
        <w:t xml:space="preserve">Cut anything not required to prove the Year 1 thesis. From the Technical Design's own CLI scaffold spec (§2.1): the GitHub Actions workflow generator and pre-commit hook are genuinely nice, but not required for the first pilot to see real drift and a real PR. Build the bare `.syncr/config.json` + repo registration first; add the CI/pre-commit polish after Year 1's actual goal is achieved, not before.</w:t>
      </w:r>
    </w:p>
    <w:p>
      <w:pPr>
        <w:pStyle w:val="ListParagraph"/>
        <w:numPr>
          <w:ilvl w:val="0"/>
          <w:numId w:val="1"/>
        </w:numPr>
        <w:spacing w:after="70"/>
      </w:pPr>
      <w:r>
        <w:t xml:space="preserve">Keep the “ship something real every sprint” rule from the original solo-founder plan — a deployed URL, a passing test, a working CLI command, a real PR opened in a real repo. This discipline is good regardless of team size and is worth keeping verbatim.</w:t>
      </w:r>
    </w:p>
    <w:p>
      <w:pPr>
        <w:pStyle w:val="ListParagraph"/>
        <w:numPr>
          <w:ilvl w:val="0"/>
          <w:numId w:val="1"/>
        </w:numPr>
        <w:spacing w:after="70"/>
      </w:pPr>
      <w:r>
        <w:t xml:space="preserve">Treat the detection-algorithm sprint (§5) as the one place to intentionally build in slack — solo, there's no second engineer to keep other work moving while this one thing takes longer than planned, so the schedule around it should assume it will, not hope it won't.</w:t>
      </w:r>
    </w:p>
    <w:p>
      <w:pPr>
        <w:pStyle w:val="ListParagraph"/>
        <w:numPr>
          <w:ilvl w:val="0"/>
          <w:numId w:val="1"/>
        </w:numPr>
        <w:spacing w:after="70"/>
      </w:pPr>
      <w:r>
        <w:t xml:space="preserve">Weekly self-review cadence (borrowed from the original mentor-protocol document, which is good practice independent of who's reviewing): what shipped, what blocked, real velocity vs. planned — recalibrate the next week honestly rather than compounding an optimistic estimate for months.</w:t>
      </w:r>
    </w:p>
    <w:p>
      <w:pPr>
        <w:pStyle w:val="Heading2"/>
        <w:spacing w:after="120" w:before="280"/>
      </w:pPr>
      <w:r>
        <w:t xml:space="preserve">6.3 When to stop being solo</w:t>
      </w:r>
    </w:p>
    <w:p>
      <w:pPr>
        <w:spacing w:after="160"/>
      </w:pPr>
      <w:r>
        <w:t xml:space="preserve">Named explicitly so it's a decision made on purpose, not drifted into: the first hire is justified when Year 1's actual goal (one real agency, real drift, real merged PR) is achieved AND at least one more agency wants the same thing before Year 2's billing/CVE work can start without materially delaying Year 1 customers. Hiring before that point is spending Year 2 money to solve a Year 1 problem (velocity) that a tighter scope, per §6.2, solves more cheaply.</w:t>
      </w:r>
    </w:p>
    <w:p>
      <w:pPr>
        <w:pStyle w:val="Heading1"/>
        <w:spacing w:after="160" w:before="400"/>
      </w:pPr>
      <w:r>
        <w:t xml:space="preserve">7. Bottom Line</w:t>
      </w:r>
    </w:p>
    <w:p>
      <w:pPr>
        <w:spacing w:after="160"/>
      </w:pPr>
      <w:r>
        <w:t xml:space="preserve">The rename from AppInit to Syncr is the easy part — almost nothing about the actual architecture, schema, or plan needs to change because of it. The vision underneath (a governance layer for shared code, made more necessary rather than less by the AI-coding boom) is sound and was already correctly reasoned in this project's own Strategic Position review. What actually needs updating is discipline: keep the long-range blueprint (§4) visible as a 5-year map without letting it become this month's scope, keep the solo-developer calendar honest (§6) rather than borrowed from a 2-engineer plan, and treat the detection algorithm (§5) as the one bet the whole five years is actually riding 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2026-08-31T03:08:47.899Z</dcterms:created>
  <dcterms:modified xsi:type="dcterms:W3CDTF">2026-08-31T03:08:47.911Z</dcterms:modified>
</cp:coreProperties>
</file>

<file path=docProps/custom.xml><?xml version="1.0" encoding="utf-8"?>
<Properties xmlns="http://schemas.openxmlformats.org/officeDocument/2006/custom-properties" xmlns:vt="http://schemas.openxmlformats.org/officeDocument/2006/docPropsVTypes"/>
</file>