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SYNCR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Technical Design Document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CLI Scaffold, Brownfield Onboarding &amp; System Memory — v2.0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Companion to Syncr-BRD.docx. Use case IDs (UC-#) reference the BRD.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CLI Command Surface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CLI is the primary entry point for both new and existing projects — the dashboard is for review/approval, not initial setup. Every command below authenticates via a stored ApiToken (see §4).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syncr login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Authenticate the CLI, store a scoped ApiToken locally.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syncr create &lt;name&gt;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UC-1. Scaffold a brand-new project, pre-wired to the org's registry.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syncr init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UC-2. Onboard an existing repo — runs a full detection scan, no PRs opened.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syncr publish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UC-3. Publish the current directory as a new ComponentVersion.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syncr pull &lt;component&gt;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Fetch a component into the current repo (install or copy-paste mode).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syncr status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Local drift summary for the current repo — reads cached state, no network call unless --refresh.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syncr scan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Force a CVE scan of the current repo.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syncr sync approve --id &lt;id&gt;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UC-9. Scriptable approval for CI-driven workflows.</w:t>
            </w:r>
          </w:p>
        </w:tc>
      </w:tr>
    </w:tbl>
    <w:p>
      <w:pPr>
        <w:pStyle w:val="Heading1"/>
        <w:spacing w:after="200" w:before="400"/>
      </w:pPr>
      <w:r>
        <w:t xml:space="preserve">2. New Project Scaffold — `syncr create`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Addresses the requirement that any new project MUST be wired into Syncr from the start rather than detected after the fact. This is the CLI's highest-leverage moment: everything `syncr init` (§3) has to reconstruct through fallible detection, `syncr create` gets to define correctly on day one.</w:t>
      </w:r>
    </w:p>
    <w:p>
      <w:pPr>
        <w:pStyle w:val="Heading2"/>
        <w:spacing w:after="140" w:before="280"/>
      </w:pPr>
      <w:r>
        <w:t xml:space="preserve">2.1 What Gets Generated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Project files from the selected template (framework-specific starter, org-approved 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.syncr/config.json — org ID, repo role (defaults to CONSUMER unless --source is passed), framework, provider.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.syncr/lock — empty lockfile, populated as components are pulled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GitHub Actions workflow (.github/workflows/syncr.yml) that calls `syncr scan` and reports drift status as a required PR check — configurable as advisory-only during a trial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pre-commit hook (optional, prompted) that runs a lightweight local drift check before allowing a commit that touches a known component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Immediate repo registration: the CLI calls the Repos API to create the Repo row and, if a GitHub App installation already exists for the org, associates it automatically.</w:t>
      </w:r>
    </w:p>
    <w:p>
      <w:pPr>
        <w:pStyle w:val="Heading2"/>
        <w:spacing w:after="140" w:before="280"/>
      </w:pPr>
      <w:r>
        <w:t xml:space="preserve">2.2 Template System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Templates are versioned independently of the CLI itself, stored as tagged Git repos referenced by a template manifest (template.json: name, framework, minimum CLI version, post-scaffold hooks). This decouples “we improved the React starter template” from “we shipped a new CLI version” — conflating the two would force a CLI release for every template tweak.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8"/>
          <w:szCs w:val="18"/>
        </w:rPr>
        <w:t xml:space="preserve">// template.json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"name": "react-vite-tailwind",</w:t>
      </w:r>
      <w:r>
        <w:rPr>
          <w:rFonts w:ascii="Consolas" w:cs="Consolas" w:eastAsia="Consolas" w:hAnsi="Consolas"/>
          <w:sz w:val="18"/>
          <w:szCs w:val="18"/>
        </w:rPr>
        <w:br/>
        <w:t xml:space="preserve">  "framework": "REACT",</w:t>
      </w:r>
      <w:r>
        <w:rPr>
          <w:rFonts w:ascii="Consolas" w:cs="Consolas" w:eastAsia="Consolas" w:hAnsi="Consolas"/>
          <w:sz w:val="18"/>
          <w:szCs w:val="18"/>
        </w:rPr>
        <w:br/>
        <w:t xml:space="preserve">  "minCliVersion": "1.2.0",</w:t>
      </w:r>
      <w:r>
        <w:rPr>
          <w:rFonts w:ascii="Consolas" w:cs="Consolas" w:eastAsia="Consolas" w:hAnsi="Consolas"/>
          <w:sz w:val="18"/>
          <w:szCs w:val="18"/>
        </w:rPr>
        <w:br/>
        <w:t xml:space="preserve">  "postScaffold": ["install-deps", "init-git", "register-repo"]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200" w:before="400"/>
      </w:pPr>
      <w:r>
        <w:t xml:space="preserve">3. Brownfield Onboarding — `syncr init`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UC-2. This is the higher-frequency real-world path — most repos Syncr ever touches will predate Syncr. The design goal is: never open a PR or claim a confident answer the first time it sees a repo.</w:t>
      </w:r>
    </w:p>
    <w:p>
      <w:pPr>
        <w:pStyle w:val="Heading2"/>
        <w:spacing w:after="140" w:before="280"/>
      </w:pPr>
      <w:r>
        <w:t xml:space="preserve">3.1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Authenticate, confirm org and provider connection exist for this GitHub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Run the three-tier detection scan (see Detection Algorithm design, delivered separately) against the current 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Write a BASELINE — RepoComponent rows are created reflecting current state, but isOutOfSync alone does NOT trigger SyncProposal creation during init. A brownfield repo may be intentionally behind for reasons Syncr has no way to know yet (see BRD EC-7); silently proposing 40 PRs on first contact would burn the exact trust the product depends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4. Low-confidence (tier-3 file-name) matches are printed to the terminal for interactive confirm/reject before being written — in --ci mode (no TTY), they're written as `confident: false` and surfaced on the dashboard instead of blocking the command.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5. .syncr/config.json and .syncr/lock are generated from the confirmed baseline, matching what `syncr create` would have produced had the repo started with Syncr.</w:t>
      </w:r>
    </w:p>
    <w:p>
      <w:pPr>
        <w:pStyle w:val="Heading2"/>
        <w:spacing w:after="140" w:before="280"/>
      </w:pPr>
      <w:r>
        <w:t xml:space="preserve">3.2 Why No Auto-Proposals on First Scan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Every other flow (a new component publish, a scheduled rescan) is allowed to generate SyncProposals because the repo's baseline is already known and trusted. The very first scan of a brownfield repo has no such trust — it is establishing the baseline, not detecting a change against one. Treating detection and proposal-generation as separable steps (rather than one action) is the load-bearing design decision in this section.</w:t>
      </w:r>
    </w:p>
    <w:p>
      <w:pPr>
        <w:pStyle w:val="Heading1"/>
        <w:spacing w:after="200" w:before="400"/>
      </w:pPr>
      <w:r>
        <w:t xml:space="preserve">4. System Memory &amp; Configuration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“Memory” in the request that produced this document maps to three distinct, non-overlapping stores — conflating them was a real risk worth naming explicitly: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3800"/>
        <w:gridCol w:w="165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Lifetime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Repo config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.syncr/config.json (committed)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org ID, repo role, framework, provider — shared with the whole team via git.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Lives as long as the repo does.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Lockfile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.syncr/lock (committed)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exact component versions + content hashes currently installed — this is what tier-2 hash detection reconciles against on every scan.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Updated on every syncr pull / publish.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Local CLI cache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~/.syncr/cache (NOT committed)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ApiToken, last-known org context, offline status cache for syncr status.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Per-developer machine; never synced.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Server-side state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Postgres (repos, repo_components, sync_proposals…)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Source of truth. .syncr/lock is a cached projection of this, not the other way around — on conflict, server state wins and the CLI re-syncs the lockfile.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Permanent, per organization.</w:t>
            </w:r>
          </w:p>
        </w:tc>
      </w:tr>
    </w:tbl>
    <w:p>
      <w:pPr>
        <w:pStyle w:val="Heading2"/>
        <w:spacing w:after="140" w:before="280"/>
      </w:pPr>
      <w:r>
        <w:t xml:space="preserve">4.1 Why the Lockfile Is Not the Source of Truth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 lockfile that a developer can hand-edit and commit would let local state silently diverge from what the server believes is installed — exactly the drift problem Syncr exists to solve, now self-inflicted. The lockfile is always treated as a cache: `syncr status` reads it for speed, but any write path (publish, pull, sync approval) reconciles against the server and overwrites the local file, never the reverse.</w:t>
      </w:r>
    </w:p>
    <w:p>
      <w:pPr>
        <w:pStyle w:val="Heading1"/>
        <w:spacing w:after="200" w:before="400"/>
      </w:pPr>
      <w:r>
        <w:t xml:space="preserve">5. Detection Performance Strategy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Referenced from BRD EC-3. Full-tree scans are O(files) and don't scale to large monorepos run on every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Incremental scans (on push webhook) diff only the files changed in the pushed commits against candidate-directory patterns — not a full walk.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 scans (nightly, or manual `syncr init`) walk the whole candidate-directory set — acceptable because they're async and off the request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GitHub API calls are batched via GraphQL where possible (file content for N files in one request) rather than N sequential REST calls, to stay inside App-level rate limits across an org with many repos scanning simultaneously.</w:t>
      </w:r>
    </w:p>
    <w:p>
      <w:pPr>
        <w:pStyle w:val="Heading1"/>
        <w:spacing w:after="200" w:before="400"/>
      </w:pPr>
      <w:r>
        <w:t xml:space="preserve">6. Failure Modes &amp; Recovery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Failure</w:t>
            </w:r>
          </w:p>
        </w:tc>
        <w:tc>
          <w:tcPr>
            <w:tcW w:type="dxa" w:w="6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Recovery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Webhook delivery missed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Nightly full rescan is the backstop — max staleness is 24h, not indefinite.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Duplicate webhook delivery (GitHub retry)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delivery_id unique constraint on GithubWebhookEvent rejects the duplicate insert before processing runs twice.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Scan crashes partway through a repo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Per-file processing is idempotent (upsert on repo+component pair) — a retried scan doesn't double-count or corrupt partial state.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Installation suspended mid-sync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Checked before every sync/scan operation via a real column (not JSON) — operation is skipped and requeued, not failed permanently.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GitHub API rate limit hit</w:t>
            </w:r>
          </w:p>
        </w:tc>
        <w:tc>
          <w:tcPr>
            <w:tcW w:type="dxa" w:w="6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Requests queue with backoff rather than failing the scan outright; org is not penalized for another org's concurrent load (per-installation token, not shared).</w:t>
            </w:r>
          </w:p>
        </w:tc>
      </w:tr>
    </w:tbl>
    <w:p>
      <w:pPr>
        <w:pStyle w:val="Heading1"/>
        <w:spacing w:after="200" w:before="400"/>
      </w:pPr>
      <w:r>
        <w:t xml:space="preserve">7. Provider Abstraction (GitHub-First, Not GitHub-Only)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Per BRD EC-11, the schema already supports GitLab/Bitbucket/Azure DevOps via the `provider` enum. To avoid GitHub-only assumptions calcifying into the codebase during the MVP sprint, the detection service and webhook handler are written against a GitHubClient-shaped interface (already shown in the detection algorithm delivered separately) rather than calling the GitHub SDK directly from business logic. This is a discipline requirement for whoever implements Sprint 2–4, not a promise that other providers ship in v1 — that remains deferred per BRD §8.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2026-07-11T02:00:54.047Z</dcterms:created>
  <dcterms:modified xsi:type="dcterms:W3CDTF">2026-07-11T02:00:54.047Z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