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6" w:type="dxa"/>
            <w:noWrap w:val="0"/>
            <w:vAlign w:val="top"/>
          </w:tcPr>
          <w:p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</w:rPr>
              <w:t>检测结论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7" w:hRule="atLeast"/>
        </w:trPr>
        <w:tc>
          <w:tcPr>
            <w:tcW w:w="9936" w:type="dxa"/>
            <w:noWrap w:val="0"/>
            <w:vAlign w:val="top"/>
          </w:tcPr>
          <w:p>
            <w:pPr>
              <w:ind w:firstLine="6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依据《带电设备红外诊断应用规范》DL/T 664-2016、《建筑电气防火检测技术规范》SZDB/Z 139-2015、《建筑电气防火检测技术规程》DBJ/T 15-138-2018等规范；我公司对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  <w:lang w:val="en-US" w:eastAsia="zh-CN"/>
              </w:rPr>
              <w:t>{{unit.name}}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进行电气检测，结果如下</w:t>
            </w:r>
            <w:r>
              <w:rPr>
                <w:rFonts w:hint="eastAsia" w:cs="宋体"/>
                <w:color w:val="000000"/>
                <w:sz w:val="28"/>
                <w:szCs w:val="28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检测符合项：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1、</w:t>
            </w:r>
            <w:r>
              <w:rPr>
                <w:rFonts w:hint="eastAsia" w:ascii="Times New Roman" w:hAnsi="Times New Roman" w:cs="Times New Roman"/>
                <w:bCs/>
              </w:rPr>
              <w:t>总配电房P01馈电柜断路器开关（左一）、P03馈电柜断路器开关（左一）、1#变压器</w:t>
            </w:r>
            <w:r>
              <w:rPr>
                <w:rFonts w:ascii="Times New Roman" w:hAnsi="Times New Roman" w:cs="Times New Roman"/>
                <w:bCs/>
              </w:rPr>
              <w:t>带电设备红外温度、电流、电压检测结果，符合要求</w:t>
            </w:r>
            <w:r>
              <w:rPr>
                <w:rFonts w:hint="eastAsia" w:ascii="Times New Roman" w:hAnsi="Times New Roman" w:cs="Times New Roman"/>
                <w:bCs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检测不符合项</w:t>
            </w:r>
            <w:r>
              <w:rPr>
                <w:b/>
                <w:bCs/>
                <w:color w:val="000000"/>
                <w:sz w:val="28"/>
                <w:szCs w:val="28"/>
              </w:rPr>
              <w:t>：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1、</w:t>
            </w:r>
            <w:r>
              <w:rPr>
                <w:rFonts w:hint="eastAsia"/>
                <w:sz w:val="28"/>
                <w:szCs w:val="28"/>
              </w:rPr>
              <w:t>无</w:t>
            </w:r>
          </w:p>
          <w:p>
            <w:pPr>
              <w:pStyle w:val="2"/>
            </w:pPr>
            <w:r>
              <w:rPr>
                <w:rFonts w:hint="eastAsia" w:ascii="Times New Roman" w:hAnsi="Times New Roman" w:cs="Times New Roman"/>
              </w:rPr>
              <w:t>整改建议：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直观检测不符合项及整改建议：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1、</w:t>
            </w:r>
            <w:r>
              <w:rPr>
                <w:rFonts w:hint="eastAsia" w:ascii="Times New Roman" w:hAnsi="Times New Roman" w:cs="Times New Roman"/>
              </w:rPr>
              <w:t>无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</w:rPr>
              <w:t>无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2、</w:t>
            </w:r>
            <w:r>
              <w:rPr>
                <w:rFonts w:hint="eastAsia" w:ascii="Times New Roman" w:hAnsi="Times New Roman" w:cs="Times New Roman"/>
              </w:rPr>
              <w:t>无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</w:rPr>
              <w:t>无</w:t>
            </w:r>
          </w:p>
          <w:p/>
          <w:p>
            <w:pPr>
              <w:numPr>
                <w:ilvl w:val="0"/>
                <w:numId w:val="1"/>
              </w:numPr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火灾危险等级评定</w:t>
            </w:r>
          </w:p>
          <w:p>
            <w:pPr>
              <w:ind w:firstLine="560" w:firstLineChars="2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根据《建筑电气防火检测技术规范》SZDB/Z 139—2015中6.1.1、6.2.2.d），</w:t>
            </w:r>
            <w:r>
              <w:rPr>
                <w:b/>
                <w:sz w:val="28"/>
                <w:szCs w:val="28"/>
              </w:rPr>
              <w:t>被测部分</w:t>
            </w: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级隐患点数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u w:val="single"/>
                <w:lang w:val="en-US" w:eastAsia="zh-CN"/>
              </w:rPr>
              <w:t>{{dangers}}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</w:rPr>
              <w:t>处，由此判定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{{unit.name}}</w:t>
            </w:r>
            <w:r>
              <w:rPr>
                <w:b/>
                <w:sz w:val="28"/>
                <w:szCs w:val="28"/>
              </w:rPr>
              <w:t>地火灾危险等级为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b/>
                <w:sz w:val="28"/>
                <w:szCs w:val="28"/>
              </w:rPr>
              <w:t>级（存在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b/>
                <w:sz w:val="28"/>
                <w:szCs w:val="28"/>
              </w:rPr>
              <w:t>类），即被测部分存在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</w:rPr>
              <w:t>电气火灾隐患</w:t>
            </w:r>
            <w:r>
              <w:rPr>
                <w:rFonts w:hint="eastAsia"/>
                <w:b/>
                <w:sz w:val="28"/>
                <w:szCs w:val="28"/>
              </w:rPr>
              <w:t>。</w:t>
            </w:r>
          </w:p>
          <w:p>
            <w:pPr>
              <w:jc w:val="left"/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</w:tc>
      </w:tr>
    </w:tbl>
    <w:p>
      <w:pPr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br w:type="page"/>
      </w:r>
    </w:p>
    <w:p>
      <w:pPr>
        <w:pStyle w:val="2"/>
        <w:jc w:val="center"/>
        <w:rPr>
          <w:b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</w:rPr>
      <w:t>深圳富华消防电力安全技术有限公司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检测报告受控编号：FH-JCBG 01 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BCE44"/>
    <w:multiLevelType w:val="singleLevel"/>
    <w:tmpl w:val="A9ABC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D171955"/>
    <w:rsid w:val="2F04437D"/>
    <w:rsid w:val="30711890"/>
    <w:rsid w:val="31473CE8"/>
    <w:rsid w:val="327D62BB"/>
    <w:rsid w:val="369B3BC7"/>
    <w:rsid w:val="36A52284"/>
    <w:rsid w:val="379F2925"/>
    <w:rsid w:val="37A5112E"/>
    <w:rsid w:val="37DF5920"/>
    <w:rsid w:val="38586F64"/>
    <w:rsid w:val="39131BA3"/>
    <w:rsid w:val="3A853DED"/>
    <w:rsid w:val="3B1B201C"/>
    <w:rsid w:val="3FA17C0F"/>
    <w:rsid w:val="3FDD35D3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C3291D"/>
    <w:rsid w:val="54176321"/>
    <w:rsid w:val="57045EB0"/>
    <w:rsid w:val="57C758BA"/>
    <w:rsid w:val="587F7BAB"/>
    <w:rsid w:val="59E832FB"/>
    <w:rsid w:val="5AD54636"/>
    <w:rsid w:val="5B4478B0"/>
    <w:rsid w:val="5E5F12FE"/>
    <w:rsid w:val="5E6F213A"/>
    <w:rsid w:val="60932FCA"/>
    <w:rsid w:val="61B542E5"/>
    <w:rsid w:val="626C7732"/>
    <w:rsid w:val="631D4DCC"/>
    <w:rsid w:val="64CD09A3"/>
    <w:rsid w:val="656542F3"/>
    <w:rsid w:val="685228FF"/>
    <w:rsid w:val="6B98437C"/>
    <w:rsid w:val="6BF17C9B"/>
    <w:rsid w:val="6D536587"/>
    <w:rsid w:val="6FAA66DE"/>
    <w:rsid w:val="73EA337E"/>
    <w:rsid w:val="75823F55"/>
    <w:rsid w:val="75E0377E"/>
    <w:rsid w:val="7BB653D5"/>
    <w:rsid w:val="7C986FF0"/>
    <w:rsid w:val="7CB43F32"/>
    <w:rsid w:val="7D256900"/>
    <w:rsid w:val="7E776976"/>
    <w:rsid w:val="7ECF18B5"/>
    <w:rsid w:val="7FA37A0C"/>
    <w:rsid w:val="7FCD0134"/>
    <w:rsid w:val="7FE7F66F"/>
    <w:rsid w:val="D17F0A4F"/>
    <w:rsid w:val="FFDB8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2753</Words>
  <Characters>15696</Characters>
  <Lines>130</Lines>
  <Paragraphs>36</Paragraphs>
  <TotalTime>4.33333333333333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FrontTang</cp:lastModifiedBy>
  <cp:lastPrinted>2024-05-11T17:02:00Z</cp:lastPrinted>
  <dcterms:modified xsi:type="dcterms:W3CDTF">2024-07-17T21:20:34Z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D224BCC76AA8198B22C5976639605C30_43</vt:lpwstr>
  </property>
</Properties>
</file>