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cs="宋体"/>
          <w:color w:val="000000"/>
          <w:szCs w:val="21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begin"/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instrText xml:space="preserve"> HYPERLINK "mailto:{{@detect.logo}}" </w:instrTex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separate"/>
      </w:r>
      <w:r>
        <w:rPr>
          <w:rStyle w:val="6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{{@</w:t>
      </w:r>
      <w:r>
        <w:rPr>
          <w:rStyle w:val="6"/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detect.logoPic</w:t>
      </w:r>
      <w:r>
        <w:rPr>
          <w:rStyle w:val="6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}}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Fonts w:hint="eastAsia" w:cs="宋体"/>
          <w:color w:val="000000"/>
          <w:szCs w:val="21"/>
          <w:lang w:val="en-US" w:eastAsia="zh-CN"/>
        </w:rPr>
        <w:t>{{detect.shortName}}</w:t>
      </w:r>
      <w:r>
        <w:rPr>
          <w:rFonts w:hint="eastAsia" w:cs="宋体"/>
          <w:color w:val="000000"/>
          <w:szCs w:val="21"/>
        </w:rPr>
        <w:t xml:space="preserve">                                  </w:t>
      </w:r>
      <w:r>
        <w:rPr>
          <w:rFonts w:hint="eastAsia" w:cs="宋体"/>
          <w:color w:val="000000"/>
          <w:szCs w:val="21"/>
          <w:lang w:val="en-US" w:eastAsia="zh-CN"/>
        </w:rPr>
        <w:t xml:space="preserve">  </w:t>
      </w:r>
      <w:r>
        <w:rPr>
          <w:rFonts w:hint="eastAsia" w:cs="宋体"/>
          <w:color w:val="000000"/>
          <w:szCs w:val="21"/>
        </w:rPr>
        <w:t>检测机构</w:t>
      </w:r>
    </w:p>
    <w:p>
      <w:pPr>
        <w:ind w:firstLine="210" w:firstLineChars="100"/>
        <w:rPr>
          <w:rFonts w:cs="宋体"/>
          <w:color w:val="000000"/>
          <w:szCs w:val="21"/>
        </w:rPr>
      </w:pPr>
      <w:r>
        <w:rPr>
          <w:rFonts w:hint="eastAsia" w:cs="宋体"/>
          <w:color w:val="000000"/>
          <w:szCs w:val="21"/>
        </w:rPr>
        <w:t xml:space="preserve">                                  </w:t>
      </w:r>
      <w:r>
        <w:rPr>
          <w:rFonts w:hint="eastAsia" w:cs="宋体"/>
          <w:color w:val="000000"/>
          <w:szCs w:val="21"/>
          <w:lang w:val="en-US" w:eastAsia="zh-CN"/>
        </w:rPr>
        <w:t xml:space="preserve">                                </w:t>
      </w:r>
      <w:r>
        <w:rPr>
          <w:rFonts w:hint="eastAsia" w:cs="宋体"/>
          <w:color w:val="000000"/>
          <w:szCs w:val="21"/>
        </w:rPr>
        <w:t>CMA章</w:t>
      </w:r>
    </w:p>
    <w:p>
      <w:pPr>
        <w:rPr>
          <w:rFonts w:cs="宋体"/>
          <w:color w:val="000000"/>
          <w:szCs w:val="21"/>
        </w:rPr>
      </w:pPr>
    </w:p>
    <w:p>
      <w:pPr>
        <w:jc w:val="center"/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  <w:rPr>
          <w:rFonts w:ascii="Times New Roman" w:hAnsi="Times New Roman"/>
          <w:b/>
          <w:bCs/>
          <w:color w:val="000000"/>
        </w:rPr>
      </w:pPr>
    </w:p>
    <w:p>
      <w:pPr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  <w:rPr>
          <w:rFonts w:ascii="Times New Roman" w:hAnsi="Times New Roman"/>
          <w:b/>
          <w:bCs/>
          <w:color w:val="000000"/>
        </w:rPr>
      </w:pPr>
    </w:p>
    <w:p>
      <w:pPr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</w:pPr>
    </w:p>
    <w:p>
      <w:pPr>
        <w:jc w:val="center"/>
        <w:rPr>
          <w:rFonts w:ascii="宋体" w:hAnsi="宋体" w:cs="宋体"/>
          <w:b/>
          <w:sz w:val="84"/>
          <w:szCs w:val="84"/>
        </w:rPr>
      </w:pPr>
      <w:r>
        <w:rPr>
          <w:rFonts w:hint="eastAsia" w:ascii="宋体" w:hAnsi="宋体" w:cs="宋体"/>
          <w:b/>
          <w:sz w:val="84"/>
          <w:szCs w:val="84"/>
        </w:rPr>
        <w:t>建 筑 电 气 防 火</w:t>
      </w:r>
    </w:p>
    <w:p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  <w:r>
        <w:rPr>
          <w:rFonts w:hint="eastAsia" w:ascii="宋体" w:hAnsi="宋体" w:cs="宋体"/>
          <w:b/>
          <w:sz w:val="84"/>
          <w:szCs w:val="84"/>
        </w:rPr>
        <w:t>检 测 报 告</w:t>
      </w:r>
    </w:p>
    <w:p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{{project.name}}    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检测地址：</w:t>
      </w:r>
      <w:r>
        <w:rPr>
          <w:rFonts w:hint="eastAsia"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{{unit.address}}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检测单位：</w:t>
      </w:r>
      <w:r>
        <w:rPr>
          <w:rFonts w:hint="eastAsia"/>
          <w:sz w:val="28"/>
          <w:szCs w:val="28"/>
        </w:rPr>
        <w:tab/>
      </w:r>
      <w:bookmarkStart w:id="0" w:name="detectionUnit"/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{{detect.name}}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bookmarkEnd w:id="0"/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b/>
          <w:bCs/>
          <w:sz w:val="52"/>
          <w:szCs w:val="52"/>
        </w:rPr>
      </w:pPr>
      <w:r>
        <w:rPr>
          <w:rFonts w:hint="eastAsia"/>
          <w:sz w:val="28"/>
          <w:szCs w:val="28"/>
        </w:rPr>
        <w:t>编制日期：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{{createDate}}                  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br w:type="page"/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声明</w:t>
      </w:r>
    </w:p>
    <w:p>
      <w:pPr>
        <w:numPr>
          <w:ilvl w:val="0"/>
          <w:numId w:val="1"/>
        </w:numPr>
        <w:spacing w:line="480" w:lineRule="auto"/>
        <w:ind w:left="417" w:hanging="416" w:hangingChars="139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本检测机构经批准具备（电气消防检测类资质），在许可范围从事检测工作并出具公证数据；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本报告无本机构CMA章、检测报告专用章(公章)和骑缝章无效；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未经本机构书面批准，复印检测报告无效；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本报告无报告检测人、审核人、批准人签字无效；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本报告涂改无效；</w:t>
      </w:r>
    </w:p>
    <w:p>
      <w:pPr>
        <w:numPr>
          <w:ilvl w:val="0"/>
          <w:numId w:val="1"/>
        </w:numPr>
        <w:spacing w:line="480" w:lineRule="auto"/>
        <w:ind w:left="417" w:hanging="416" w:hangingChars="139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本报告只对检测时的状态和性能负责，工程状态改变，需要重新委托检测；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本公司依据相关法规和相关标准，对电气检测结果进行判定；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本公司提供的数据作为公证数据，具有法律效力；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对本报告若有异议，请收到报告后于十五日内向本机构提出。</w:t>
      </w: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{{detect.name}}                                                             </w:t>
      </w:r>
    </w:p>
    <w:p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单位地址：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{{detect.address}}                                                              </w:t>
      </w:r>
    </w:p>
    <w:p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  <w:sectPr>
          <w:headerReference r:id="rId3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{{detect.contactPhone}}                                                               </w:t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  <w:sectPr>
          <w:headerReference r:id="rId4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  <w:r>
        <w:rPr>
          <w:rFonts w:hint="eastAsia"/>
          <w:b/>
          <w:bCs/>
          <w:sz w:val="44"/>
          <w:szCs w:val="44"/>
          <w:lang w:val="en-US" w:eastAsia="zh-CN"/>
        </w:rPr>
        <w:t>{{@detect.qualificationPic}}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基本情况</w:t>
      </w:r>
    </w:p>
    <w:tbl>
      <w:tblPr>
        <w:tblStyle w:val="5"/>
        <w:tblpPr w:leftFromText="180" w:rightFromText="180" w:vertAnchor="text" w:tblpXSpec="center" w:tblpY="1"/>
        <w:tblOverlap w:val="never"/>
        <w:tblW w:w="99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097"/>
        <w:gridCol w:w="1954"/>
        <w:gridCol w:w="601"/>
        <w:gridCol w:w="805"/>
        <w:gridCol w:w="1525"/>
        <w:gridCol w:w="261"/>
        <w:gridCol w:w="2672"/>
      </w:tblGrid>
      <w:tr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项目名称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bCs/>
                <w:sz w:val="30"/>
                <w:szCs w:val="30"/>
              </w:rPr>
              <w:tab/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{{project.name}}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委托单位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{{unit.entrust}}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检测地址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联系人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建筑面积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{{unit.acreage}}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㎡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建筑层数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{{unit.layers}}</w:t>
            </w:r>
            <w:r>
              <w:rPr>
                <w:rFonts w:hint="eastAsia"/>
                <w:bCs/>
                <w:sz w:val="30"/>
                <w:szCs w:val="30"/>
              </w:rPr>
              <w:t>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检测人员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{{report.inspector}}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检测起止日期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{{unit.testStartDate}}</w:t>
            </w:r>
            <w:r>
              <w:rPr>
                <w:rFonts w:hint="eastAsia"/>
                <w:bCs/>
                <w:sz w:val="30"/>
                <w:szCs w:val="30"/>
              </w:rPr>
              <w:t>~</w:t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{{unit.testEndDate}}</w:t>
            </w:r>
            <w:r>
              <w:rPr>
                <w:rFonts w:hint="eastAsia"/>
                <w:bCs/>
                <w:sz w:val="30"/>
                <w:szCs w:val="30"/>
              </w:rPr>
              <w:t>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建筑使用性质</w:t>
            </w: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{{unit.nature.nature1}}</w:t>
            </w:r>
            <w:r>
              <w:rPr>
                <w:rFonts w:hint="eastAsia"/>
                <w:bCs/>
                <w:sz w:val="28"/>
                <w:szCs w:val="28"/>
              </w:rPr>
              <w:t xml:space="preserve"> 公共娱乐场所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{{unit.nature.nature2}}</w:t>
            </w:r>
            <w:r>
              <w:rPr>
                <w:rFonts w:hint="eastAsia"/>
                <w:bCs/>
                <w:sz w:val="28"/>
                <w:szCs w:val="28"/>
              </w:rPr>
              <w:t xml:space="preserve"> 酒店/宾馆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{{unit.nature.nature3}}</w:t>
            </w:r>
            <w:r>
              <w:rPr>
                <w:rFonts w:hint="eastAsia"/>
                <w:bCs/>
                <w:sz w:val="28"/>
                <w:szCs w:val="28"/>
              </w:rPr>
              <w:t xml:space="preserve"> 商场/市场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{{unit.nature.nature4}}</w:t>
            </w:r>
            <w:r>
              <w:rPr>
                <w:rFonts w:hint="eastAsia"/>
                <w:bCs/>
                <w:sz w:val="28"/>
                <w:szCs w:val="28"/>
              </w:rPr>
              <w:t xml:space="preserve"> 办公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{{unit.nature.nature5}}</w:t>
            </w:r>
            <w:r>
              <w:rPr>
                <w:rFonts w:hint="eastAsia"/>
                <w:bCs/>
                <w:sz w:val="28"/>
                <w:szCs w:val="28"/>
              </w:rPr>
              <w:t xml:space="preserve"> 车库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{{unit.nature.nature6}}</w:t>
            </w:r>
            <w:r>
              <w:rPr>
                <w:rFonts w:hint="eastAsia"/>
                <w:bCs/>
                <w:sz w:val="28"/>
                <w:szCs w:val="28"/>
              </w:rPr>
              <w:t xml:space="preserve"> 居住类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{{unit.nature.nature7}}</w:t>
            </w:r>
            <w:r>
              <w:rPr>
                <w:rFonts w:hint="eastAsia"/>
                <w:bCs/>
                <w:sz w:val="28"/>
                <w:szCs w:val="28"/>
              </w:rPr>
              <w:t xml:space="preserve"> 医院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{{unit.nature.nature8}}</w:t>
            </w:r>
            <w:r>
              <w:rPr>
                <w:rFonts w:hint="eastAsia"/>
                <w:bCs/>
                <w:sz w:val="28"/>
                <w:szCs w:val="28"/>
              </w:rPr>
              <w:t xml:space="preserve"> 学校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{{unit.nature.nature9}}</w:t>
            </w:r>
            <w:r>
              <w:rPr>
                <w:rFonts w:hint="eastAsia"/>
                <w:bCs/>
                <w:sz w:val="28"/>
                <w:szCs w:val="28"/>
              </w:rPr>
              <w:t xml:space="preserve"> 施工现场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{{unit.nature.nature10}}</w:t>
            </w:r>
            <w:r>
              <w:rPr>
                <w:rFonts w:hint="eastAsia"/>
                <w:bCs/>
                <w:sz w:val="28"/>
                <w:szCs w:val="28"/>
              </w:rPr>
              <w:t xml:space="preserve"> 其他：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7" w:hRule="atLeast"/>
          <w:jc w:val="center"/>
        </w:trPr>
        <w:tc>
          <w:tcPr>
            <w:tcW w:w="994" w:type="dxa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检测依据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《带电设备红外诊断应用规范》 DL/T 664-2016；</w:t>
            </w:r>
          </w:p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《建筑电气防火检测技术规范》 SZDB/Z 139-2015；</w:t>
            </w:r>
          </w:p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《建筑电气防火检测技术规程》DBJ/T 15-138-2018。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>
            <w:pPr>
              <w:jc w:val="center"/>
              <w:rPr>
                <w:bCs/>
                <w:sz w:val="20"/>
              </w:rPr>
            </w:pPr>
            <w:r>
              <w:rPr>
                <w:rFonts w:hint="eastAsia"/>
                <w:b/>
                <w:sz w:val="30"/>
                <w:szCs w:val="30"/>
              </w:rPr>
              <w:t>检测内容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{{unit.detectContent.item1}}</w:t>
            </w:r>
            <w:r>
              <w:rPr>
                <w:bCs/>
                <w:sz w:val="24"/>
                <w:szCs w:val="24"/>
              </w:rPr>
              <w:t xml:space="preserve"> 变配电装置温度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/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变配电装置电压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变配电装置距周围可燃物距离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照明灯具距周围可燃物距离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开关及插座安装高度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接地和等电位</w:t>
            </w:r>
            <w:r>
              <w:rPr>
                <w:rFonts w:hint="eastAsia"/>
                <w:bCs/>
                <w:sz w:val="24"/>
                <w:szCs w:val="24"/>
              </w:rPr>
              <w:t>联结</w:t>
            </w:r>
            <w:r>
              <w:rPr>
                <w:bCs/>
                <w:sz w:val="24"/>
                <w:szCs w:val="24"/>
              </w:rPr>
              <w:t>电阻值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变配电装置绝缘电阻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低压配电线路绝缘电阻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剩余电流保护装置剩余电流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电气火灾监控系统</w:t>
            </w:r>
          </w:p>
        </w:tc>
      </w:tr>
    </w:tbl>
    <w:p>
      <w:pPr>
        <w:pStyle w:val="2"/>
        <w:jc w:val="center"/>
        <w:rPr>
          <w:b/>
        </w:rPr>
      </w:pPr>
      <w:r>
        <w:rPr>
          <w:b/>
        </w:rPr>
        <w:br w:type="page"/>
      </w:r>
    </w:p>
    <w:tbl>
      <w:tblPr>
        <w:tblStyle w:val="5"/>
        <w:tblW w:w="9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6" w:type="dxa"/>
            <w:noWrap w:val="0"/>
            <w:vAlign w:val="top"/>
          </w:tcPr>
          <w:p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</w:rPr>
              <w:t>检测结论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47" w:hRule="atLeast"/>
        </w:trPr>
        <w:tc>
          <w:tcPr>
            <w:tcW w:w="9936" w:type="dxa"/>
            <w:noWrap w:val="0"/>
            <w:vAlign w:val="top"/>
          </w:tcPr>
          <w:p>
            <w:pPr>
              <w:ind w:firstLine="60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依据《带电设备红外诊断应用规范》DL/T 664-2016、《建筑电气防火检测技术规范》SZDB/Z 139-2015、《建筑电气防火检测技术规程》DBJ/T 15-138-2018等规范；我公司对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  <w:lang w:val="en-US" w:eastAsia="zh-CN"/>
              </w:rPr>
              <w:t>{{unit.name}}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进行电气检测，结果如下</w:t>
            </w:r>
            <w:r>
              <w:rPr>
                <w:rFonts w:hint="eastAsia" w:cs="宋体"/>
                <w:color w:val="000000"/>
                <w:sz w:val="28"/>
                <w:szCs w:val="28"/>
              </w:rPr>
              <w:t>：</w:t>
            </w:r>
          </w:p>
          <w:p>
            <w:pPr>
              <w:numPr>
                <w:ilvl w:val="0"/>
                <w:numId w:val="2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检测符合项：</w:t>
            </w:r>
          </w:p>
          <w:p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{{?conformb}}</w:t>
            </w:r>
          </w:p>
          <w:p>
            <w:pPr>
              <w:pStyle w:val="2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>
            <w:pPr>
              <w:pStyle w:val="2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检测不符合项</w:t>
            </w:r>
            <w:r>
              <w:rPr>
                <w:b/>
                <w:bCs/>
                <w:color w:val="000000"/>
                <w:sz w:val="28"/>
                <w:szCs w:val="28"/>
              </w:rPr>
              <w:t>：</w:t>
            </w:r>
          </w:p>
          <w:p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{{?nconformb}}</w:t>
            </w:r>
          </w:p>
          <w:p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>
            <w:pPr>
              <w:pStyle w:val="2"/>
              <w:ind w:firstLine="560" w:firstLineChars="20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整改建议：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{{suggestions}}</w:t>
            </w:r>
          </w:p>
          <w:p>
            <w:pPr>
              <w:spacing w:line="360" w:lineRule="auto"/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直观检测不符合项及整改建议：</w:t>
            </w: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{{?nconform}}</w:t>
            </w: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{{_index+1}}、{{location}}{{description}}</w:t>
            </w:r>
          </w:p>
          <w:p>
            <w:pPr>
              <w:pStyle w:val="2"/>
              <w:ind w:firstLine="56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整改建议：{{suggestions}}</w:t>
            </w:r>
          </w:p>
          <w:p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{{/}}</w:t>
            </w:r>
          </w:p>
          <w:p/>
          <w:p>
            <w:pPr>
              <w:numPr>
                <w:ilvl w:val="0"/>
                <w:numId w:val="2"/>
              </w:numPr>
              <w:rPr>
                <w:rFonts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火灾危险等级评定</w:t>
            </w:r>
          </w:p>
          <w:p>
            <w:pPr>
              <w:ind w:firstLine="560" w:firstLineChars="20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根据《建筑电气防火检测技术规范》SZDB/Z 139—2015中6.1.1、6.2.2.d），</w:t>
            </w:r>
            <w:r>
              <w:rPr>
                <w:b/>
                <w:sz w:val="28"/>
                <w:szCs w:val="28"/>
              </w:rPr>
              <w:t>被测部分</w:t>
            </w:r>
            <w:r>
              <w:rPr>
                <w:rFonts w:hint="eastAsia"/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级隐患点数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  <w:u w:val="single"/>
                <w:lang w:val="en-US" w:eastAsia="zh-CN"/>
              </w:rPr>
              <w:t>{{unit.dangers}}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</w:rPr>
              <w:t>处，由此判定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{{unit.name}}</w:t>
            </w:r>
            <w:r>
              <w:rPr>
                <w:b/>
                <w:sz w:val="28"/>
                <w:szCs w:val="28"/>
              </w:rPr>
              <w:t>地火灾危险等级为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b/>
                <w:sz w:val="28"/>
                <w:szCs w:val="28"/>
              </w:rPr>
              <w:t>级（存在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b/>
                <w:sz w:val="28"/>
                <w:szCs w:val="28"/>
              </w:rPr>
              <w:t>类），即被测部分存在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b/>
                <w:sz w:val="28"/>
                <w:szCs w:val="28"/>
              </w:rPr>
              <w:t>电气火灾隐患</w:t>
            </w:r>
            <w:r>
              <w:rPr>
                <w:rFonts w:hint="eastAsia"/>
                <w:b/>
                <w:sz w:val="28"/>
                <w:szCs w:val="28"/>
              </w:rPr>
              <w:t>。</w:t>
            </w:r>
          </w:p>
          <w:p>
            <w:pPr>
              <w:jc w:val="left"/>
              <w:rPr>
                <w:rFonts w:cs="宋体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</w:tc>
      </w:tr>
    </w:tbl>
    <w:p>
      <w:pPr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b/>
        </w:rPr>
        <w:br w:type="page"/>
      </w:r>
      <w:r>
        <w:rPr>
          <w:rFonts w:hint="eastAsia" w:cs="宋体"/>
          <w:b/>
          <w:bCs/>
          <w:color w:val="000000"/>
          <w:sz w:val="28"/>
          <w:szCs w:val="28"/>
        </w:rPr>
        <w:t>提请受检单位注意下列事项：</w:t>
      </w:r>
    </w:p>
    <w:p>
      <w:pPr>
        <w:ind w:firstLine="562" w:firstLineChars="200"/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未在本次检测范围内的电气设施也应做好相应的维护保养工作，加强巡视、防止电气安全隐患发生，发现隐患及时采取有效技术措施消除安全隐患，以防产生严重后果，同时提出以下建议：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对检测报告指出的问题应引起高度重视，对检测中发现的安全隐患要及时加以整改，采取有效技术措施消除安全隐患，谨防产生严重后果。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本次检测是在现有设备、线路容量以及一定的负载的条件下进行的，一旦检测条件发生变化，例如：增加电气设备、改扩建线路、节日或季节性负荷骤增等，都将使运行状况发生变化。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检测报告有图像有数据，有准确隐患位置，可操作性强，建议对照检测报告隐患分清轻重缓急及时进行整改，建议整改后进行验收检测，以确保彻底消除安全隐患。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对检测报告中如有疑难问题，可随时与我们联系，或直接向参加检测的工程技术人员咨询。</w:t>
      </w: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主检：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  </w:t>
      </w:r>
      <w:r>
        <w:rPr>
          <w:rFonts w:hint="eastAsia" w:cs="黑体"/>
          <w:color w:val="000000"/>
          <w:sz w:val="28"/>
          <w:szCs w:val="28"/>
        </w:rPr>
        <w:t xml:space="preserve"> 审核：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  </w:t>
      </w:r>
      <w:r>
        <w:rPr>
          <w:rFonts w:hint="eastAsia" w:cs="黑体"/>
          <w:color w:val="000000"/>
          <w:sz w:val="28"/>
          <w:szCs w:val="28"/>
        </w:rPr>
        <w:t>批准：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 </w:t>
      </w:r>
    </w:p>
    <w:p>
      <w:pPr>
        <w:widowControl/>
        <w:spacing w:before="156" w:beforeLines="50" w:line="480" w:lineRule="auto"/>
        <w:jc w:val="righ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 xml:space="preserve">检测机构： </w:t>
      </w:r>
      <w:r>
        <w:rPr>
          <w:rFonts w:hint="eastAsia" w:cs="黑体"/>
          <w:color w:val="000000"/>
          <w:sz w:val="28"/>
          <w:szCs w:val="28"/>
          <w:lang w:val="en-US" w:eastAsia="zh-CN"/>
        </w:rPr>
        <w:t xml:space="preserve">{{detect.name}} </w:t>
      </w:r>
      <w:r>
        <w:rPr>
          <w:rFonts w:hint="eastAsia" w:cs="黑体"/>
          <w:color w:val="000000"/>
          <w:sz w:val="28"/>
          <w:szCs w:val="28"/>
        </w:rPr>
        <w:tab/>
      </w:r>
    </w:p>
    <w:p>
      <w:pPr>
        <w:ind w:firstLine="5678" w:firstLineChars="2028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签发日期：</w:t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</w:rPr>
        <w:t>年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月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日</w:t>
      </w:r>
    </w:p>
    <w:p>
      <w:pPr>
        <w:ind w:firstLine="5880" w:firstLineChars="2100"/>
        <w:rPr>
          <w:rFonts w:cs="黑体"/>
          <w:color w:val="000000"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</w:rPr>
        <w:br w:type="page"/>
      </w:r>
      <w:r>
        <w:rPr>
          <w:rFonts w:hint="eastAsia"/>
          <w:b/>
          <w:sz w:val="28"/>
          <w:szCs w:val="28"/>
        </w:rPr>
        <w:t>仪器设备清单（检测单位自带）</w:t>
      </w:r>
    </w:p>
    <w:tbl>
      <w:tblPr>
        <w:tblStyle w:val="10"/>
        <w:tblW w:w="524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2098"/>
        <w:gridCol w:w="1259"/>
        <w:gridCol w:w="2192"/>
        <w:gridCol w:w="2115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3" w:hRule="exact"/>
          <w:jc w:val="center"/>
        </w:trPr>
        <w:tc>
          <w:tcPr>
            <w:tcW w:w="516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{{device}}</w:t>
            </w: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06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仪器设备名称</w:t>
            </w:r>
          </w:p>
        </w:tc>
        <w:tc>
          <w:tcPr>
            <w:tcW w:w="604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型号</w:t>
            </w:r>
          </w:p>
        </w:tc>
        <w:tc>
          <w:tcPr>
            <w:tcW w:w="1052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</w:t>
            </w:r>
            <w:r>
              <w:rPr>
                <w:sz w:val="24"/>
                <w:szCs w:val="24"/>
              </w:rPr>
              <w:t>编号</w:t>
            </w:r>
          </w:p>
        </w:tc>
        <w:tc>
          <w:tcPr>
            <w:tcW w:w="1015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校准有效日期</w:t>
            </w:r>
          </w:p>
        </w:tc>
        <w:tc>
          <w:tcPr>
            <w:tcW w:w="805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7" w:hRule="atLeast"/>
          <w:jc w:val="center"/>
        </w:trPr>
        <w:tc>
          <w:tcPr>
            <w:tcW w:w="516" w:type="pct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[_index+1]</w:t>
            </w:r>
          </w:p>
        </w:tc>
        <w:tc>
          <w:tcPr>
            <w:tcW w:w="1006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[name]</w:t>
            </w:r>
          </w:p>
        </w:tc>
        <w:tc>
          <w:tcPr>
            <w:tcW w:w="604" w:type="pct"/>
            <w:noWrap w:val="0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[deviceId]</w:t>
            </w:r>
          </w:p>
        </w:tc>
        <w:tc>
          <w:tcPr>
            <w:tcW w:w="1015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[calibrationDate]</w:t>
            </w:r>
          </w:p>
        </w:tc>
        <w:tc>
          <w:tcPr>
            <w:tcW w:w="805" w:type="pct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sz w:val="24"/>
                <w:szCs w:val="24"/>
              </w:rPr>
            </w:pPr>
          </w:p>
        </w:tc>
      </w:tr>
    </w:tbl>
    <w:p>
      <w:r>
        <w:rPr>
          <w:rFonts w:hint="eastAsia"/>
        </w:rPr>
        <w:t>注：当同一项目出现跨日期使用不同设备检测时，请在备注中说明携带时间。</w:t>
      </w:r>
      <w:r>
        <w:rPr>
          <w:rFonts w:hint="eastAsia"/>
        </w:rPr>
        <w:br w:type="page"/>
      </w:r>
    </w:p>
    <w:sectPr>
      <w:headerReference r:id="rId5" w:type="default"/>
      <w:footerReference r:id="rId6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B2j1bgMwIAAGU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JfXXrWAAAACgEAAA8AAAAAAAAAAQAgAAAAOAAAAGRycy9kb3ducmV2LnhtbFBLAQIUABQA&#10;AAAIAIdO4kAJvezm3AEAAMADAAAOAAAAAAAAAAEAIAAAADs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BCE44"/>
    <w:multiLevelType w:val="singleLevel"/>
    <w:tmpl w:val="A9ABCE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E687CBA"/>
    <w:multiLevelType w:val="singleLevel"/>
    <w:tmpl w:val="CE687C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F84AC1"/>
    <w:multiLevelType w:val="singleLevel"/>
    <w:tmpl w:val="59F84A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BCBAD89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BFF48A8"/>
    <w:rsid w:val="1C890801"/>
    <w:rsid w:val="1CDE2D1A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7ED9F20"/>
    <w:rsid w:val="27FBEDEC"/>
    <w:rsid w:val="284B1061"/>
    <w:rsid w:val="2A0C5869"/>
    <w:rsid w:val="2D171955"/>
    <w:rsid w:val="2F04437D"/>
    <w:rsid w:val="2FDF079E"/>
    <w:rsid w:val="30711890"/>
    <w:rsid w:val="31473CE8"/>
    <w:rsid w:val="327D62BB"/>
    <w:rsid w:val="366E325C"/>
    <w:rsid w:val="369B3BC7"/>
    <w:rsid w:val="36A52284"/>
    <w:rsid w:val="379F2925"/>
    <w:rsid w:val="37A5112E"/>
    <w:rsid w:val="37DF5920"/>
    <w:rsid w:val="37FFCED1"/>
    <w:rsid w:val="38586F64"/>
    <w:rsid w:val="39131BA3"/>
    <w:rsid w:val="3A853DED"/>
    <w:rsid w:val="3B1B201C"/>
    <w:rsid w:val="3BE62A8F"/>
    <w:rsid w:val="3FA17C0F"/>
    <w:rsid w:val="3FDD35D3"/>
    <w:rsid w:val="3FF345B7"/>
    <w:rsid w:val="415D621A"/>
    <w:rsid w:val="437F027B"/>
    <w:rsid w:val="44152655"/>
    <w:rsid w:val="44E80FED"/>
    <w:rsid w:val="45DD1C36"/>
    <w:rsid w:val="49592A33"/>
    <w:rsid w:val="4AB522A7"/>
    <w:rsid w:val="4C4874E2"/>
    <w:rsid w:val="4D654F35"/>
    <w:rsid w:val="4D7ECE48"/>
    <w:rsid w:val="4FC16AE2"/>
    <w:rsid w:val="519B357D"/>
    <w:rsid w:val="520B5933"/>
    <w:rsid w:val="535B7294"/>
    <w:rsid w:val="53C3291D"/>
    <w:rsid w:val="54176321"/>
    <w:rsid w:val="57045EB0"/>
    <w:rsid w:val="57C758BA"/>
    <w:rsid w:val="587F7BAB"/>
    <w:rsid w:val="59E832FB"/>
    <w:rsid w:val="5AD54636"/>
    <w:rsid w:val="5ADFA997"/>
    <w:rsid w:val="5B4478B0"/>
    <w:rsid w:val="5E5F12FE"/>
    <w:rsid w:val="5E6F213A"/>
    <w:rsid w:val="5E7F9A5D"/>
    <w:rsid w:val="5FBCEF04"/>
    <w:rsid w:val="60932FCA"/>
    <w:rsid w:val="61B542E5"/>
    <w:rsid w:val="626C7732"/>
    <w:rsid w:val="631D4DCC"/>
    <w:rsid w:val="64CD09A3"/>
    <w:rsid w:val="656542F3"/>
    <w:rsid w:val="67E2E421"/>
    <w:rsid w:val="685228FF"/>
    <w:rsid w:val="6B373428"/>
    <w:rsid w:val="6B98437C"/>
    <w:rsid w:val="6BF17C9B"/>
    <w:rsid w:val="6D536587"/>
    <w:rsid w:val="6FAA66DE"/>
    <w:rsid w:val="6FEF9363"/>
    <w:rsid w:val="70B7FF2B"/>
    <w:rsid w:val="73EA337E"/>
    <w:rsid w:val="75823F55"/>
    <w:rsid w:val="75E0377E"/>
    <w:rsid w:val="7677B3E8"/>
    <w:rsid w:val="79CDC93F"/>
    <w:rsid w:val="7BB653D5"/>
    <w:rsid w:val="7BCFEACE"/>
    <w:rsid w:val="7C986FF0"/>
    <w:rsid w:val="7CB43F32"/>
    <w:rsid w:val="7D256900"/>
    <w:rsid w:val="7D87EBFA"/>
    <w:rsid w:val="7E58588E"/>
    <w:rsid w:val="7E776976"/>
    <w:rsid w:val="7ECF18B5"/>
    <w:rsid w:val="7F666769"/>
    <w:rsid w:val="7FA37A0C"/>
    <w:rsid w:val="7FCD0134"/>
    <w:rsid w:val="7FEBAB15"/>
    <w:rsid w:val="7FFDBA62"/>
    <w:rsid w:val="9BBEB3CA"/>
    <w:rsid w:val="ABED8773"/>
    <w:rsid w:val="BF87D900"/>
    <w:rsid w:val="CB6E2465"/>
    <w:rsid w:val="CEF7ADC9"/>
    <w:rsid w:val="D35EF1B9"/>
    <w:rsid w:val="D5FB042E"/>
    <w:rsid w:val="DFDE6D9A"/>
    <w:rsid w:val="E7F6BDEB"/>
    <w:rsid w:val="EA7F387C"/>
    <w:rsid w:val="EAAD8FA2"/>
    <w:rsid w:val="EB9F3019"/>
    <w:rsid w:val="EF76185A"/>
    <w:rsid w:val="F3ED4FA5"/>
    <w:rsid w:val="F3FBDDDB"/>
    <w:rsid w:val="F7F7B28D"/>
    <w:rsid w:val="F9F7885A"/>
    <w:rsid w:val="FA2009AB"/>
    <w:rsid w:val="FBAF1985"/>
    <w:rsid w:val="FCFE1DA2"/>
    <w:rsid w:val="FE3E65B1"/>
    <w:rsid w:val="FEEF4F5D"/>
    <w:rsid w:val="FF2FCF6F"/>
    <w:rsid w:val="FFB57B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2753</Words>
  <Characters>15696</Characters>
  <Lines>130</Lines>
  <Paragraphs>36</Paragraphs>
  <TotalTime>2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Administrator</dc:creator>
  <cp:lastModifiedBy>FrontTang</cp:lastModifiedBy>
  <cp:lastPrinted>2024-05-14T17:02:00Z</cp:lastPrinted>
  <dcterms:modified xsi:type="dcterms:W3CDTF">2024-09-13T12:05:17Z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EB8FECC6F9C981E265D7996606F56B31_43</vt:lpwstr>
  </property>
</Properties>
</file>