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Style w:val="6"/>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11"/>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11"/>
        <w:rPr>
          <w:rFonts w:hint="default" w:ascii="Times New Roman" w:hAnsi="Times New Roman" w:cs="Times New Roman"/>
        </w:rPr>
      </w:pPr>
    </w:p>
    <w:p>
      <w:pPr>
        <w:rPr>
          <w:rFonts w:hint="default" w:ascii="Times New Roman" w:hAnsi="Times New Roman" w:cs="Times New Roman"/>
        </w:rPr>
      </w:pPr>
    </w:p>
    <w:p>
      <w:pPr>
        <w:pStyle w:val="11"/>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11"/>
        <w:spacing w:before="1"/>
        <w:rPr>
          <w:rFonts w:hint="default" w:ascii="Times New Roman" w:hAnsi="Times New Roman" w:cs="Times New Roman"/>
          <w:sz w:val="31"/>
        </w:rPr>
      </w:pPr>
    </w:p>
    <w:tbl>
      <w:tblPr>
        <w:tblStyle w:val="5"/>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11"/>
        <w:rPr>
          <w:rFonts w:hint="default" w:ascii="Times New Roman" w:hAnsi="Times New Roman" w:eastAsia="宋体" w:cs="Times New Roman"/>
          <w:sz w:val="30"/>
          <w:szCs w:val="30"/>
        </w:rPr>
      </w:pPr>
    </w:p>
    <w:p>
      <w:pPr>
        <w:pStyle w:val="11"/>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lang w:val="en-US" w:eastAsia="zh-CN"/>
        </w:rPr>
        <w:t xml:space="preserve">    </w:t>
      </w:r>
      <w:r>
        <w:rPr>
          <w:rFonts w:hint="eastAsia"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{{detect.address}}                               </w:t>
      </w:r>
      <w:r>
        <w:rPr>
          <w:rFonts w:hint="eastAsia" w:cs="Times New Roman"/>
          <w:spacing w:val="-6"/>
          <w:sz w:val="28"/>
          <w:szCs w:val="28"/>
          <w:u w:val="single"/>
          <w:lang w:val="en-US" w:eastAsia="zh-CN"/>
        </w:rPr>
        <w:t xml:space="preserve">     </w:t>
      </w:r>
      <w:r>
        <w:rPr>
          <w:rFonts w:hint="default" w:ascii="Times New Roman" w:hAnsi="Times New Roman" w:eastAsia="宋体" w:cs="Times New Roman"/>
          <w:spacing w:val="-6"/>
          <w:sz w:val="28"/>
          <w:szCs w:val="28"/>
          <w:u w:val="single"/>
          <w:lang w:val="en-US"/>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u w:val="single"/>
          <w:lang w:val="en-US" w:eastAsia="zh-CN"/>
        </w:rPr>
        <w:t>{{detect.contactPhone}}</w:t>
      </w:r>
      <w:r>
        <w:rPr>
          <w:rFonts w:hint="default" w:ascii="Times New Roman" w:hAnsi="Times New Roman" w:eastAsia="宋体" w:cs="Times New Roman"/>
          <w:sz w:val="28"/>
          <w:szCs w:val="28"/>
          <w:u w:val="single"/>
        </w:rPr>
        <w:tab/>
      </w:r>
      <w:r>
        <w:rPr>
          <w:rFonts w:hint="default" w:ascii="Times New Roman" w:hAnsi="Times New Roman" w:eastAsia="宋体" w:cs="Times New Roman"/>
          <w:sz w:val="28"/>
          <w:szCs w:val="28"/>
          <w:u w:val="single"/>
          <w:lang w:val="en-US"/>
        </w:rPr>
        <w:t xml:space="preserve">           </w:t>
      </w:r>
      <w:r>
        <w:rPr>
          <w:rFonts w:hint="eastAsia" w:cs="Times New Roman"/>
          <w:sz w:val="28"/>
          <w:szCs w:val="28"/>
          <w:u w:val="single"/>
          <w:lang w:val="en-US" w:eastAsia="zh-CN"/>
        </w:rPr>
        <w:t xml:space="preserve">     </w:t>
      </w:r>
      <w:bookmarkStart w:id="1" w:name="_GoBack"/>
      <w:bookmarkEnd w:id="1"/>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5"/>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[count]</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eastAsia="宋体" w:cs="Times New Roman"/>
          <w:b/>
          <w:bCs/>
          <w:sz w:val="28"/>
          <w:lang w:val="en-US" w:eastAsia="zh-CN"/>
        </w:rPr>
      </w:pPr>
      <w:r>
        <w:rPr>
          <w:rFonts w:hint="default" w:ascii="Times New Roman" w:hAnsi="Times New Roman" w:eastAsia="宋体" w:cs="Times New Roman"/>
          <w:b/>
          <w:bCs/>
          <w:sz w:val="36"/>
          <w:szCs w:val="36"/>
          <w:lang w:val="en-US" w:eastAsia="zh-CN"/>
        </w:rPr>
        <w:t>被测充电设施信息</w:t>
      </w:r>
    </w:p>
    <w:p>
      <w:pPr>
        <w:pStyle w:val="15"/>
        <w:spacing w:line="240" w:lineRule="auto"/>
        <w:jc w:val="both"/>
        <w:rPr>
          <w:rFonts w:hint="default" w:ascii="Times New Roman" w:hAnsi="Times New Roman" w:cs="Times New Roman"/>
          <w:b/>
          <w:bCs/>
          <w:sz w:val="13"/>
          <w:szCs w:val="13"/>
          <w:lang w:val="en-US" w:eastAsia="zh-CN"/>
        </w:rPr>
      </w:pPr>
    </w:p>
    <w:p>
      <w:pPr>
        <w:pStyle w:val="15"/>
        <w:spacing w:line="240" w:lineRule="auto"/>
        <w:rPr>
          <w:rFonts w:hint="default" w:ascii="Times New Roman" w:hAnsi="Times New Roman" w:cs="Times New Roman"/>
        </w:rPr>
      </w:pPr>
    </w:p>
    <w:tbl>
      <w:tblPr>
        <w:tblStyle w:val="17"/>
        <w:tblpPr w:leftFromText="180" w:rightFromText="180" w:vertAnchor="page" w:horzAnchor="page" w:tblpXSpec="center" w:tblpY="1672"/>
        <w:tblOverlap w:val="never"/>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3"/>
        <w:gridCol w:w="1368"/>
        <w:gridCol w:w="1368"/>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39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 w:hRule="atLeast"/>
          <w:jc w:val="center"/>
        </w:trPr>
        <w:tc>
          <w:tcPr>
            <w:tcW w:w="399"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bCs/>
                <w:kern w:val="2"/>
                <w:sz w:val="21"/>
                <w:szCs w:val="21"/>
                <w:lang w:val="en-US" w:eastAsia="zh-CN" w:bidi="ar-SA"/>
              </w:rPr>
            </w:pPr>
            <w:r>
              <w:rPr>
                <w:rFonts w:hint="eastAsia" w:ascii="宋体" w:hAnsi="宋体" w:eastAsia="宋体" w:cs="Times New Roman"/>
                <w:b/>
                <w:bCs/>
                <w:szCs w:val="21"/>
                <w:lang w:val="en-US" w:eastAsia="zh-CN"/>
              </w:rPr>
              <w:t>[</w:t>
            </w:r>
            <w:r>
              <w:rPr>
                <w:rFonts w:hint="default" w:ascii="宋体" w:hAnsi="宋体" w:eastAsia="宋体" w:cs="Times New Roman"/>
                <w:b/>
                <w:bCs/>
                <w:szCs w:val="21"/>
                <w:lang w:val="en-US" w:eastAsia="zh-CN"/>
              </w:rPr>
              <w:t>_index + 1</w:t>
            </w:r>
            <w:r>
              <w:rPr>
                <w:rFonts w:hint="eastAsia" w:ascii="宋体" w:hAnsi="宋体" w:eastAsia="宋体" w:cs="Times New Roman"/>
                <w:b/>
                <w:bCs/>
                <w:szCs w:val="21"/>
                <w:lang w:val="en-US" w:eastAsia="zh-CN"/>
              </w:rPr>
              <w:t>]</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[type]</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[model]</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[power]</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[code]</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5"/>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4091"/>
        <w:gridCol w:w="1575"/>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448" w:type="dxa"/>
            <w:noWrap w:val="0"/>
            <w:vAlign w:val="top"/>
          </w:tcPr>
          <w:p>
            <w:pPr>
              <w:rPr>
                <w:b/>
                <w:bCs/>
                <w:sz w:val="24"/>
                <w:szCs w:val="24"/>
              </w:rPr>
            </w:pPr>
            <w:r>
              <w:rPr>
                <w:rFonts w:hint="eastAsia"/>
                <w:b/>
                <w:bCs/>
                <w:szCs w:val="21"/>
                <w:lang w:val="en-US" w:eastAsia="zh-CN"/>
              </w:rPr>
              <w:t>{{danger}}</w:t>
            </w:r>
            <w:r>
              <w:rPr>
                <w:rFonts w:hint="eastAsia"/>
                <w:b/>
                <w:bCs/>
                <w:szCs w:val="21"/>
              </w:rPr>
              <w:t>隐患位置</w:t>
            </w:r>
          </w:p>
        </w:tc>
        <w:tc>
          <w:tcPr>
            <w:tcW w:w="4091" w:type="dxa"/>
            <w:noWrap w:val="0"/>
            <w:vAlign w:val="center"/>
          </w:tcPr>
          <w:p>
            <w:pPr>
              <w:ind w:left="-1126" w:leftChars="-536" w:firstLine="1125" w:firstLineChars="467"/>
              <w:rPr>
                <w:sz w:val="24"/>
                <w:szCs w:val="24"/>
              </w:rPr>
            </w:pPr>
            <w:r>
              <w:rPr>
                <w:b/>
                <w:bCs/>
                <w:sz w:val="24"/>
                <w:szCs w:val="24"/>
              </w:rPr>
              <w:t>安全风险点排查信息</w:t>
            </w:r>
          </w:p>
        </w:tc>
        <w:tc>
          <w:tcPr>
            <w:tcW w:w="4243"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448"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w:t>
            </w:r>
          </w:p>
        </w:tc>
        <w:tc>
          <w:tcPr>
            <w:tcW w:w="4091"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[description]</w:t>
            </w:r>
          </w:p>
        </w:tc>
        <w:tc>
          <w:tcPr>
            <w:tcW w:w="4243"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448" w:type="dxa"/>
            <w:noWrap w:val="0"/>
            <w:vAlign w:val="center"/>
          </w:tcPr>
          <w:p>
            <w:pPr>
              <w:jc w:val="center"/>
              <w:rPr>
                <w:b/>
                <w:bCs/>
                <w:szCs w:val="21"/>
              </w:rPr>
            </w:pPr>
            <w:r>
              <w:rPr>
                <w:b/>
                <w:bCs/>
                <w:szCs w:val="21"/>
              </w:rPr>
              <w:t>安全系数</w:t>
            </w:r>
          </w:p>
        </w:tc>
        <w:tc>
          <w:tcPr>
            <w:tcW w:w="4091"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2668"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pStyle w:val="11"/>
        <w:rPr>
          <w:rFonts w:hint="default" w:ascii="Times New Roman" w:hAnsi="Times New Roman" w:eastAsia="宋体" w:cs="Times New Roman"/>
          <w:b/>
          <w:bCs/>
          <w:sz w:val="36"/>
          <w:szCs w:val="36"/>
          <w:lang w:eastAsia="zh-CN"/>
        </w:rPr>
      </w:pPr>
      <w:r>
        <w:rPr>
          <w:rFonts w:hint="eastAsia"/>
        </w:rPr>
        <w:t>{{?</w:t>
      </w:r>
      <w:r>
        <w:rPr>
          <w:rFonts w:hint="eastAsia"/>
          <w:lang w:val="en-US" w:eastAsia="zh-CN"/>
        </w:rPr>
        <w:t>form</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cs="Times New Roman"/>
          <w:b/>
          <w:bCs/>
          <w:sz w:val="32"/>
          <w:szCs w:val="32"/>
          <w:lang w:val="en-US" w:eastAsia="zh-CN"/>
        </w:rPr>
      </w:pPr>
      <w:r>
        <w:rPr>
          <w:rFonts w:hint="eastAsia" w:cs="Times New Roman"/>
          <w:b/>
          <w:bCs/>
          <w:sz w:val="32"/>
          <w:szCs w:val="32"/>
          <w:lang w:val="en-US" w:eastAsia="zh-CN"/>
        </w:rPr>
        <w:t>{{</w:t>
      </w:r>
      <w:r>
        <w:rPr>
          <w:rFonts w:hint="default" w:cs="Times New Roman"/>
          <w:b/>
          <w:bCs/>
          <w:sz w:val="32"/>
          <w:szCs w:val="32"/>
          <w:lang w:val="en-US" w:eastAsia="zh-CN"/>
        </w:rPr>
        <w:t>_index + 1</w:t>
      </w:r>
      <w:r>
        <w:rPr>
          <w:rFonts w:hint="eastAsia" w:cs="Times New Roman"/>
          <w:b/>
          <w:bCs/>
          <w:sz w:val="32"/>
          <w:szCs w:val="32"/>
          <w:lang w:val="en-US" w:eastAsia="zh-CN"/>
        </w:rPr>
        <w:t>}}</w:t>
      </w:r>
      <w:r>
        <w:rPr>
          <w:rFonts w:hint="default" w:cs="Times New Roman"/>
          <w:b/>
          <w:bCs/>
          <w:sz w:val="32"/>
          <w:szCs w:val="32"/>
          <w:lang w:val="en-US" w:eastAsia="zh-CN"/>
        </w:rPr>
        <w:t>、</w:t>
      </w:r>
      <w:r>
        <w:rPr>
          <w:rFonts w:hint="eastAsia" w:cs="Times New Roman"/>
          <w:b/>
          <w:bCs/>
          <w:sz w:val="32"/>
          <w:szCs w:val="32"/>
          <w:lang w:val="en-US" w:eastAsia="zh-CN"/>
        </w:rPr>
        <w:t>{{name}}</w:t>
      </w:r>
    </w:p>
    <w:tbl>
      <w:tblPr>
        <w:tblStyle w:val="5"/>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{{data}}</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28"/>
          <w:lang w:val="en-US" w:eastAsia="zh-CN"/>
        </w:rPr>
      </w:pPr>
      <w:r>
        <w:rPr>
          <w:rFonts w:hint="eastAsia" w:cs="Times New Roman"/>
          <w:b/>
          <w:bCs/>
          <w:sz w:val="28"/>
          <w:lang w:val="en-US" w:eastAsia="zh-CN"/>
        </w:rPr>
        <w:br w:type="page"/>
      </w:r>
    </w:p>
    <w:p>
      <w:pPr>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lang w:val="en-US" w:eastAsia="zh-CN"/>
        </w:rPr>
      </w:pPr>
      <w:r>
        <w:rPr>
          <w:rFonts w:hint="eastAsia" w:cs="Times New Roman"/>
          <w:lang w:val="en-US" w:eastAsia="zh-CN"/>
        </w:rPr>
        <w:t>{{pileForm.name}}</w:t>
      </w:r>
    </w:p>
    <w:p>
      <w:pPr>
        <w:rPr>
          <w:rFonts w:hint="default"/>
          <w:lang w:val="en-US" w:eastAsia="zh-CN"/>
        </w:rPr>
      </w:pPr>
      <w:r>
        <w:rPr>
          <w:rFonts w:hint="eastAsia" w:cs="Times New Roman"/>
          <w:lang w:val="en-US" w:eastAsia="zh-CN"/>
        </w:rPr>
        <w:t>{{?pileForm.pileForms}}</w:t>
      </w: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{{name}}</w:t>
      </w:r>
    </w:p>
    <w:p>
      <w:pPr>
        <w:rPr>
          <w:rFonts w:hint="default"/>
          <w:lang w:val="en-US" w:eastAsia="zh-CN"/>
        </w:rPr>
      </w:pPr>
      <w:r>
        <w:rPr>
          <w:rFonts w:hint="eastAsia" w:cs="Times New Roman"/>
          <w:b/>
          <w:bCs/>
          <w:kern w:val="2"/>
          <w:sz w:val="28"/>
          <w:szCs w:val="28"/>
          <w:lang w:val="en-US" w:eastAsia="zh-CN" w:bidi="ar-SA"/>
        </w:rPr>
        <w:t>{{?pileFormDatas}}</w:t>
      </w:r>
    </w:p>
    <w:tbl>
      <w:tblPr>
        <w:tblStyle w:val="5"/>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729"/>
        <w:gridCol w:w="1618"/>
        <w:gridCol w:w="1618"/>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序号</w:t>
            </w:r>
          </w:p>
        </w:tc>
        <w:tc>
          <w:tcPr>
            <w:tcW w:w="2729"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cs="Times New Roman"/>
              </w:rPr>
            </w:pPr>
          </w:p>
        </w:tc>
        <w:tc>
          <w:tcPr>
            <w:tcW w:w="2729"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cs="Times New Roman"/>
              </w:rPr>
            </w:pP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eastAsia" w:cs="Times New Roman"/>
                <w:b/>
                <w:sz w:val="24"/>
                <w:szCs w:val="24"/>
                <w:lang w:val="en-US" w:eastAsia="zh-CN"/>
              </w:rPr>
              <w:t>{{pileFormData}}</w:t>
            </w:r>
            <w:r>
              <w:rPr>
                <w:rFonts w:hint="default" w:ascii="Times New Roman" w:hAnsi="Times New Roman" w:eastAsia="宋体" w:cs="Times New Roman"/>
                <w:b/>
                <w:sz w:val="24"/>
                <w:szCs w:val="24"/>
              </w:rPr>
              <w:t>风险点</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[firstCode]</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[firstContent]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[result1]</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[result2]</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[result3]</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[result4]</w:t>
            </w:r>
          </w:p>
        </w:tc>
      </w:tr>
    </w:tbl>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default" w:cs="Times New Roman"/>
          <w:b/>
          <w:bCs/>
          <w:sz w:val="28"/>
          <w:lang w:val="en-US" w:eastAsia="zh-CN"/>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cs="Times New Roman"/>
          <w:b/>
          <w:bCs/>
          <w:sz w:val="28"/>
          <w:lang w:val="en-US" w:eastAsia="zh-CN"/>
        </w:rPr>
        <w:t>{{/}}</w:t>
      </w: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 w:name="汉仪楷体简">
    <w:panose1 w:val="02010600000101010101"/>
    <w:charset w:val="86"/>
    <w:family w:val="auto"/>
    <w:pitch w:val="default"/>
    <w:sig w:usb0="00000001" w:usb1="080E0800" w:usb2="00000002" w:usb3="00000000" w:csb0="00040000"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7CBF0"/>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BDF2527"/>
    <w:rsid w:val="3BFECC52"/>
    <w:rsid w:val="3C153B0D"/>
    <w:rsid w:val="3CB15821"/>
    <w:rsid w:val="3CCF5539"/>
    <w:rsid w:val="3D0657A9"/>
    <w:rsid w:val="3D3056F4"/>
    <w:rsid w:val="3D883508"/>
    <w:rsid w:val="3DA75179"/>
    <w:rsid w:val="3DB65BA2"/>
    <w:rsid w:val="3DCA67EC"/>
    <w:rsid w:val="3DCD4063"/>
    <w:rsid w:val="3DD44589"/>
    <w:rsid w:val="3E15659F"/>
    <w:rsid w:val="3E632162"/>
    <w:rsid w:val="3E696F1B"/>
    <w:rsid w:val="3E920582"/>
    <w:rsid w:val="3E9571B9"/>
    <w:rsid w:val="3E9726BC"/>
    <w:rsid w:val="3EAE7AEF"/>
    <w:rsid w:val="3EFE59E0"/>
    <w:rsid w:val="3F4F0FC2"/>
    <w:rsid w:val="3F661B73"/>
    <w:rsid w:val="3F6B5000"/>
    <w:rsid w:val="3F75147D"/>
    <w:rsid w:val="3F774A60"/>
    <w:rsid w:val="3F841AB6"/>
    <w:rsid w:val="3F8E5FAB"/>
    <w:rsid w:val="3FC167D0"/>
    <w:rsid w:val="3FCD41FF"/>
    <w:rsid w:val="3FF36FC7"/>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AD06CE"/>
    <w:rsid w:val="7FBCE70A"/>
    <w:rsid w:val="7FCD363F"/>
    <w:rsid w:val="7FDD2D3C"/>
    <w:rsid w:val="7FF70088"/>
    <w:rsid w:val="9F7F1B46"/>
    <w:rsid w:val="BF7B506F"/>
    <w:rsid w:val="BFCD2E7F"/>
    <w:rsid w:val="D473A703"/>
    <w:rsid w:val="DBF53BB3"/>
    <w:rsid w:val="DDF64832"/>
    <w:rsid w:val="EF3E8415"/>
    <w:rsid w:val="F67DE7B6"/>
    <w:rsid w:val="F7BE0359"/>
    <w:rsid w:val="F7BF131C"/>
    <w:rsid w:val="F9EFF0EA"/>
    <w:rsid w:val="FAC75700"/>
    <w:rsid w:val="FBEE064D"/>
    <w:rsid w:val="FBFE7417"/>
    <w:rsid w:val="FCBDADA4"/>
    <w:rsid w:val="FD1FFBFD"/>
    <w:rsid w:val="FFEE4636"/>
    <w:rsid w:val="FFEF1774"/>
    <w:rsid w:val="FFF5DA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9"/>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semiHidden/>
    <w:qFormat/>
    <w:uiPriority w:val="99"/>
    <w:pPr>
      <w:jc w:val="center"/>
    </w:pPr>
    <w:rPr>
      <w:sz w:val="24"/>
      <w:szCs w:val="20"/>
    </w:rPr>
  </w:style>
  <w:style w:type="paragraph" w:styleId="9">
    <w:name w:val="Body Text Indent"/>
    <w:basedOn w:val="1"/>
    <w:link w:val="20"/>
    <w:qFormat/>
    <w:uiPriority w:val="0"/>
    <w:pPr>
      <w:spacing w:after="120"/>
      <w:ind w:left="420" w:leftChars="200"/>
    </w:pPr>
  </w:style>
  <w:style w:type="paragraph" w:styleId="10">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1">
    <w:name w:val="Body Text"/>
    <w:basedOn w:val="1"/>
    <w:semiHidden/>
    <w:qFormat/>
    <w:uiPriority w:val="99"/>
    <w:rPr>
      <w:sz w:val="24"/>
      <w:szCs w:val="20"/>
    </w:rPr>
  </w:style>
  <w:style w:type="paragraph" w:styleId="12">
    <w:name w:val="Plain Text"/>
    <w:basedOn w:val="1"/>
    <w:qFormat/>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2"/>
    <w:qFormat/>
    <w:uiPriority w:val="0"/>
    <w:rPr>
      <w:b/>
      <w:kern w:val="44"/>
      <w:sz w:val="44"/>
    </w:rPr>
  </w:style>
  <w:style w:type="character" w:customStyle="1" w:styleId="19">
    <w:name w:val="标题 3 Char"/>
    <w:link w:val="3"/>
    <w:semiHidden/>
    <w:qFormat/>
    <w:uiPriority w:val="0"/>
    <w:rPr>
      <w:b/>
      <w:bCs/>
      <w:kern w:val="2"/>
      <w:sz w:val="32"/>
      <w:szCs w:val="32"/>
    </w:rPr>
  </w:style>
  <w:style w:type="character" w:customStyle="1" w:styleId="20">
    <w:name w:val="正文文本缩进 Char"/>
    <w:link w:val="9"/>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qFormat/>
    <w:uiPriority w:val="0"/>
    <w:rPr>
      <w:rFonts w:ascii="宋体"/>
      <w:sz w:val="21"/>
      <w:lang w:val="en-US" w:eastAsia="zh-CN" w:bidi="ar-SA"/>
    </w:rPr>
  </w:style>
  <w:style w:type="paragraph" w:customStyle="1" w:styleId="24">
    <w:name w:val="段"/>
    <w:link w:val="23"/>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10390</Words>
  <Characters>11896</Characters>
  <Lines>121</Lines>
  <Paragraphs>34</Paragraphs>
  <TotalTime>1</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2019-12-05T04:00:00Z</dcterms:created>
  <dc:creator>微软用户</dc:creator>
  <cp:lastModifiedBy>FrontTang</cp:lastModifiedBy>
  <cp:lastPrinted>2020-06-19T06:02:00Z</cp:lastPrinted>
  <dcterms:modified xsi:type="dcterms:W3CDTF">2024-08-25T16:57:38Z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