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76"/>
        <w:tblInd w:w="0" w:type="dxa"/>
        <w:tblW w:w="11197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4A0" w:firstRow="1" w:lastRow="0" w:firstColumn="1" w:lastColumn="0" w:noHBand="0" w:noVBand="1"/>
      </w:tblPr>
      <w:tblGrid>
        <w:gridCol w:w="11197"/>
      </w:tblGrid>
      <w:tr>
        <w:trPr>
          <w:trHeight w:val="699"/>
        </w:trPr>
        <w:tc>
          <w:tcPr>
            <w:shd w:val="clear" w:color="auto" w:fill="ffffff"/>
            <w:tcBorders/>
            <w:tcW w:w="11197" w:type="dxa"/>
            <w:textDirection w:val="lrTb"/>
            <w:noWrap w:val="false"/>
          </w:tcPr>
          <w:p w14:paraId="00000002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  <w:t xml:space="preserve">MORONE FABRIZIO ROSARIO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4"/>
                <w:szCs w:val="44"/>
                <w:lang w:val="en-US"/>
              </w:rPr>
            </w:r>
          </w:p>
        </w:tc>
      </w:tr>
      <w:tr>
        <w:trPr>
          <w:trHeight w:val="442"/>
        </w:trPr>
        <w:tc>
          <w:tcPr>
            <w:tcBorders>
              <w:bottom w:val="single" w:color="000000" w:sz="4" w:space="0"/>
            </w:tcBorders>
            <w:tcW w:w="11197" w:type="dxa"/>
            <w:textDirection w:val="lrTb"/>
            <w:noWrap w:val="false"/>
          </w:tcPr>
          <w:p w14:paraId="116E4253">
            <w:pPr>
              <w:pStyle w:val="967"/>
              <w:keepNext w:val="false"/>
              <w:keepLines w:val="false"/>
              <w:widowControl w:val="true"/>
              <w:suppressLineNumbers w:val="false"/>
              <w:pBdr/>
              <w:shd w:val="clear" w:color="auto" w:fill="ffffff"/>
              <w:spacing w:after="0" w:afterAutospacing="0" w:before="0" w:beforeAutospacing="0" w:line="240" w:lineRule="auto"/>
              <w:ind w:right="0" w:firstLine="0" w:left="0"/>
              <w:jc w:val="left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  <w:t xml:space="preserve">6163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Spearwood, WA, Australia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• 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f.rosario.morone@gmail.com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 •  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+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61 485 841 622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IN"/>
              </w:rPr>
            </w:r>
            <w:r/>
          </w:p>
        </w:tc>
      </w:tr>
      <w:tr>
        <w:trPr/>
        <w:tc>
          <w:tcPr>
            <w:tcBorders>
              <w:top w:val="single" w:color="000000" w:sz="4" w:space="0"/>
            </w:tcBorders>
            <w:tcW w:w="11197" w:type="dxa"/>
            <w:textDirection w:val="lrTb"/>
            <w:noWrap w:val="false"/>
          </w:tcPr>
          <w:p w14:paraId="00000006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6"/>
                <w:szCs w:val="16"/>
              </w:rPr>
            </w:r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D66647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Senior Software Engineer with 11+ years of experience delivering scalable, secure healthcare platforms across Australia, Europe, and Asia.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/>
          </w:p>
          <w:p w14:paraId="4666960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Expert in React, Angular, Vue, and Next.js paired with Go and Rust backend services supporting high-throughput clinical systems.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/>
          </w:p>
          <w:p w14:paraId="4C8A410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Strong record of improving performance, reliability, and compliance within HIPAA- and GDPR-regulated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/>
          </w:p>
          <w:p w14:paraId="0000000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/>
              <w:jc w:val="both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Experienced in cloud-native architectures on AWS and GCP, CI/CD automation, and real-time healthcare data pipelines.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0000000A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0C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</w:rPr>
              <w:t xml:space="preserve">Professional Experience</w:t>
            </w:r>
            <w:r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ca5426"/>
                <w:sz w:val="26"/>
                <w:szCs w:val="26"/>
              </w:rPr>
            </w:r>
          </w:p>
        </w:tc>
      </w:tr>
      <w:tr>
        <w:trPr>
          <w:trHeight w:val="79"/>
        </w:trPr>
        <w:tc>
          <w:tcPr>
            <w:tcBorders/>
            <w:tcW w:w="11197" w:type="dxa"/>
            <w:textDirection w:val="lrTb"/>
            <w:noWrap w:val="false"/>
          </w:tcPr>
          <w:p w14:paraId="0000000E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932"/>
        </w:trPr>
        <w:tc>
          <w:tcPr>
            <w:tcBorders/>
            <w:tcW w:w="11197" w:type="dxa"/>
            <w:textDirection w:val="lrTb"/>
            <w:noWrap w:val="false"/>
          </w:tcPr>
          <w:p w14:paraId="1938C698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both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Senior 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Full Stack Software Engineer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</w:p>
          <w:p w14:paraId="00000011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both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Andersen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Warsaw, Poland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  <w:p w14:paraId="0000001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March 20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20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 –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present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</w:p>
        </w:tc>
      </w:tr>
      <w:tr>
        <w:trPr>
          <w:trHeight w:val="1912"/>
        </w:trPr>
        <w:tc>
          <w:tcPr>
            <w:tcBorders/>
            <w:tcW w:w="11197" w:type="dxa"/>
            <w:textDirection w:val="lrTb"/>
            <w:noWrap w:val="false"/>
          </w:tcPr>
          <w:p w14:paraId="6B04A96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Improved patient dashboard load times by 62% using Next.js SSR and React hooks, enabling responsive clinical workflows during peak usage.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EF7D94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Designed real-time AI visualization modules with D3.js consuming Go (Gin) APIs, supporting clinical risk scoring and scenario analysis.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D91142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multi-tenant scheduling interfaces with React and TypeScript, backed by Go Fiber services and PostgreSQL, improving booking accuracy by 28%.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6A5640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Reduced API latency by 35% by introducing Rust (Axum) services for high-throughput patient data ingestion.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45E6F1C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Integrated WebSocket streams via Go Gin gateways, improving real-time monitoring reliability across patient dashboards.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FCCBA79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Auth0 authentication with OAuth2 and JWT, ensuring HIPAA-compliant access across frontend and backend services.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779230C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Deployed containerized Go and Rust services to AWS ECS and GCP Cloud Run, cutting deployment failures by 40%.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2461D2C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Integrated Twilio HIPAA-compliant messaging for appointment reminders, reducing no-show rates by 18%.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157585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Established CI/CD pipelines using GitHub Actions and Terraform, accelerating release cycles by 30%.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D28A6A8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Mentored junior engineers through architectural reviews and cross-team collaboration, improving delivery predictability and code quality.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79"/>
        </w:trPr>
        <w:tc>
          <w:tcPr>
            <w:tcBorders/>
            <w:tcW w:w="11197" w:type="dxa"/>
            <w:textDirection w:val="lrTb"/>
            <w:noWrap w:val="false"/>
          </w:tcPr>
          <w:p w14:paraId="00000019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842"/>
        </w:trPr>
        <w:tc>
          <w:tcPr>
            <w:tcBorders/>
            <w:tcW w:w="11197" w:type="dxa"/>
            <w:textDirection w:val="lrTb"/>
            <w:noWrap w:val="false"/>
          </w:tcPr>
          <w:p w14:paraId="2BCEF6C9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  <w:t xml:space="preserve">Frontend 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Engineer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  <w:lang w:val="en-US"/>
              </w:rPr>
            </w:r>
          </w:p>
          <w:p w14:paraId="0000001C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Zühlke Engineering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Zürich, Switzerland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000001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March 2016 – February 2020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2551"/>
        </w:trPr>
        <w:tc>
          <w:tcPr>
            <w:tcBorders/>
            <w:tcW w:w="11197" w:type="dxa"/>
            <w:textDirection w:val="lrTb"/>
            <w:noWrap w:val="false"/>
          </w:tcPr>
          <w:p w14:paraId="48AFC96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real-time patient monitoring dashboards using React and Angular, consuming Go (Gin) APIs for live medical sensor streams.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C7A6EE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telemedicine workflows with secure video and messaging integrations via Firebase, increasing remote consultations by 32%.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30BFFF8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Reduced frontend rendering time by 30% through component optimization and backend pagination strategies.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6388E95A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Created reusable UI component libraries adopted across multiple healthcare products, improving consistency and development speed.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9FE8AE3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Integrated role-based access controls aligned with Rust (Actix) authorization middleware, ensuring GDPR-compliant data visibility.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343CEC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Collaborated with backend teams to refine API contracts between Angular clients and Go microservices.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3631AB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Coordinated cross-functional teams to deliver regulated healthcare features under strict compliance timelines.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</w:tc>
      </w:tr>
      <w:tr>
        <w:trPr/>
        <w:tc>
          <w:tcPr>
            <w:tcBorders/>
            <w:tcW w:w="11197" w:type="dxa"/>
            <w:textDirection w:val="lrTb"/>
            <w:noWrap w:val="false"/>
          </w:tcPr>
          <w:p w14:paraId="0000002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</w:rPr>
            </w:r>
          </w:p>
        </w:tc>
      </w:tr>
      <w:tr>
        <w:trPr>
          <w:trHeight w:val="815"/>
        </w:trPr>
        <w:tc>
          <w:tcPr>
            <w:tcBorders/>
            <w:tcW w:w="11197" w:type="dxa"/>
            <w:textDirection w:val="lrTb"/>
            <w:noWrap w:val="false"/>
          </w:tcPr>
          <w:p w14:paraId="336C7A90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Frontend Developer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</w:p>
          <w:p w14:paraId="081B7247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PwC Australia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Australia (Multiple Cities)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0000027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August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201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2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– February 20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16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973"/>
        </w:trPr>
        <w:tc>
          <w:tcPr>
            <w:tcBorders/>
            <w:tcW w:w="11197" w:type="dxa"/>
            <w:vMerge w:val="restart"/>
            <w:textDirection w:val="lrTb"/>
            <w:noWrap w:val="false"/>
          </w:tcPr>
          <w:p w14:paraId="3DE01B0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Contributed to healthcare dashboards using Angular and Vue.js, integrated with Go-based REST APIs and SQL databases.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40926AB9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Implemented responsive, accessible interfaces aligned with WCAG standards for hospital administrative platforms.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1604BB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Enhanced data visualization accuracy using Chart.js integrated with backend reporting endpoints.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0966B7B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Supported backend teams by validating API payloads and improving frontend error handling patterns.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56BC06C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Assisted with performance tuning of Go services handling patient metrics, reducing page load delays by 20%.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193363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Participated in agile ceremonies, contributing technical insights that improved sprint predictability.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CE1613D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5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Supported production releases and issue resolution in enterprise healthcare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0"/>
        </w:trPr>
        <w:tc>
          <w:tcPr>
            <w:tcBorders/>
            <w:tcW w:w="11197" w:type="dxa"/>
            <w:vMerge w:val="restart"/>
            <w:textDirection w:val="lrTb"/>
            <w:noWrap w:val="false"/>
          </w:tcPr>
          <w:p w14:paraId="1AF2892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</w:p>
        </w:tc>
      </w:tr>
      <w:tr>
        <w:trPr>
          <w:trHeight w:val="305"/>
        </w:trPr>
        <w:tc>
          <w:tcPr>
            <w:tcBorders/>
            <w:tcW w:w="11197" w:type="dxa"/>
            <w:textDirection w:val="lrTb"/>
            <w:noWrap w:val="false"/>
          </w:tcPr>
          <w:p w14:paraId="7505DDF5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Frontend Developer Intern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lang w:val="en-US"/>
              </w:rPr>
            </w:r>
          </w:p>
          <w:p w14:paraId="347945CA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Cochlear Limited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Sydney, NSW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rtl w:val="0"/>
                <w:lang w:val="en-US"/>
              </w:rPr>
              <w:t xml:space="preserve">, Australia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</w:rPr>
            </w:r>
          </w:p>
          <w:p w14:paraId="0E7A899E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January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 2012 – 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July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</w:rPr>
              <w:t xml:space="preserve">20</w:t>
            </w:r>
            <w:r>
              <w:rPr>
                <w:rFonts w:hint="default" w:ascii="Open Sans Medium" w:hAnsi="Open Sans Medium" w:eastAsia="Lora" w:cs="Open Sans Medium"/>
                <w:i/>
                <w:color w:val="000000"/>
                <w:sz w:val="20"/>
                <w:szCs w:val="20"/>
                <w:rtl w:val="0"/>
                <w:lang w:val="en-US"/>
              </w:rPr>
              <w:t xml:space="preserve">12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0"/>
                <w:szCs w:val="2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64C3F03F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Developed internal dashboard components using JavaScript and Angular, integrated with Rust-based internal services.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7F8EB4B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Improved UI consistency and cross-browser compatibility across legacy systems.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25B2F16E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Assisted senior engineers with performance tuning and interface refinements.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5F0E9F06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3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Operated within strict security and compliance requirements typical of regulated medical environments.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5512C1D3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Key Strengths</w:t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1"/>
                <w:szCs w:val="11"/>
                <w:rtl w:val="0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177D107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4"/>
                <w:szCs w:val="4"/>
                <w:rtl w:val="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5263336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Frontend Expertise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11 years with React, Next.js, Angular, Vue, and TypeScript, building high-performance healthcare and IT solutions.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EEB20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AI &amp; Real-Time Integration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Developed AI dashboards, patient portals, and real-time data systems with HIPAA/GDPR compliance.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CA91942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/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Enterprise &amp; Cloud Applications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Experienced in large-scale systems, performance optimization, and cloud-ready frontend solutions.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</w:r>
            <w:r/>
          </w:p>
          <w:p w14:paraId="1A7270C7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Team Collaboration &amp; Mentorship</w:t>
            </w:r>
            <w:r>
              <w:rPr>
                <w:rFonts w:hint="default" w:ascii="Open Sans Medium" w:hAnsi="Open Sans Medium" w:eastAsia="Lora" w:cs="Open Sans Medium"/>
                <w:color w:val="000000"/>
                <w:sz w:val="20"/>
                <w:szCs w:val="20"/>
                <w:rtl w:val="0"/>
              </w:rPr>
              <w:t xml:space="preserve">: Worked with international teams, mentoring junior developers and delivering secure, user-friendly platforms.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</w:r>
          </w:p>
        </w:tc>
      </w:tr>
      <w:tr>
        <w:trPr>
          <w:trHeight w:val="14"/>
        </w:trPr>
        <w:tc>
          <w:tcPr>
            <w:tcBorders/>
            <w:tcW w:w="11197" w:type="dxa"/>
            <w:textDirection w:val="lrTb"/>
            <w:noWrap w:val="false"/>
          </w:tcPr>
          <w:p w14:paraId="0F6FB660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0"/>
              </w:numPr>
              <w:pBdr/>
              <w:bidi w:val="false"/>
              <w:spacing w:after="0" w:line="240" w:lineRule="auto"/>
              <w:ind w:left="216"/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color w:val="000000"/>
                <w:sz w:val="18"/>
                <w:szCs w:val="18"/>
                <w:rtl w:val="0"/>
              </w:rPr>
            </w:r>
          </w:p>
        </w:tc>
      </w:tr>
      <w:tr>
        <w:trPr>
          <w:trHeight w:val="258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19140C7D">
            <w:pPr>
              <w:pBdr/>
              <w:spacing w:after="0" w:line="240" w:lineRule="auto"/>
              <w:ind/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Technical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</w:rPr>
              <w:t xml:space="preserve"> Skills</w:t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lang w:val="en-IN"/>
              </w:rPr>
            </w:r>
          </w:p>
        </w:tc>
      </w:tr>
      <w:tr>
        <w:trPr/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5589CB21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Frontend: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React, Next.js (SSR, ISR), Angular (RxJS, NgRx), Vue 3 (Composition API, Pinia), TypeScript, Tailwind CSS, Storybook, D3.js, Recharts, WCAG 2.1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725A26A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  <w:lang w:val="en-IN"/>
              </w:rPr>
              <w:t xml:space="preserve">Backend: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IN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IN"/>
              </w:rPr>
              <w:t xml:space="preserve">Go (Gin, Fiber), Rust (Actix, Axum), REST, GraphQL, WebSockets, OAuth2, JWT, background workers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6D08275B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Databases: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t xml:space="preserve">PostgreSQL, MySQL, SQL Server, MongoDB, DynamoDB, Redis, Elasticsearch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78D552B4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Cloud &amp; CI/CD: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AWS (ECS, RDS, S3, CloudFront), GCP (Cloud Run, Pub/Sub), Docker, GitHub Actions, Terraform, Datadog, Sentry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</w:rPr>
            </w:r>
          </w:p>
          <w:p w14:paraId="475A684A">
            <w:pPr>
              <w:keepNext w:val="false"/>
              <w:keepLines w:val="false"/>
              <w:pageBreakBefore w:val="false"/>
              <w:widowControl w:val="true"/>
              <w:numPr>
                <w:ilvl w:val="0"/>
                <w:numId w:val="1"/>
              </w:numPr>
              <w:pBdr/>
              <w:bidi w:val="false"/>
              <w:spacing w:after="0" w:line="240" w:lineRule="auto"/>
              <w:ind w:hanging="360" w:left="576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20"/>
                <w:szCs w:val="20"/>
                <w:rtl w:val="0"/>
              </w:rPr>
              <w:t xml:space="preserve">Healthcare &amp; Integrations: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US"/>
              </w:rPr>
              <w:t xml:space="preserve"> </w:t>
            </w:r>
            <w:r>
              <w:rPr>
                <w:rFonts w:hint="default" w:ascii="Open Sans Medium" w:hAnsi="Open Sans Medium" w:eastAsia="Lora" w:cs="Open Sans Medium"/>
                <w:b w:val="0"/>
                <w:bCs w:val="0"/>
                <w:color w:val="000000"/>
                <w:sz w:val="20"/>
                <w:szCs w:val="20"/>
                <w:rtl w:val="0"/>
                <w:lang w:val="en-US"/>
              </w:rPr>
              <w:t xml:space="preserve">Auth0, Twilio (HIPAA), Stripe, Firebase, HL7, FHIR, SMART-on-FHIR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IN"/>
              </w:rPr>
            </w:r>
          </w:p>
        </w:tc>
      </w:tr>
      <w:tr>
        <w:trPr>
          <w:trHeight w:val="14"/>
        </w:trPr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4E154C79">
            <w:pPr>
              <w:numPr>
                <w:ilvl w:val="0"/>
                <w:numId w:val="0"/>
              </w:numPr>
              <w:pBdr/>
              <w:spacing w:after="100" w:line="240" w:lineRule="auto"/>
              <w:ind/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pP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/>
                <w:bCs/>
                <w:color w:val="000000"/>
                <w:sz w:val="11"/>
                <w:szCs w:val="11"/>
                <w:rtl w:val="0"/>
              </w:rPr>
            </w:r>
          </w:p>
        </w:tc>
      </w:tr>
      <w:tr>
        <w:trPr/>
        <w:tc>
          <w:tcPr>
            <w:shd w:val="clear" w:color="auto" w:fill="auto"/>
            <w:tcBorders/>
            <w:tcW w:w="11197" w:type="dxa"/>
            <w:vAlign w:val="top"/>
            <w:textDirection w:val="lrTb"/>
            <w:noWrap w:val="false"/>
          </w:tcPr>
          <w:p w14:paraId="6252F045">
            <w:pPr>
              <w:numPr>
                <w:ilvl w:val="0"/>
                <w:numId w:val="0"/>
              </w:numPr>
              <w:pBdr/>
              <w:spacing w:after="100" w:line="240" w:lineRule="auto"/>
              <w:ind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color w:val="000000"/>
                <w:sz w:val="26"/>
                <w:szCs w:val="26"/>
                <w:rtl w:val="0"/>
                <w:lang w:val="en-US"/>
              </w:rPr>
              <w:t xml:space="preserve">Education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</w:tc>
      </w:tr>
      <w:tr>
        <w:trPr>
          <w:trHeight w:val="627"/>
        </w:trPr>
        <w:tc>
          <w:tcPr>
            <w:tcBorders/>
            <w:tcW w:w="11197" w:type="dxa"/>
            <w:textDirection w:val="lrTb"/>
            <w:noWrap w:val="false"/>
          </w:tcPr>
          <w:p w14:paraId="00000032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University of Sydney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, 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Sydney, NSW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, Australia</w:t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  <w:p w14:paraId="00000033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June 2008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 - </w:t>
            </w:r>
            <w:r>
              <w:rPr>
                <w:rFonts w:hint="default" w:ascii="Open Sans Medium" w:hAnsi="Open Sans Medium" w:eastAsia="Lora" w:cs="Open Sans Medium"/>
                <w:b w:val="0"/>
                <w:i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  <w:lang w:val="en-US"/>
              </w:rPr>
              <w:t xml:space="preserve">March 2012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lang w:val="en-US"/>
              </w:rPr>
            </w:r>
          </w:p>
        </w:tc>
      </w:tr>
      <w:tr>
        <w:trPr>
          <w:trHeight w:val="180"/>
        </w:trPr>
        <w:tc>
          <w:tcPr>
            <w:tcBorders/>
            <w:tcW w:w="11197" w:type="dxa"/>
            <w:textDirection w:val="lrTb"/>
            <w:noWrap w:val="false"/>
          </w:tcPr>
          <w:p w14:paraId="00000035">
            <w:pPr>
              <w:keepNext w:val="false"/>
              <w:keepLines w:val="false"/>
              <w:pageBreakBefore w:val="false"/>
              <w:widowControl w:val="tru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hd w:val="clear" w:color="auto" w:fill="auto"/>
              <w:spacing w:after="0" w:before="0" w:line="240" w:lineRule="auto"/>
              <w:ind w:right="0" w:firstLine="0" w:left="0"/>
              <w:jc w:val="left"/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pP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  <w:rtl w:val="0"/>
              </w:rPr>
              <w:t xml:space="preserve">Bachelor of Science in Computer Engineering</w:t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  <w:r>
              <w:rPr>
                <w:rFonts w:hint="default" w:ascii="Open Sans Medium" w:hAnsi="Open Sans Medium" w:eastAsia="Lora" w:cs="Open Sans Medium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val="clear" w:color="auto" w:fill="auto"/>
                <w:vertAlign w:val="baseline"/>
              </w:rPr>
            </w:r>
          </w:p>
        </w:tc>
      </w:tr>
    </w:tbl>
    <w:p w14:paraId="56C6186C">
      <w:pPr>
        <w:pBdr/>
        <w:spacing/>
        <w:ind/>
        <w:rPr>
          <w:rFonts w:ascii="Poppins" w:hAnsi="Poppins" w:eastAsia="Poppins" w:cs="Poppins"/>
          <w:sz w:val="2"/>
          <w:szCs w:val="2"/>
        </w:rPr>
      </w:pPr>
      <w:r>
        <w:rPr>
          <w:rFonts w:ascii="Poppins" w:hAnsi="Poppins" w:eastAsia="Poppins" w:cs="Poppins"/>
          <w:sz w:val="2"/>
          <w:szCs w:val="2"/>
        </w:rPr>
      </w:r>
      <w:r>
        <w:rPr>
          <w:rFonts w:ascii="Poppins" w:hAnsi="Poppins" w:eastAsia="Poppins" w:cs="Poppins"/>
          <w:sz w:val="2"/>
          <w:szCs w:val="2"/>
        </w:rPr>
      </w:r>
      <w:r>
        <w:rPr>
          <w:rFonts w:ascii="Poppins" w:hAnsi="Poppins" w:eastAsia="Poppins" w:cs="Poppins"/>
          <w:sz w:val="2"/>
          <w:szCs w:val="2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567" w:right="567" w:bottom="284" w:left="567" w:header="0" w:footer="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oppins">
    <w:panose1 w:val="00000500000000000000"/>
  </w:font>
  <w:font w:name="Courier New">
    <w:panose1 w:val="02070309020205020404"/>
  </w:font>
  <w:font w:name="Open Sans Medium">
    <w:panose1 w:val="020B0606030504020204"/>
  </w:font>
  <w:font w:name="Noto Sans Symbols">
    <w:panose1 w:val="05040102010807070707"/>
  </w:font>
  <w:font w:name="Calibri">
    <w:panose1 w:val="020F0502020204030204"/>
  </w:font>
  <w:font w:name="Lora">
    <w:panose1 w:val="05040102010807070707"/>
  </w:font>
  <w:font w:name="Arial">
    <w:panose1 w:val="020B0604020202020204"/>
  </w:font>
  <w:font w:name="Georgia">
    <w:panose1 w:val="02040502050405020303"/>
  </w:font>
  <w:font w:name="SimSun">
    <w:panose1 w:val="02010600030101010101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4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2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before="0" w:line="259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before="0" w:line="259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5F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0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61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680"/>
        <w:tab w:val="right" w:leader="none" w:pos="9360"/>
      </w:tabs>
      <w:spacing w:after="0" w:before="0" w:line="240" w:lineRule="auto"/>
      <w:ind w:right="0" w:firstLine="0" w:left="0"/>
      <w:jc w:val="left"/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  <w:r>
      <w:rPr>
        <w:rFonts w:ascii="Calibri" w:hAnsi="Calibri" w:eastAsia="Calibri" w:cs="Calibri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1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2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3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abstractNum w:abstractNumId="4">
    <w:nsid w:val="CF092B84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3">
      <w:isLgl w:val="false"/>
      <w:lvlJc w:val="left"/>
      <w:lvlText w:val="▪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4">
      <w:isLgl w:val="false"/>
      <w:lvlJc w:val="left"/>
      <w:lvlText w:val="▪"/>
      <w:numFmt w:val="bullet"/>
      <w:pPr>
        <w:pBdr/>
        <w:spacing/>
        <w:ind w:hanging="360" w:left="360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6">
      <w:isLgl w:val="false"/>
      <w:lvlJc w:val="left"/>
      <w:lvlText w:val="▪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7">
      <w:isLgl w:val="false"/>
      <w:lvlJc w:val="left"/>
      <w:lvlText w:val="▪"/>
      <w:numFmt w:val="bullet"/>
      <w:pPr>
        <w:pBdr/>
        <w:spacing/>
        <w:ind w:hanging="360" w:left="576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20"/>
        <w:szCs w:val="20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3">
    <w:name w:val="Table Grid Light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1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2"/>
    <w:basedOn w:val="9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1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2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3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4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5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6"/>
    <w:basedOn w:val="9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1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2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3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4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5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6"/>
    <w:basedOn w:val="9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1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2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3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4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5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6"/>
    <w:basedOn w:val="9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8">
    <w:name w:val="Heading 7"/>
    <w:basedOn w:val="956"/>
    <w:next w:val="956"/>
    <w:link w:val="91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9">
    <w:name w:val="Heading 8"/>
    <w:basedOn w:val="956"/>
    <w:next w:val="956"/>
    <w:link w:val="91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0">
    <w:name w:val="Heading 9"/>
    <w:basedOn w:val="956"/>
    <w:next w:val="956"/>
    <w:link w:val="92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character" w:styleId="912">
    <w:name w:val="Heading 1 Char"/>
    <w:basedOn w:val="963"/>
    <w:link w:val="9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3">
    <w:name w:val="Heading 2 Char"/>
    <w:basedOn w:val="963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4">
    <w:name w:val="Heading 3 Char"/>
    <w:basedOn w:val="963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5">
    <w:name w:val="Heading 4 Char"/>
    <w:basedOn w:val="963"/>
    <w:link w:val="9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6">
    <w:name w:val="Heading 5 Char"/>
    <w:basedOn w:val="963"/>
    <w:link w:val="9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7">
    <w:name w:val="Heading 6 Char"/>
    <w:basedOn w:val="963"/>
    <w:link w:val="9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8">
    <w:name w:val="Heading 7 Char"/>
    <w:basedOn w:val="963"/>
    <w:link w:val="9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9">
    <w:name w:val="Heading 8 Char"/>
    <w:basedOn w:val="963"/>
    <w:link w:val="9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0">
    <w:name w:val="Heading 9 Char"/>
    <w:basedOn w:val="963"/>
    <w:link w:val="9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1">
    <w:name w:val="Title Char"/>
    <w:basedOn w:val="963"/>
    <w:link w:val="9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2">
    <w:name w:val="Subtitle Char"/>
    <w:basedOn w:val="963"/>
    <w:link w:val="9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3">
    <w:name w:val="Quote"/>
    <w:basedOn w:val="956"/>
    <w:next w:val="956"/>
    <w:link w:val="92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4">
    <w:name w:val="Quote Char"/>
    <w:basedOn w:val="963"/>
    <w:link w:val="92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5">
    <w:name w:val="List Paragraph"/>
    <w:basedOn w:val="956"/>
    <w:uiPriority w:val="34"/>
    <w:qFormat/>
    <w:pPr>
      <w:pBdr/>
      <w:spacing/>
      <w:ind w:left="720"/>
      <w:contextualSpacing w:val="true"/>
    </w:pPr>
  </w:style>
  <w:style w:type="character" w:styleId="926">
    <w:name w:val="Intense Emphasis"/>
    <w:basedOn w:val="9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7">
    <w:name w:val="Intense Quote"/>
    <w:basedOn w:val="956"/>
    <w:next w:val="956"/>
    <w:link w:val="92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8">
    <w:name w:val="Intense Quote Char"/>
    <w:basedOn w:val="963"/>
    <w:link w:val="92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9">
    <w:name w:val="Intense Reference"/>
    <w:basedOn w:val="9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0">
    <w:name w:val="No Spacing"/>
    <w:basedOn w:val="956"/>
    <w:uiPriority w:val="1"/>
    <w:qFormat/>
    <w:pPr>
      <w:pBdr/>
      <w:spacing w:after="0" w:line="240" w:lineRule="auto"/>
      <w:ind/>
    </w:pPr>
  </w:style>
  <w:style w:type="character" w:styleId="931">
    <w:name w:val="Subtle Emphasis"/>
    <w:basedOn w:val="9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Emphasis"/>
    <w:basedOn w:val="963"/>
    <w:uiPriority w:val="20"/>
    <w:qFormat/>
    <w:pPr>
      <w:pBdr/>
      <w:spacing/>
      <w:ind/>
    </w:pPr>
    <w:rPr>
      <w:i/>
      <w:iCs/>
    </w:rPr>
  </w:style>
  <w:style w:type="character" w:styleId="933">
    <w:name w:val="Subtle Reference"/>
    <w:basedOn w:val="9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4">
    <w:name w:val="Book Title"/>
    <w:basedOn w:val="9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5">
    <w:name w:val="Caption"/>
    <w:basedOn w:val="956"/>
    <w:next w:val="9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6">
    <w:name w:val="footnote text"/>
    <w:basedOn w:val="956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Footnote Text Char"/>
    <w:basedOn w:val="963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foot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paragraph" w:styleId="939">
    <w:name w:val="endnote text"/>
    <w:basedOn w:val="956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>
    <w:name w:val="Endnote Text Char"/>
    <w:basedOn w:val="963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endnote reference"/>
    <w:basedOn w:val="963"/>
    <w:uiPriority w:val="99"/>
    <w:semiHidden/>
    <w:unhideWhenUsed/>
    <w:pPr>
      <w:pBdr/>
      <w:spacing/>
      <w:ind/>
    </w:pPr>
    <w:rPr>
      <w:vertAlign w:val="superscript"/>
    </w:rPr>
  </w:style>
  <w:style w:type="character" w:styleId="942">
    <w:name w:val="Hyperlink"/>
    <w:basedOn w:val="9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3">
    <w:name w:val="FollowedHyperlink"/>
    <w:basedOn w:val="9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4">
    <w:name w:val="toc 1"/>
    <w:basedOn w:val="956"/>
    <w:next w:val="956"/>
    <w:uiPriority w:val="39"/>
    <w:unhideWhenUsed/>
    <w:pPr>
      <w:pBdr/>
      <w:spacing w:after="100"/>
      <w:ind/>
    </w:pPr>
  </w:style>
  <w:style w:type="paragraph" w:styleId="945">
    <w:name w:val="toc 2"/>
    <w:basedOn w:val="956"/>
    <w:next w:val="956"/>
    <w:uiPriority w:val="39"/>
    <w:unhideWhenUsed/>
    <w:pPr>
      <w:pBdr/>
      <w:spacing w:after="100"/>
      <w:ind w:left="220"/>
    </w:pPr>
  </w:style>
  <w:style w:type="paragraph" w:styleId="946">
    <w:name w:val="toc 3"/>
    <w:basedOn w:val="956"/>
    <w:next w:val="956"/>
    <w:uiPriority w:val="39"/>
    <w:unhideWhenUsed/>
    <w:pPr>
      <w:pBdr/>
      <w:spacing w:after="100"/>
      <w:ind w:left="440"/>
    </w:pPr>
  </w:style>
  <w:style w:type="paragraph" w:styleId="947">
    <w:name w:val="toc 4"/>
    <w:basedOn w:val="956"/>
    <w:next w:val="956"/>
    <w:uiPriority w:val="39"/>
    <w:unhideWhenUsed/>
    <w:pPr>
      <w:pBdr/>
      <w:spacing w:after="100"/>
      <w:ind w:left="660"/>
    </w:pPr>
  </w:style>
  <w:style w:type="paragraph" w:styleId="948">
    <w:name w:val="toc 5"/>
    <w:basedOn w:val="956"/>
    <w:next w:val="956"/>
    <w:uiPriority w:val="39"/>
    <w:unhideWhenUsed/>
    <w:pPr>
      <w:pBdr/>
      <w:spacing w:after="100"/>
      <w:ind w:left="880"/>
    </w:pPr>
  </w:style>
  <w:style w:type="paragraph" w:styleId="949">
    <w:name w:val="toc 6"/>
    <w:basedOn w:val="956"/>
    <w:next w:val="956"/>
    <w:uiPriority w:val="39"/>
    <w:unhideWhenUsed/>
    <w:pPr>
      <w:pBdr/>
      <w:spacing w:after="100"/>
      <w:ind w:left="1100"/>
    </w:pPr>
  </w:style>
  <w:style w:type="paragraph" w:styleId="950">
    <w:name w:val="toc 7"/>
    <w:basedOn w:val="956"/>
    <w:next w:val="956"/>
    <w:uiPriority w:val="39"/>
    <w:unhideWhenUsed/>
    <w:pPr>
      <w:pBdr/>
      <w:spacing w:after="100"/>
      <w:ind w:left="1320"/>
    </w:pPr>
  </w:style>
  <w:style w:type="paragraph" w:styleId="951">
    <w:name w:val="toc 8"/>
    <w:basedOn w:val="956"/>
    <w:next w:val="956"/>
    <w:uiPriority w:val="39"/>
    <w:unhideWhenUsed/>
    <w:pPr>
      <w:pBdr/>
      <w:spacing w:after="100"/>
      <w:ind w:left="1540"/>
    </w:pPr>
  </w:style>
  <w:style w:type="paragraph" w:styleId="952">
    <w:name w:val="toc 9"/>
    <w:basedOn w:val="956"/>
    <w:next w:val="956"/>
    <w:uiPriority w:val="39"/>
    <w:unhideWhenUsed/>
    <w:pPr>
      <w:pBdr/>
      <w:spacing w:after="100"/>
      <w:ind w:left="1760"/>
    </w:pPr>
  </w:style>
  <w:style w:type="character" w:styleId="953">
    <w:name w:val="Placeholder Text"/>
    <w:basedOn w:val="963"/>
    <w:uiPriority w:val="99"/>
    <w:semiHidden/>
    <w:pPr>
      <w:pBdr/>
      <w:spacing/>
      <w:ind/>
    </w:pPr>
    <w:rPr>
      <w:color w:val="666666"/>
    </w:rPr>
  </w:style>
  <w:style w:type="paragraph" w:styleId="954">
    <w:name w:val="TOC Heading"/>
    <w:uiPriority w:val="39"/>
    <w:unhideWhenUsed/>
    <w:pPr>
      <w:pBdr/>
      <w:spacing/>
      <w:ind/>
    </w:pPr>
  </w:style>
  <w:style w:type="paragraph" w:styleId="955">
    <w:name w:val="table of figures"/>
    <w:basedOn w:val="956"/>
    <w:next w:val="956"/>
    <w:uiPriority w:val="99"/>
    <w:unhideWhenUsed/>
    <w:pPr>
      <w:pBdr/>
      <w:spacing w:after="0" w:afterAutospacing="0"/>
      <w:ind/>
    </w:pPr>
  </w:style>
  <w:style w:type="paragraph" w:styleId="956" w:default="1">
    <w:name w:val="Normal"/>
    <w:uiPriority w:val="0"/>
    <w:qFormat/>
    <w:pPr>
      <w:pBdr/>
      <w:spacing w:after="160" w:line="259" w:lineRule="auto"/>
      <w:ind/>
    </w:pPr>
    <w:rPr>
      <w:rFonts w:ascii="Calibri" w:hAnsi="Calibri" w:eastAsia="Calibri" w:cs="Calibri"/>
      <w:sz w:val="22"/>
      <w:szCs w:val="22"/>
      <w:lang w:val="en-IN"/>
    </w:rPr>
  </w:style>
  <w:style w:type="paragraph" w:styleId="957">
    <w:name w:val="Heading 1"/>
    <w:basedOn w:val="956"/>
    <w:next w:val="956"/>
    <w:uiPriority w:val="0"/>
    <w:qFormat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958">
    <w:name w:val="Heading 2"/>
    <w:basedOn w:val="956"/>
    <w:next w:val="956"/>
    <w:uiPriority w:val="0"/>
    <w:pPr>
      <w:keepNext w:val="true"/>
      <w:keepLines w:val="true"/>
      <w:pageBreakBefore w:val="false"/>
      <w:pBdr/>
      <w:spacing w:after="80" w:before="360"/>
      <w:ind/>
    </w:pPr>
    <w:rPr>
      <w:b/>
      <w:sz w:val="36"/>
      <w:szCs w:val="36"/>
    </w:rPr>
  </w:style>
  <w:style w:type="paragraph" w:styleId="959">
    <w:name w:val="Heading 3"/>
    <w:basedOn w:val="956"/>
    <w:next w:val="956"/>
    <w:uiPriority w:val="0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960">
    <w:name w:val="Heading 4"/>
    <w:basedOn w:val="956"/>
    <w:next w:val="956"/>
    <w:uiPriority w:val="0"/>
    <w:qFormat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961">
    <w:name w:val="Heading 5"/>
    <w:basedOn w:val="956"/>
    <w:next w:val="956"/>
    <w:uiPriority w:val="0"/>
    <w:qFormat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962">
    <w:name w:val="Heading 6"/>
    <w:basedOn w:val="956"/>
    <w:next w:val="956"/>
    <w:uiPriority w:val="0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character" w:styleId="963" w:default="1">
    <w:name w:val="Default Paragraph Font"/>
    <w:uiPriority w:val="1"/>
    <w:semiHidden/>
    <w:unhideWhenUsed/>
    <w:pPr>
      <w:pBdr/>
      <w:spacing/>
      <w:ind/>
    </w:pPr>
  </w:style>
  <w:style w:type="table" w:styleId="964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5">
    <w:name w:val="Footer"/>
    <w:basedOn w:val="956"/>
    <w:link w:val="975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66">
    <w:name w:val="Header"/>
    <w:basedOn w:val="956"/>
    <w:link w:val="974"/>
    <w:uiPriority w:val="99"/>
    <w:unhideWhenUsed/>
    <w:qFormat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paragraph" w:styleId="967">
    <w:name w:val="HTML Preformatted"/>
    <w:uiPriority w:val="0"/>
    <w:qFormat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  <w:jc w:val="left"/>
    </w:pPr>
    <w:rPr>
      <w:rFonts w:hint="eastAsia" w:ascii="SimSun" w:hAnsi="SimSun" w:eastAsia="SimSun" w:cs="SimSun"/>
      <w:sz w:val="24"/>
      <w:szCs w:val="24"/>
      <w:lang w:val="en-US" w:eastAsia="zh-CN" w:bidi="ar"/>
    </w:rPr>
  </w:style>
  <w:style w:type="paragraph" w:styleId="968">
    <w:name w:val="Normal (Web)"/>
    <w:basedOn w:val="956"/>
    <w:uiPriority w:val="99"/>
    <w:unhideWhenUsed/>
    <w:qFormat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character" w:styleId="969">
    <w:name w:val="Strong"/>
    <w:basedOn w:val="963"/>
    <w:uiPriority w:val="0"/>
    <w:qFormat/>
    <w:pPr>
      <w:pBdr/>
      <w:spacing/>
      <w:ind/>
    </w:pPr>
    <w:rPr>
      <w:b/>
      <w:bCs/>
    </w:rPr>
  </w:style>
  <w:style w:type="paragraph" w:styleId="970">
    <w:name w:val="Subtitle"/>
    <w:basedOn w:val="956"/>
    <w:next w:val="956"/>
    <w:uiPriority w:val="0"/>
    <w:qFormat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971">
    <w:name w:val="Table Grid"/>
    <w:basedOn w:val="972"/>
    <w:uiPriority w:val="39"/>
    <w:qFormat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Table Normal1"/>
    <w:uiPriority w:val="0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3">
    <w:name w:val="Title"/>
    <w:basedOn w:val="956"/>
    <w:next w:val="956"/>
    <w:uiPriority w:val="0"/>
    <w:qFormat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character" w:styleId="974" w:customStyle="1">
    <w:name w:val="Header Char"/>
    <w:basedOn w:val="963"/>
    <w:link w:val="966"/>
    <w:uiPriority w:val="99"/>
    <w:qFormat/>
    <w:pPr>
      <w:pBdr/>
      <w:spacing/>
      <w:ind/>
    </w:pPr>
  </w:style>
  <w:style w:type="character" w:styleId="975" w:customStyle="1">
    <w:name w:val="Footer Char"/>
    <w:basedOn w:val="963"/>
    <w:link w:val="965"/>
    <w:uiPriority w:val="99"/>
    <w:qFormat/>
    <w:pPr>
      <w:pBdr/>
      <w:spacing/>
      <w:ind/>
    </w:pPr>
  </w:style>
  <w:style w:type="table" w:styleId="976" w:customStyle="1">
    <w:name w:val="_Style 19"/>
    <w:basedOn w:val="972"/>
    <w:uiPriority w:val="0"/>
    <w:qFormat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SfRlrHwE94KUNYOm/k1AQeKNQYw==">AMUW2mWJpO8PYT3b8mukNkKl9MkXCAsqHxNPT7DDEcWgqZaWJwF4rRl8+IRjxiIRSyCqEbCqqLBZyn3qLzdBd0SugRYbFK+3/cr2l2hhCymsVyq8XC2FAO8=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Banumathi Shinde</dc:creator>
  <cp:revision>7</cp:revision>
  <dcterms:created xsi:type="dcterms:W3CDTF">2021-08-27T07:59:00Z</dcterms:created>
  <dcterms:modified xsi:type="dcterms:W3CDTF">2026-01-29T19:58:48Z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672D2A624DFD4BD2A12244638447C321_12</vt:lpwstr>
  </property>
</Properties>
</file>